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oter3.xml" ContentType="application/vnd.openxmlformats-officedocument.wordprocessingml.footer+xml"/>
  <Override PartName="/word/header5.xml" ContentType="application/vnd.openxmlformats-officedocument.wordprocessingml.header+xml"/>
  <Override PartName="/word/footer14.xml" ContentType="application/vnd.openxmlformats-officedocument.wordprocessingml.footer+xml"/>
  <Override PartName="/word/footer27.xml" ContentType="application/vnd.openxmlformats-officedocument.wordprocessingml.footer+xml"/>
  <Override PartName="/word/styles.xml" ContentType="application/vnd.openxmlformats-officedocument.wordprocessingml.styles+xml"/>
  <Override PartName="/word/footer9.xml" ContentType="application/vnd.openxmlformats-officedocument.wordprocessingml.footer+xml"/>
  <Override PartName="/word/footer22.xml" ContentType="application/vnd.openxmlformats-officedocument.wordprocessingml.footer+xml"/>
  <Override PartName="/word/footer30.xml" ContentType="application/vnd.openxmlformats-officedocument.wordprocessingml.footer+xml"/>
  <Override PartName="/word/footer34.xml" ContentType="application/vnd.openxmlformats-officedocument.wordprocessingml.footer+xml"/>
  <Override PartName="/word/footer37.xml" ContentType="application/vnd.openxmlformats-officedocument.wordprocessingml.footer+xml"/>
  <Override PartName="/word/endnotes.xml" ContentType="application/vnd.openxmlformats-officedocument.wordprocessingml.endnotes+xml"/>
  <Override PartName="/word/header3.xml" ContentType="application/vnd.openxmlformats-officedocument.wordprocessingml.header+xml"/>
  <Override PartName="/word/footer6.xml" ContentType="application/vnd.openxmlformats-officedocument.wordprocessingml.footer+xml"/>
  <Override PartName="/word/footer13.xml" ContentType="application/vnd.openxmlformats-officedocument.wordprocessingml.footer+xml"/>
  <Override PartName="/word/footer21.xml" ContentType="application/vnd.openxmlformats-officedocument.wordprocessingml.footer+xml"/>
  <Override PartName="/word/footer26.xml" ContentType="application/vnd.openxmlformats-officedocument.wordprocessingml.footer+xml"/>
  <Override PartName="/word/footer33.xml" ContentType="application/vnd.openxmlformats-officedocument.wordprocessingml.footer+xml"/>
  <Override PartName="/word/numbering.xml" ContentType="application/vnd.openxmlformats-officedocument.wordprocessingml.numbering+xml"/>
  <Override PartName="/word/footer5.xml" ContentType="application/vnd.openxmlformats-officedocument.wordprocessingml.footer+xml"/>
  <Override PartName="/word/footer8.xml" ContentType="application/vnd.openxmlformats-officedocument.wordprocessingml.footer+xml"/>
  <Override PartName="/word/footer17.xml" ContentType="application/vnd.openxmlformats-officedocument.wordprocessingml.footer+xml"/>
  <Override PartName="/word/footer29.xml" ContentType="application/vnd.openxmlformats-officedocument.wordprocessingml.footer+xml"/>
  <Override PartName="/word/theme/theme1.xml" ContentType="application/vnd.openxmlformats-officedocument.theme+xml"/>
  <Override PartName="/customXml/itemProps1.xml" ContentType="application/vnd.openxmlformats-officedocument.customXmlProperties+xml"/>
  <Override PartName="/word/footnotes.xml" ContentType="application/vnd.openxmlformats-officedocument.wordprocessingml.footnotes+xml"/>
  <Override PartName="/word/footer2.xml" ContentType="application/vnd.openxmlformats-officedocument.wordprocessingml.footer+xml"/>
  <Override PartName="/word/footer12.xml" ContentType="application/vnd.openxmlformats-officedocument.wordprocessingml.footer+xml"/>
  <Override PartName="/word/footer20.xml" ContentType="application/vnd.openxmlformats-officedocument.wordprocessingml.footer+xml"/>
  <Override PartName="/word/footer25.xml" ContentType="application/vnd.openxmlformats-officedocument.wordprocessingml.footer+xml"/>
  <Override PartName="/word/footer28.xml" ContentType="application/vnd.openxmlformats-officedocument.wordprocessingml.footer+xml"/>
  <Override PartName="/word/footer32.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4.xml" ContentType="application/vnd.openxmlformats-officedocument.wordprocessingml.header+xml"/>
  <Override PartName="/word/footer11.xml" ContentType="application/vnd.openxmlformats-officedocument.wordprocessingml.footer+xml"/>
  <Override PartName="/word/footer16.xml" ContentType="application/vnd.openxmlformats-officedocument.wordprocessingml.footer+xml"/>
  <Override PartName="/word/footer24.xml" ContentType="application/vnd.openxmlformats-officedocument.wordprocessingml.footer+xml"/>
  <Override PartName="/word/footer36.xml" ContentType="application/vnd.openxmlformats-officedocument.wordprocessingml.footer+xml"/>
  <Override PartName="/word/footer1.xml" ContentType="application/vnd.openxmlformats-officedocument.wordprocessingml.footer+xml"/>
  <Override PartName="/word/footer7.xml" ContentType="application/vnd.openxmlformats-officedocument.wordprocessingml.footer+xml"/>
  <Override PartName="/word/footer19.xml" ContentType="application/vnd.openxmlformats-officedocument.wordprocessingml.footer+xml"/>
  <Override PartName="/word/footer39.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footer4.xml" ContentType="application/vnd.openxmlformats-officedocument.wordprocessingml.footer+xml"/>
  <Override PartName="/word/footer10.xml" ContentType="application/vnd.openxmlformats-officedocument.wordprocessingml.footer+xml"/>
  <Override PartName="/word/footer15.xml" ContentType="application/vnd.openxmlformats-officedocument.wordprocessingml.footer+xml"/>
  <Override PartName="/word/footer18.xml" ContentType="application/vnd.openxmlformats-officedocument.wordprocessingml.footer+xml"/>
  <Override PartName="/word/footer23.xml" ContentType="application/vnd.openxmlformats-officedocument.wordprocessingml.footer+xml"/>
  <Override PartName="/word/footer31.xml" ContentType="application/vnd.openxmlformats-officedocument.wordprocessingml.footer+xml"/>
  <Override PartName="/word/footer35.xml" ContentType="application/vnd.openxmlformats-officedocument.wordprocessingml.footer+xml"/>
  <Override PartName="/word/header1.xml" ContentType="application/vnd.openxmlformats-officedocument.wordprocessingml.header+xml"/>
  <Override PartName="/word/footer38.xml" ContentType="application/vnd.openxmlformats-officedocument.wordprocessingml.footer+xml"/>
  <Override PartName="/docProps/custom.xml" ContentType="application/vnd.openxmlformats-officedocument.custom-properties+xml"/>
  <Default Extension="jpeg" ContentType="image/jpeg"/>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3A1" w:rsidRPr="00470C97" w:rsidRDefault="006123A1" w:rsidP="00470C97">
      <w:pPr>
        <w:tabs>
          <w:tab w:val="right" w:pos="9900"/>
        </w:tabs>
        <w:rPr>
          <w:sz w:val="18"/>
          <w:szCs w:val="18"/>
        </w:rPr>
      </w:pPr>
      <w:bookmarkStart w:id="0" w:name="_GoBack"/>
      <w:bookmarkEnd w:id="0"/>
      <w:r w:rsidRPr="0042662F">
        <w:rPr>
          <w:b/>
          <w:sz w:val="18"/>
          <w:szCs w:val="18"/>
        </w:rPr>
        <w:t>NEW ISSUE – BOOK-ENTRY ONLY</w:t>
      </w:r>
      <w:r w:rsidRPr="00470C97">
        <w:rPr>
          <w:sz w:val="18"/>
          <w:szCs w:val="18"/>
        </w:rPr>
        <w:tab/>
      </w:r>
      <w:r w:rsidRPr="00470C97">
        <w:rPr>
          <w:b/>
          <w:sz w:val="18"/>
          <w:szCs w:val="18"/>
        </w:rPr>
        <w:t>RATINGS:</w:t>
      </w:r>
      <w:r w:rsidR="00DA73BF">
        <w:rPr>
          <w:sz w:val="18"/>
          <w:szCs w:val="18"/>
        </w:rPr>
        <w:t xml:space="preserve">  </w:t>
      </w:r>
      <w:r w:rsidR="00DA73BF" w:rsidRPr="00470C97">
        <w:rPr>
          <w:b/>
          <w:sz w:val="18"/>
          <w:szCs w:val="18"/>
        </w:rPr>
        <w:t>Moody</w:t>
      </w:r>
      <w:r w:rsidR="00DA73BF">
        <w:rPr>
          <w:b/>
          <w:sz w:val="18"/>
          <w:szCs w:val="18"/>
        </w:rPr>
        <w:t>’</w:t>
      </w:r>
      <w:r w:rsidR="00DA73BF" w:rsidRPr="00470C97">
        <w:rPr>
          <w:b/>
          <w:sz w:val="18"/>
          <w:szCs w:val="18"/>
        </w:rPr>
        <w:t xml:space="preserve">s: </w:t>
      </w:r>
      <w:r w:rsidR="00DA73BF">
        <w:rPr>
          <w:b/>
          <w:sz w:val="18"/>
          <w:szCs w:val="18"/>
        </w:rPr>
        <w:t>“</w:t>
      </w:r>
      <w:r w:rsidR="00292BB5">
        <w:rPr>
          <w:b/>
          <w:sz w:val="18"/>
          <w:szCs w:val="18"/>
        </w:rPr>
        <w:t>Aa2</w:t>
      </w:r>
      <w:r w:rsidR="00DA73BF">
        <w:rPr>
          <w:b/>
          <w:sz w:val="18"/>
          <w:szCs w:val="18"/>
        </w:rPr>
        <w:t>”</w:t>
      </w:r>
    </w:p>
    <w:p w:rsidR="006123A1" w:rsidRPr="00470C97" w:rsidRDefault="0042662F" w:rsidP="00470C97">
      <w:pPr>
        <w:jc w:val="right"/>
        <w:rPr>
          <w:b/>
          <w:sz w:val="18"/>
          <w:szCs w:val="18"/>
        </w:rPr>
      </w:pPr>
      <w:r>
        <w:rPr>
          <w:b/>
          <w:sz w:val="18"/>
          <w:szCs w:val="18"/>
        </w:rPr>
        <w:t>S</w:t>
      </w:r>
      <w:r w:rsidR="006123A1" w:rsidRPr="00470C97">
        <w:rPr>
          <w:b/>
          <w:sz w:val="18"/>
          <w:szCs w:val="18"/>
        </w:rPr>
        <w:t xml:space="preserve">&amp;P: </w:t>
      </w:r>
      <w:r w:rsidR="00A06786">
        <w:rPr>
          <w:b/>
          <w:sz w:val="18"/>
          <w:szCs w:val="18"/>
        </w:rPr>
        <w:t>“</w:t>
      </w:r>
      <w:r w:rsidR="00292BB5">
        <w:rPr>
          <w:b/>
          <w:sz w:val="18"/>
          <w:szCs w:val="18"/>
        </w:rPr>
        <w:t>AA-</w:t>
      </w:r>
      <w:r w:rsidR="00A06786">
        <w:rPr>
          <w:b/>
          <w:sz w:val="18"/>
          <w:szCs w:val="18"/>
        </w:rPr>
        <w:t>”</w:t>
      </w:r>
    </w:p>
    <w:p w:rsidR="006123A1" w:rsidRPr="00470C97" w:rsidRDefault="006123A1" w:rsidP="00470C97">
      <w:pPr>
        <w:jc w:val="right"/>
        <w:rPr>
          <w:b/>
          <w:sz w:val="18"/>
          <w:szCs w:val="18"/>
        </w:rPr>
      </w:pPr>
      <w:r w:rsidRPr="00470C97">
        <w:rPr>
          <w:b/>
          <w:sz w:val="18"/>
          <w:szCs w:val="18"/>
        </w:rPr>
        <w:t xml:space="preserve">(See </w:t>
      </w:r>
      <w:r w:rsidR="00A06786">
        <w:rPr>
          <w:b/>
          <w:sz w:val="18"/>
          <w:szCs w:val="18"/>
        </w:rPr>
        <w:t>“</w:t>
      </w:r>
      <w:r w:rsidRPr="00470C97">
        <w:rPr>
          <w:b/>
          <w:sz w:val="18"/>
          <w:szCs w:val="18"/>
        </w:rPr>
        <w:t>RATINGS</w:t>
      </w:r>
      <w:r w:rsidR="00A06786">
        <w:rPr>
          <w:b/>
          <w:sz w:val="18"/>
          <w:szCs w:val="18"/>
        </w:rPr>
        <w:t>”</w:t>
      </w:r>
      <w:r w:rsidRPr="00470C97">
        <w:rPr>
          <w:b/>
          <w:sz w:val="18"/>
          <w:szCs w:val="18"/>
        </w:rPr>
        <w:t xml:space="preserve"> herein)</w:t>
      </w:r>
    </w:p>
    <w:p w:rsidR="00470C97" w:rsidRPr="00470C97" w:rsidRDefault="00470C97" w:rsidP="006123A1">
      <w:pPr>
        <w:rPr>
          <w:sz w:val="18"/>
          <w:szCs w:val="18"/>
        </w:rPr>
      </w:pPr>
    </w:p>
    <w:p w:rsidR="00006F60" w:rsidRPr="00006F60" w:rsidRDefault="00006F60" w:rsidP="00006F60">
      <w:pPr>
        <w:pStyle w:val="BodyText8pt"/>
        <w:rPr>
          <w:i/>
        </w:rPr>
      </w:pPr>
      <w:r w:rsidRPr="00006F60">
        <w:rPr>
          <w:i/>
        </w:rPr>
        <w:t xml:space="preserve">In the opinion of Kutak Rock LLP, Bond Counsel, under existing laws, regulations, rulings and judicial decisions and assuming the accuracy of certain representations and continuing compliance with certain covenants, the portion of Base Rent paid by the State which is designated and paid as interest on the Series </w:t>
      </w:r>
      <w:r w:rsidR="00480C95">
        <w:rPr>
          <w:i/>
        </w:rPr>
        <w:t>2020R</w:t>
      </w:r>
      <w:r w:rsidR="005A6697">
        <w:rPr>
          <w:i/>
        </w:rPr>
        <w:t xml:space="preserve"> Certificates </w:t>
      </w:r>
      <w:r w:rsidRPr="00006F60">
        <w:rPr>
          <w:i/>
        </w:rPr>
        <w:t>is excludable from gross income for federal income tax purposes and is not a specific preference item for purposes of the fed</w:t>
      </w:r>
      <w:r w:rsidR="008C31C1">
        <w:rPr>
          <w:i/>
        </w:rPr>
        <w:t>eral alternative minimum tax.  Bond Counsel is also of the opinion that, u</w:t>
      </w:r>
      <w:r w:rsidRPr="00006F60">
        <w:rPr>
          <w:i/>
        </w:rPr>
        <w:t xml:space="preserve">nder existing Colorado statutes, the interest received by the Owners of the Series </w:t>
      </w:r>
      <w:r w:rsidR="00480C95">
        <w:rPr>
          <w:i/>
        </w:rPr>
        <w:t>2020R</w:t>
      </w:r>
      <w:r w:rsidRPr="00006F60">
        <w:rPr>
          <w:i/>
        </w:rPr>
        <w:t xml:space="preserve"> Certificates with respect to their undivided interests in the Base Rent that is designated and paid as interest under the Leases is exempt from State of Colorado income tax.  Bond Counsel expresses no opinion regarding other tax consequences related to the ownership or disposition of Series </w:t>
      </w:r>
      <w:r w:rsidR="00480C95">
        <w:rPr>
          <w:i/>
        </w:rPr>
        <w:t>2020R</w:t>
      </w:r>
      <w:r w:rsidRPr="00006F60">
        <w:rPr>
          <w:i/>
        </w:rPr>
        <w:t xml:space="preserve"> Certificates.  See </w:t>
      </w:r>
      <w:r w:rsidR="00A06786">
        <w:rPr>
          <w:i/>
        </w:rPr>
        <w:t>“</w:t>
      </w:r>
      <w:r w:rsidRPr="00006F60">
        <w:rPr>
          <w:i/>
        </w:rPr>
        <w:t>TAX MATTERS</w:t>
      </w:r>
      <w:r w:rsidR="00A06786">
        <w:rPr>
          <w:i/>
        </w:rPr>
        <w:t>”</w:t>
      </w:r>
      <w:r w:rsidRPr="00006F60">
        <w:rPr>
          <w:i/>
        </w:rPr>
        <w:t xml:space="preserve"> herein. </w:t>
      </w:r>
    </w:p>
    <w:p w:rsidR="00006F60" w:rsidRPr="00006F60" w:rsidRDefault="00006F60" w:rsidP="00006F60">
      <w:pPr>
        <w:jc w:val="center"/>
        <w:rPr>
          <w:szCs w:val="22"/>
        </w:rPr>
      </w:pPr>
      <w:r w:rsidRPr="00006F60">
        <w:rPr>
          <w:b/>
          <w:szCs w:val="22"/>
        </w:rPr>
        <w:t>$</w:t>
      </w:r>
      <w:r w:rsidR="005A6697">
        <w:rPr>
          <w:b/>
          <w:szCs w:val="22"/>
        </w:rPr>
        <w:t>98</w:t>
      </w:r>
      <w:r w:rsidR="00292BB5">
        <w:rPr>
          <w:b/>
          <w:szCs w:val="22"/>
        </w:rPr>
        <w:t>,</w:t>
      </w:r>
      <w:r w:rsidR="005A6697">
        <w:rPr>
          <w:b/>
          <w:szCs w:val="22"/>
        </w:rPr>
        <w:t>0</w:t>
      </w:r>
      <w:r w:rsidR="00292BB5">
        <w:rPr>
          <w:b/>
          <w:szCs w:val="22"/>
        </w:rPr>
        <w:t>30,000</w:t>
      </w:r>
    </w:p>
    <w:p w:rsidR="006123A1" w:rsidRPr="0042662F" w:rsidRDefault="006123A1" w:rsidP="00006F60">
      <w:pPr>
        <w:jc w:val="center"/>
        <w:rPr>
          <w:b/>
          <w:szCs w:val="22"/>
        </w:rPr>
      </w:pPr>
      <w:r w:rsidRPr="0042662F">
        <w:rPr>
          <w:b/>
          <w:szCs w:val="22"/>
        </w:rPr>
        <w:t>STATE OF COLORADO</w:t>
      </w:r>
    </w:p>
    <w:p w:rsidR="006123A1" w:rsidRPr="0042662F" w:rsidRDefault="006123A1" w:rsidP="0042662F">
      <w:pPr>
        <w:jc w:val="center"/>
        <w:rPr>
          <w:b/>
          <w:szCs w:val="22"/>
        </w:rPr>
      </w:pPr>
      <w:r w:rsidRPr="0042662F">
        <w:rPr>
          <w:b/>
          <w:szCs w:val="22"/>
        </w:rPr>
        <w:t>BUILDING EXCELLENT SCHOOLS TODAY</w:t>
      </w:r>
    </w:p>
    <w:p w:rsidR="006123A1" w:rsidRDefault="006123A1" w:rsidP="0042662F">
      <w:pPr>
        <w:jc w:val="center"/>
        <w:rPr>
          <w:b/>
          <w:szCs w:val="22"/>
        </w:rPr>
      </w:pPr>
      <w:r w:rsidRPr="0042662F">
        <w:rPr>
          <w:b/>
          <w:szCs w:val="22"/>
        </w:rPr>
        <w:t>CERTIFICATES OF PARTICIPATION</w:t>
      </w:r>
    </w:p>
    <w:p w:rsidR="00006F60" w:rsidRPr="0042662F" w:rsidRDefault="00912686" w:rsidP="0042662F">
      <w:pPr>
        <w:jc w:val="center"/>
        <w:rPr>
          <w:b/>
          <w:szCs w:val="22"/>
        </w:rPr>
      </w:pPr>
      <w:r>
        <w:rPr>
          <w:b/>
          <w:szCs w:val="22"/>
        </w:rPr>
        <w:t>TAX-EXEMPT SERIES 2020R</w:t>
      </w:r>
    </w:p>
    <w:p w:rsidR="0042662F" w:rsidRDefault="0042662F" w:rsidP="006123A1">
      <w:pPr>
        <w:rPr>
          <w:sz w:val="18"/>
          <w:szCs w:val="18"/>
        </w:rPr>
      </w:pPr>
    </w:p>
    <w:p w:rsidR="006123A1" w:rsidRPr="0042662F" w:rsidRDefault="006123A1" w:rsidP="0042662F">
      <w:pPr>
        <w:tabs>
          <w:tab w:val="right" w:pos="9900"/>
        </w:tabs>
        <w:rPr>
          <w:b/>
          <w:sz w:val="16"/>
          <w:szCs w:val="16"/>
        </w:rPr>
      </w:pPr>
      <w:r w:rsidRPr="0042662F">
        <w:rPr>
          <w:b/>
          <w:sz w:val="16"/>
          <w:szCs w:val="16"/>
        </w:rPr>
        <w:t>Dated:  Date of Delivery</w:t>
      </w:r>
      <w:r w:rsidRPr="0042662F">
        <w:rPr>
          <w:b/>
          <w:sz w:val="16"/>
          <w:szCs w:val="16"/>
        </w:rPr>
        <w:tab/>
        <w:t>Due:  March 15, as shown on the inside front cover</w:t>
      </w:r>
    </w:p>
    <w:p w:rsidR="0042662F" w:rsidRPr="00470C97" w:rsidRDefault="0042662F" w:rsidP="0042662F">
      <w:pPr>
        <w:jc w:val="right"/>
        <w:rPr>
          <w:sz w:val="18"/>
          <w:szCs w:val="18"/>
        </w:rPr>
      </w:pPr>
    </w:p>
    <w:p w:rsidR="006123A1" w:rsidRPr="0042662F" w:rsidRDefault="006123A1" w:rsidP="00340170">
      <w:pPr>
        <w:pStyle w:val="BodyText8pt"/>
      </w:pPr>
      <w:r w:rsidRPr="0042662F">
        <w:t xml:space="preserve">The Series </w:t>
      </w:r>
      <w:r w:rsidR="00480C95">
        <w:t>2020R</w:t>
      </w:r>
      <w:r w:rsidRPr="0042662F">
        <w:t xml:space="preserve"> Certificates will be exec</w:t>
      </w:r>
      <w:r w:rsidR="008C31C1">
        <w:t>uted and delivered pursuant to and secured by</w:t>
      </w:r>
      <w:r w:rsidRPr="0042662F">
        <w:t xml:space="preserve"> a Master Trust Indenture, </w:t>
      </w:r>
      <w:r w:rsidR="007B6F29">
        <w:t xml:space="preserve">as </w:t>
      </w:r>
      <w:r w:rsidRPr="0042662F">
        <w:t xml:space="preserve">supplemented </w:t>
      </w:r>
      <w:r w:rsidR="00DA0528">
        <w:t xml:space="preserve">(the </w:t>
      </w:r>
      <w:r w:rsidR="00A06786">
        <w:t>“</w:t>
      </w:r>
      <w:r w:rsidR="00DA0528">
        <w:t>Indenture</w:t>
      </w:r>
      <w:r w:rsidR="00A06786">
        <w:t>”</w:t>
      </w:r>
      <w:r w:rsidR="00DA0528">
        <w:t>), including</w:t>
      </w:r>
      <w:r w:rsidRPr="0042662F">
        <w:t xml:space="preserve"> </w:t>
      </w:r>
      <w:r w:rsidR="001F7915">
        <w:t xml:space="preserve">a </w:t>
      </w:r>
      <w:r w:rsidRPr="0042662F">
        <w:t xml:space="preserve">supplemental indenture </w:t>
      </w:r>
      <w:r w:rsidR="001F7915">
        <w:t xml:space="preserve">securing </w:t>
      </w:r>
      <w:r w:rsidRPr="0042662F">
        <w:t xml:space="preserve">the Series </w:t>
      </w:r>
      <w:r w:rsidR="00480C95">
        <w:t>2020R</w:t>
      </w:r>
      <w:r w:rsidRPr="0042662F">
        <w:t xml:space="preserve"> Certificates, executed and delivered by Z</w:t>
      </w:r>
      <w:r w:rsidR="00006F60">
        <w:t>ions Bancorporation</w:t>
      </w:r>
      <w:r w:rsidRPr="0042662F">
        <w:t xml:space="preserve">, National Association, Denver, Colorado, as Trustee, and will evidence proportionate interests in the right of the Trustee to receive Base Rent and certain other amounts payable by the State of Colorado pursuant to certain annually renewable lease purchase agreements between the Trustee, as lessor, and the State, acting by and through the State Treasurer, as lessee, in respect of property that has been leased to the Trustee by certain Participating </w:t>
      </w:r>
      <w:r w:rsidR="00006F60">
        <w:t>K-12</w:t>
      </w:r>
      <w:r w:rsidRPr="0042662F">
        <w:t xml:space="preserve"> Institutions (or, in the case of some charter schools, the chartering entities) in connection with the funding of capital construction projects for such Participating </w:t>
      </w:r>
      <w:r w:rsidR="00006F60">
        <w:t>K-12</w:t>
      </w:r>
      <w:r w:rsidRPr="0042662F">
        <w:t xml:space="preserve"> Institutions, and in turn subleased back from the State by such Participating </w:t>
      </w:r>
      <w:r w:rsidR="00006F60">
        <w:t>K-12</w:t>
      </w:r>
      <w:r w:rsidRPr="0042662F">
        <w:t xml:space="preserve"> Institutions, pursuant to the State</w:t>
      </w:r>
      <w:r w:rsidR="00A06786">
        <w:t>’</w:t>
      </w:r>
      <w:r w:rsidRPr="0042662F">
        <w:t xml:space="preserve">s Building Excellent Schools Today (BEST) grant program as described herein.  </w:t>
      </w:r>
      <w:r w:rsidRPr="0042662F">
        <w:rPr>
          <w:i/>
        </w:rPr>
        <w:t>Capitalized terms not otherwise defined on this cover page have the meanings set forth in this Official Statement.</w:t>
      </w:r>
    </w:p>
    <w:p w:rsidR="006123A1" w:rsidRPr="0042662F" w:rsidRDefault="006123A1" w:rsidP="00340170">
      <w:pPr>
        <w:pStyle w:val="BodyText8pt"/>
      </w:pPr>
      <w:r w:rsidRPr="0042662F">
        <w:t xml:space="preserve">The net proceeds of the Series </w:t>
      </w:r>
      <w:r w:rsidR="00480C95">
        <w:t>2020R</w:t>
      </w:r>
      <w:r w:rsidRPr="0042662F">
        <w:t xml:space="preserve"> Certificates will be used to </w:t>
      </w:r>
      <w:r w:rsidR="00DA0528">
        <w:t xml:space="preserve">(a) </w:t>
      </w:r>
      <w:r w:rsidR="00006F60" w:rsidRPr="001E0EFB">
        <w:t xml:space="preserve">pay the costs of projects for K-12 public school institutions (the </w:t>
      </w:r>
      <w:r w:rsidR="00A06786">
        <w:t>“</w:t>
      </w:r>
      <w:r w:rsidR="00006F60" w:rsidRPr="00006F60">
        <w:t>Participating K-12 Institutions</w:t>
      </w:r>
      <w:r w:rsidR="00A06786">
        <w:t>”</w:t>
      </w:r>
      <w:r w:rsidR="00CE3B6E">
        <w:t>) that have been</w:t>
      </w:r>
      <w:r w:rsidR="00006F60" w:rsidRPr="00006F60">
        <w:t xml:space="preserve"> reviewed, prioritized and recommended by the Public School Capital Construction Assistance Board (the </w:t>
      </w:r>
      <w:r w:rsidR="00A06786">
        <w:t>“</w:t>
      </w:r>
      <w:r w:rsidR="00006F60" w:rsidRPr="00006F60">
        <w:t>Assistance Board</w:t>
      </w:r>
      <w:r w:rsidR="00A06786">
        <w:t>”</w:t>
      </w:r>
      <w:r w:rsidR="00006F60" w:rsidRPr="00006F60">
        <w:t>) for approval by the State Board of Education and the State</w:t>
      </w:r>
      <w:r w:rsidR="00A06786">
        <w:t>’</w:t>
      </w:r>
      <w:r w:rsidR="00006F60" w:rsidRPr="00006F60">
        <w:t>s Capital Development Committee</w:t>
      </w:r>
      <w:r w:rsidR="00DA0528">
        <w:t>,</w:t>
      </w:r>
      <w:r w:rsidR="00006F60" w:rsidRPr="00006F60">
        <w:t xml:space="preserve"> </w:t>
      </w:r>
      <w:r w:rsidR="00DA0528">
        <w:t>(b)</w:t>
      </w:r>
      <w:r w:rsidR="00006F60" w:rsidRPr="00006F60">
        <w:t xml:space="preserve"> pay the costs of issuance</w:t>
      </w:r>
      <w:r w:rsidR="00006F60" w:rsidRPr="001E0EFB">
        <w:t xml:space="preserve"> of the </w:t>
      </w:r>
      <w:r w:rsidR="00480C95">
        <w:t>2020R</w:t>
      </w:r>
      <w:r w:rsidR="00006F60">
        <w:t xml:space="preserve"> </w:t>
      </w:r>
      <w:r w:rsidR="00006F60" w:rsidRPr="001E0EFB">
        <w:t xml:space="preserve">Certificates and </w:t>
      </w:r>
      <w:r w:rsidR="00DA0528">
        <w:t xml:space="preserve">(c) </w:t>
      </w:r>
      <w:r w:rsidR="00006F60" w:rsidRPr="001E0EFB">
        <w:t>make deposits to funds and accounts held by the Trustee under the Indenture</w:t>
      </w:r>
      <w:r w:rsidR="00006F60">
        <w:t>.</w:t>
      </w:r>
    </w:p>
    <w:p w:rsidR="006123A1" w:rsidRPr="0042662F" w:rsidRDefault="006123A1" w:rsidP="00340170">
      <w:pPr>
        <w:pStyle w:val="BodyText8pt"/>
      </w:pPr>
      <w:r w:rsidRPr="0042662F">
        <w:t xml:space="preserve">The Series </w:t>
      </w:r>
      <w:r w:rsidR="00480C95">
        <w:t>2020R</w:t>
      </w:r>
      <w:r w:rsidRPr="0042662F">
        <w:t xml:space="preserve"> Certificates will be registered initially in the name of Cede &amp; Co., as nominee of The Depository Trust Company, New York, New York, which will act as securities depository for the Series </w:t>
      </w:r>
      <w:r w:rsidR="00480C95">
        <w:t>2020R</w:t>
      </w:r>
      <w:r w:rsidRPr="0042662F">
        <w:t xml:space="preserve"> Certificates.  Beneficial Ownership Interests in the Series </w:t>
      </w:r>
      <w:r w:rsidR="00480C95">
        <w:t>2020R</w:t>
      </w:r>
      <w:r w:rsidRPr="0042662F">
        <w:t xml:space="preserve"> Certificates, in non</w:t>
      </w:r>
      <w:r w:rsidR="0042662F">
        <w:t>-</w:t>
      </w:r>
      <w:r w:rsidRPr="0042662F">
        <w:t xml:space="preserve">certificated book entry only form, may be purchased in integral multiples of $5,000 by or through participants in the DTC system.  Beneficial Ownership Interests will be governed as to receipt of payments, notices and other communications, transfers and various other matters with respect to the Series </w:t>
      </w:r>
      <w:r w:rsidR="00480C95">
        <w:t>2020R</w:t>
      </w:r>
      <w:r w:rsidRPr="0042662F">
        <w:t xml:space="preserve"> Certificates by the rules and operating procedures applicable to the DTC book entry system as described herein.</w:t>
      </w:r>
    </w:p>
    <w:p w:rsidR="006123A1" w:rsidRPr="0042662F" w:rsidRDefault="006123A1" w:rsidP="00340170">
      <w:pPr>
        <w:pStyle w:val="BodyText8pt"/>
      </w:pPr>
      <w:r w:rsidRPr="0042662F">
        <w:t xml:space="preserve">The Series </w:t>
      </w:r>
      <w:r w:rsidR="00480C95">
        <w:t>2020R</w:t>
      </w:r>
      <w:r w:rsidRPr="0042662F">
        <w:t xml:space="preserve"> Certificates bear interest at the rates per annum set forth on the inside front cover hereof payable semi-annually on each March 15 and September 15, commencing </w:t>
      </w:r>
      <w:r w:rsidR="003F3119">
        <w:t>March 15</w:t>
      </w:r>
      <w:r w:rsidRPr="0042662F">
        <w:t>, 20</w:t>
      </w:r>
      <w:r w:rsidR="00480C95">
        <w:t>21</w:t>
      </w:r>
      <w:r w:rsidRPr="0042662F">
        <w:t>, and mature in the amounts and on the dates set forth on the inside front cover hereof, subject to optional, mandatory and extraordinary redemption prior to maturity as described herein.</w:t>
      </w:r>
    </w:p>
    <w:tbl>
      <w:tblPr>
        <w:tblStyle w:val="TableGrid"/>
        <w:tblW w:w="4320" w:type="dxa"/>
        <w:jc w:val="center"/>
        <w:tblBorders>
          <w:left w:val="none" w:sz="0" w:space="0" w:color="auto"/>
          <w:right w:val="none" w:sz="0" w:space="0" w:color="auto"/>
        </w:tblBorders>
        <w:tblLook w:val="04A0" w:firstRow="1" w:lastRow="0" w:firstColumn="1" w:lastColumn="0" w:noHBand="0" w:noVBand="1"/>
      </w:tblPr>
      <w:tblGrid>
        <w:gridCol w:w="4320"/>
      </w:tblGrid>
      <w:tr w:rsidR="0042662F" w:rsidRPr="0042662F" w:rsidTr="0042662F">
        <w:trPr>
          <w:jc w:val="center"/>
        </w:trPr>
        <w:tc>
          <w:tcPr>
            <w:tcW w:w="9926" w:type="dxa"/>
          </w:tcPr>
          <w:p w:rsidR="0042662F" w:rsidRPr="0042662F" w:rsidRDefault="0042662F" w:rsidP="00205B0F">
            <w:pPr>
              <w:spacing w:before="20" w:after="20"/>
              <w:jc w:val="center"/>
              <w:rPr>
                <w:b/>
                <w:sz w:val="16"/>
                <w:szCs w:val="16"/>
              </w:rPr>
            </w:pPr>
            <w:r w:rsidRPr="0042662F">
              <w:rPr>
                <w:b/>
                <w:sz w:val="16"/>
                <w:szCs w:val="16"/>
              </w:rPr>
              <w:t>Maturity Schedules on the Inside Front Cover</w:t>
            </w:r>
          </w:p>
        </w:tc>
      </w:tr>
    </w:tbl>
    <w:p w:rsidR="0042662F" w:rsidRPr="0042662F" w:rsidRDefault="0042662F" w:rsidP="0042662F">
      <w:pPr>
        <w:jc w:val="center"/>
        <w:rPr>
          <w:sz w:val="16"/>
          <w:szCs w:val="16"/>
        </w:rPr>
      </w:pPr>
    </w:p>
    <w:p w:rsidR="006123A1" w:rsidRPr="00205B0F" w:rsidRDefault="006123A1" w:rsidP="00205B0F">
      <w:pPr>
        <w:pStyle w:val="BodyText8pt"/>
      </w:pPr>
      <w:r w:rsidRPr="00205B0F">
        <w:rPr>
          <w:b/>
          <w:i/>
        </w:rPr>
        <w:t xml:space="preserve">The Series </w:t>
      </w:r>
      <w:r w:rsidR="00480C95">
        <w:rPr>
          <w:b/>
          <w:i/>
        </w:rPr>
        <w:t>2020R</w:t>
      </w:r>
      <w:r w:rsidRPr="00205B0F">
        <w:rPr>
          <w:b/>
          <w:i/>
        </w:rPr>
        <w:t xml:space="preserve"> Certificates are secured on a parity basis with all other Series of Certificates executed and delivered pursuant to the Indenture, all of which evidence undivided interests in the right to receive the Lease Revenues as described herein, and are payable solely from the Trust Estate under the Indenture without preference, priority or distinction of any Certificate over any other Certificate. </w:t>
      </w:r>
      <w:r w:rsidRPr="00205B0F">
        <w:t xml:space="preserve"> The Rent under the Leases is payable by the State from moneys in the Public School Capital Construction Assistance Fund, which is funded from revenues received by the State from: (i) a portion of rental income and royalties derived from State school lands; (ii) a portion of the State lottery proceeds; (iii) payments of Matching Moneys from certain </w:t>
      </w:r>
      <w:r w:rsidR="00006F60">
        <w:t>K-12</w:t>
      </w:r>
      <w:r w:rsidRPr="00205B0F">
        <w:t xml:space="preserve"> public school institutions, including charter schools, for which the projects are financed; (iv)</w:t>
      </w:r>
      <w:r w:rsidR="007835F2">
        <w:t> </w:t>
      </w:r>
      <w:r w:rsidRPr="00205B0F">
        <w:t>excise tax revenue from marijuana sales; and (v) if the amount in the Assistance Fund is insufficient to pay the full amount of the payments due to be made under the Leases, any moneys that the Colorado General Assembly transfers to the Assistance Fund from any other legally available sources, including the State General Fund.  Upon the occurrence of an Event of Default or an Event of Nonappropriation under any Lease, the Trustee will be entitled to exercise certain remedies with respect to the Leased Property that the State has leased from the Trustee pursuant to the Leases, subject to the terms of the Leases and the Indenture.</w:t>
      </w:r>
    </w:p>
    <w:p w:rsidR="006123A1" w:rsidRPr="00205B0F" w:rsidRDefault="006123A1" w:rsidP="00205B0F">
      <w:pPr>
        <w:pStyle w:val="BodyText8pt"/>
      </w:pPr>
      <w:r w:rsidRPr="00205B0F">
        <w:t xml:space="preserve">Payment of Rent and all other payments by the State constitute currently appropriated expenditures of the State and may be paid solely from legally available moneys in the Assistance Fund, including any moneys appropriated or transferred by the General Assembly to the Assistance Fund from any legally available source if the amount of money in the Assistance Fund that is available to pay Rent will be insufficient to cover the full amount of Rent.  All obligations of the State under the Leases are subject to the action of the General Assembly in annually making moneys available for payments thereunder.  The obligations of the State to pay Rent and all other obligations of the State under the Leases are subject to </w:t>
      </w:r>
      <w:r w:rsidRPr="00205B0F">
        <w:lastRenderedPageBreak/>
        <w:t>appropriation by the General Assembly in its sole discretion, and are not to be deemed or construed as creating an indebtedness of the State within the meaning of any provision of the State Constitution or the laws of the State concerning or limiting the creation of indebtedness of the State or constitute a multiple fiscal year direct or indirect debt or other financial obligation of the State within the meaning of Section 3 of Article XI or Section 20(4) of Article X of the State Constitution or any other limitation or provision of the State Constitution, State statutes or other State law.  In the event the State does not renew any Leases, the sole security available to the Trustee, as lessor under the Leases, is the Leased Property leased under the Leases, subject to the terms of the Leases.</w:t>
      </w:r>
    </w:p>
    <w:p w:rsidR="006123A1" w:rsidRPr="00205B0F" w:rsidRDefault="006123A1" w:rsidP="00205B0F">
      <w:pPr>
        <w:pStyle w:val="BodyText8pt"/>
        <w:rPr>
          <w:i/>
        </w:rPr>
      </w:pPr>
      <w:r w:rsidRPr="00205B0F">
        <w:rPr>
          <w:i/>
        </w:rPr>
        <w:t xml:space="preserve">This cover page contains certain information for quick reference only.  It is not a summary of the transaction.  Each prospective investor should read this Official Statement in its entirety to obtain information essential to making an informed investment decision and should give particular attention to the section entitled </w:t>
      </w:r>
      <w:r w:rsidR="00A06786">
        <w:rPr>
          <w:i/>
        </w:rPr>
        <w:t>“</w:t>
      </w:r>
      <w:r w:rsidRPr="00205B0F">
        <w:rPr>
          <w:i/>
        </w:rPr>
        <w:t>CERTAIN RISK FACTORS.</w:t>
      </w:r>
      <w:r w:rsidR="00A06786">
        <w:rPr>
          <w:i/>
        </w:rPr>
        <w:t>”</w:t>
      </w:r>
      <w:r w:rsidRPr="00205B0F">
        <w:rPr>
          <w:i/>
        </w:rPr>
        <w:t xml:space="preserve">  </w:t>
      </w:r>
    </w:p>
    <w:p w:rsidR="006123A1" w:rsidRPr="00205B0F" w:rsidRDefault="006123A1" w:rsidP="00205B0F">
      <w:pPr>
        <w:pStyle w:val="BodyText8pt"/>
      </w:pPr>
      <w:r w:rsidRPr="00205B0F">
        <w:t xml:space="preserve">The Series </w:t>
      </w:r>
      <w:r w:rsidR="00480C95">
        <w:t>2020R</w:t>
      </w:r>
      <w:r w:rsidRPr="00205B0F">
        <w:t xml:space="preserve"> Certificates are offered when, as and if delivered, subject to the approving opinion of </w:t>
      </w:r>
      <w:r w:rsidR="00006F60">
        <w:t>Kutak Rock LLP</w:t>
      </w:r>
      <w:r w:rsidRPr="00205B0F">
        <w:t xml:space="preserve">, Denver, Colorado, as Bond Counsel, and certain other conditions.  </w:t>
      </w:r>
      <w:r w:rsidR="00006F60">
        <w:t>Sherman &amp; Howard L.L.C.</w:t>
      </w:r>
      <w:r w:rsidRPr="00205B0F">
        <w:t>, Denver, Colorado, has acted as counsel to the State in connection with the preparation of this Official Statement.  Certain legal matters will be pa</w:t>
      </w:r>
      <w:r w:rsidR="001A070C">
        <w:t>ssed upon for the State by the O</w:t>
      </w:r>
      <w:r w:rsidRPr="00205B0F">
        <w:t xml:space="preserve">ffice of the Attorney General of the State, as counsel to the State.  </w:t>
      </w:r>
      <w:r w:rsidR="00D71B53">
        <w:t>Stradling Yocca Carlson &amp; Rauth</w:t>
      </w:r>
      <w:r w:rsidRPr="00205B0F">
        <w:t xml:space="preserve">, Denver, Colorado, has acted as counsel to the Underwriters set forth below in connection with the execution and delivery of the Series </w:t>
      </w:r>
      <w:r w:rsidR="00480C95">
        <w:t>2020R</w:t>
      </w:r>
      <w:r w:rsidRPr="00205B0F">
        <w:t xml:space="preserve"> Certificates.  </w:t>
      </w:r>
      <w:r w:rsidR="00006F60">
        <w:t>Hilltop Securities</w:t>
      </w:r>
      <w:r w:rsidR="000D6F46">
        <w:t xml:space="preserve"> Inc.</w:t>
      </w:r>
      <w:r w:rsidRPr="00205B0F">
        <w:t xml:space="preserve">, Denver, Colorado, has acted as municipal advisor to the State in connection with the offering and execution and delivery of the Series </w:t>
      </w:r>
      <w:r w:rsidR="00480C95">
        <w:t>2020R</w:t>
      </w:r>
      <w:r w:rsidRPr="00205B0F">
        <w:t xml:space="preserve"> Certificates.  It is expected that the Series </w:t>
      </w:r>
      <w:r w:rsidR="00480C95">
        <w:t>2020R</w:t>
      </w:r>
      <w:r w:rsidRPr="00205B0F">
        <w:t xml:space="preserve"> Certificates will be executed and available for delivery through the facilities of DTC on or about </w:t>
      </w:r>
      <w:r w:rsidR="00006F60">
        <w:t xml:space="preserve">December </w:t>
      </w:r>
      <w:r w:rsidR="00292BB5">
        <w:t>9</w:t>
      </w:r>
      <w:r w:rsidR="009B293F">
        <w:t>, 2020</w:t>
      </w:r>
      <w:r w:rsidRPr="00205B0F">
        <w:t>.</w:t>
      </w:r>
    </w:p>
    <w:tbl>
      <w:tblPr>
        <w:tblW w:w="7560" w:type="dxa"/>
        <w:jc w:val="center"/>
        <w:tblLayout w:type="fixed"/>
        <w:tblLook w:val="04A0" w:firstRow="1" w:lastRow="0" w:firstColumn="1" w:lastColumn="0" w:noHBand="0" w:noVBand="1"/>
      </w:tblPr>
      <w:tblGrid>
        <w:gridCol w:w="4410"/>
        <w:gridCol w:w="3150"/>
      </w:tblGrid>
      <w:tr w:rsidR="000A6530" w:rsidRPr="00C91839" w:rsidTr="000A6530">
        <w:trPr>
          <w:trHeight w:val="270"/>
          <w:jc w:val="center"/>
        </w:trPr>
        <w:tc>
          <w:tcPr>
            <w:tcW w:w="7560" w:type="dxa"/>
            <w:gridSpan w:val="2"/>
            <w:shd w:val="clear" w:color="auto" w:fill="auto"/>
          </w:tcPr>
          <w:p w:rsidR="000A6530" w:rsidRDefault="000A6530" w:rsidP="000A6530">
            <w:pPr>
              <w:tabs>
                <w:tab w:val="left" w:pos="2310"/>
              </w:tabs>
              <w:jc w:val="center"/>
              <w:rPr>
                <w:b/>
                <w:sz w:val="18"/>
                <w:szCs w:val="24"/>
              </w:rPr>
            </w:pPr>
            <w:r w:rsidRPr="00C91839">
              <w:rPr>
                <w:b/>
                <w:sz w:val="18"/>
                <w:szCs w:val="24"/>
              </w:rPr>
              <w:t>RBC CAPITAL MARKETS</w:t>
            </w:r>
            <w:r>
              <w:rPr>
                <w:b/>
                <w:sz w:val="18"/>
                <w:szCs w:val="24"/>
              </w:rPr>
              <w:t xml:space="preserve"> LLC</w:t>
            </w:r>
          </w:p>
          <w:p w:rsidR="000A6530" w:rsidRPr="00C91839" w:rsidRDefault="000A6530" w:rsidP="000A6530">
            <w:pPr>
              <w:tabs>
                <w:tab w:val="left" w:pos="2310"/>
              </w:tabs>
              <w:jc w:val="center"/>
              <w:rPr>
                <w:b/>
                <w:sz w:val="18"/>
                <w:szCs w:val="24"/>
              </w:rPr>
            </w:pPr>
          </w:p>
        </w:tc>
      </w:tr>
      <w:tr w:rsidR="000A6530" w:rsidRPr="00C91839" w:rsidTr="000A6530">
        <w:trPr>
          <w:jc w:val="center"/>
        </w:trPr>
        <w:tc>
          <w:tcPr>
            <w:tcW w:w="4410" w:type="dxa"/>
            <w:shd w:val="clear" w:color="auto" w:fill="auto"/>
          </w:tcPr>
          <w:p w:rsidR="000A6530" w:rsidRPr="00C91839" w:rsidRDefault="009B293F" w:rsidP="000A6530">
            <w:pPr>
              <w:tabs>
                <w:tab w:val="left" w:pos="2310"/>
              </w:tabs>
              <w:jc w:val="center"/>
              <w:rPr>
                <w:b/>
                <w:sz w:val="18"/>
                <w:szCs w:val="24"/>
              </w:rPr>
            </w:pPr>
            <w:r>
              <w:rPr>
                <w:b/>
                <w:sz w:val="18"/>
                <w:szCs w:val="24"/>
              </w:rPr>
              <w:t>CITIGROUP</w:t>
            </w:r>
          </w:p>
        </w:tc>
        <w:tc>
          <w:tcPr>
            <w:tcW w:w="3150" w:type="dxa"/>
          </w:tcPr>
          <w:p w:rsidR="000A6530" w:rsidRDefault="00D57E2E" w:rsidP="000A6530">
            <w:pPr>
              <w:tabs>
                <w:tab w:val="left" w:pos="2310"/>
              </w:tabs>
              <w:jc w:val="center"/>
              <w:rPr>
                <w:b/>
                <w:sz w:val="18"/>
                <w:szCs w:val="24"/>
              </w:rPr>
            </w:pPr>
            <w:r>
              <w:rPr>
                <w:b/>
                <w:sz w:val="18"/>
                <w:szCs w:val="24"/>
              </w:rPr>
              <w:t>KEYBANC</w:t>
            </w:r>
            <w:r w:rsidR="009B293F">
              <w:rPr>
                <w:b/>
                <w:sz w:val="18"/>
                <w:szCs w:val="24"/>
              </w:rPr>
              <w:t xml:space="preserve"> CAPITAL MARKETS</w:t>
            </w:r>
            <w:r>
              <w:rPr>
                <w:b/>
                <w:sz w:val="18"/>
                <w:szCs w:val="24"/>
              </w:rPr>
              <w:t xml:space="preserve"> INC.</w:t>
            </w:r>
          </w:p>
        </w:tc>
      </w:tr>
    </w:tbl>
    <w:p w:rsidR="0042662F" w:rsidRPr="0042662F" w:rsidRDefault="0042662F" w:rsidP="0042662F">
      <w:pPr>
        <w:rPr>
          <w:sz w:val="16"/>
          <w:szCs w:val="16"/>
        </w:rPr>
      </w:pPr>
    </w:p>
    <w:p w:rsidR="002A4EAC" w:rsidRDefault="006123A1" w:rsidP="006123A1">
      <w:pPr>
        <w:rPr>
          <w:sz w:val="16"/>
          <w:szCs w:val="16"/>
        </w:rPr>
        <w:sectPr w:rsidR="002A4EAC" w:rsidSect="009F07A3">
          <w:headerReference w:type="even" r:id="rId8"/>
          <w:headerReference w:type="default" r:id="rId9"/>
          <w:footerReference w:type="even" r:id="rId10"/>
          <w:footerReference w:type="default" r:id="rId11"/>
          <w:headerReference w:type="first" r:id="rId12"/>
          <w:footerReference w:type="first" r:id="rId13"/>
          <w:footnotePr>
            <w:numFmt w:val="chicago"/>
            <w:numRestart w:val="eachPage"/>
          </w:footnotePr>
          <w:type w:val="continuous"/>
          <w:pgSz w:w="12240" w:h="15840"/>
          <w:pgMar w:top="1440" w:right="1440" w:bottom="1440" w:left="1440" w:header="720" w:footer="720" w:gutter="0"/>
          <w:cols w:space="720"/>
          <w:titlePg/>
          <w:docGrid w:linePitch="360"/>
        </w:sectPr>
      </w:pPr>
      <w:r w:rsidRPr="0042662F">
        <w:rPr>
          <w:sz w:val="16"/>
          <w:szCs w:val="16"/>
        </w:rPr>
        <w:t xml:space="preserve">Dated: </w:t>
      </w:r>
      <w:r w:rsidR="00006F60">
        <w:rPr>
          <w:sz w:val="16"/>
          <w:szCs w:val="16"/>
        </w:rPr>
        <w:t>November</w:t>
      </w:r>
      <w:r w:rsidRPr="0042662F">
        <w:rPr>
          <w:sz w:val="16"/>
          <w:szCs w:val="16"/>
        </w:rPr>
        <w:t xml:space="preserve"> </w:t>
      </w:r>
      <w:r w:rsidR="009E72FC">
        <w:rPr>
          <w:sz w:val="16"/>
          <w:szCs w:val="16"/>
        </w:rPr>
        <w:t>18</w:t>
      </w:r>
      <w:r w:rsidR="0053163D">
        <w:rPr>
          <w:sz w:val="16"/>
          <w:szCs w:val="16"/>
        </w:rPr>
        <w:t>, 2020</w:t>
      </w:r>
    </w:p>
    <w:p w:rsidR="006123A1" w:rsidRPr="00205B0F" w:rsidRDefault="006123A1" w:rsidP="004B744C">
      <w:pPr>
        <w:jc w:val="center"/>
        <w:rPr>
          <w:b/>
          <w:sz w:val="20"/>
          <w:szCs w:val="20"/>
        </w:rPr>
      </w:pPr>
      <w:r w:rsidRPr="00205B0F">
        <w:rPr>
          <w:b/>
          <w:sz w:val="20"/>
          <w:szCs w:val="20"/>
        </w:rPr>
        <w:t>MATURITY SCHEDULE</w:t>
      </w:r>
    </w:p>
    <w:p w:rsidR="004B744C" w:rsidRPr="00205B0F" w:rsidRDefault="004B744C" w:rsidP="004B744C">
      <w:pPr>
        <w:jc w:val="center"/>
        <w:rPr>
          <w:b/>
          <w:sz w:val="20"/>
          <w:szCs w:val="20"/>
        </w:rPr>
      </w:pPr>
    </w:p>
    <w:p w:rsidR="006123A1" w:rsidRPr="00205B0F" w:rsidRDefault="009E72FC" w:rsidP="004B744C">
      <w:pPr>
        <w:jc w:val="center"/>
        <w:rPr>
          <w:b/>
          <w:sz w:val="20"/>
          <w:szCs w:val="20"/>
        </w:rPr>
      </w:pPr>
      <w:r>
        <w:rPr>
          <w:b/>
          <w:sz w:val="20"/>
          <w:szCs w:val="20"/>
        </w:rPr>
        <w:t>$98,030,000</w:t>
      </w:r>
    </w:p>
    <w:p w:rsidR="006123A1" w:rsidRPr="00205B0F" w:rsidRDefault="006123A1" w:rsidP="004B744C">
      <w:pPr>
        <w:jc w:val="center"/>
        <w:rPr>
          <w:b/>
          <w:sz w:val="20"/>
          <w:szCs w:val="20"/>
        </w:rPr>
      </w:pPr>
      <w:r w:rsidRPr="00205B0F">
        <w:rPr>
          <w:b/>
          <w:sz w:val="20"/>
          <w:szCs w:val="20"/>
        </w:rPr>
        <w:t>STATE OF COLORADO</w:t>
      </w:r>
    </w:p>
    <w:p w:rsidR="006123A1" w:rsidRPr="00205B0F" w:rsidRDefault="006123A1" w:rsidP="004B744C">
      <w:pPr>
        <w:jc w:val="center"/>
        <w:rPr>
          <w:b/>
          <w:sz w:val="20"/>
          <w:szCs w:val="20"/>
        </w:rPr>
      </w:pPr>
      <w:r w:rsidRPr="00205B0F">
        <w:rPr>
          <w:b/>
          <w:sz w:val="20"/>
          <w:szCs w:val="20"/>
        </w:rPr>
        <w:t>BUILDING EXCELLENT SCHOOLS TODAY</w:t>
      </w:r>
    </w:p>
    <w:p w:rsidR="006123A1" w:rsidRPr="00205B0F" w:rsidRDefault="006123A1" w:rsidP="004B744C">
      <w:pPr>
        <w:jc w:val="center"/>
        <w:rPr>
          <w:b/>
          <w:sz w:val="20"/>
          <w:szCs w:val="20"/>
        </w:rPr>
      </w:pPr>
      <w:r w:rsidRPr="00205B0F">
        <w:rPr>
          <w:b/>
          <w:sz w:val="20"/>
          <w:szCs w:val="20"/>
        </w:rPr>
        <w:t>CERTIFICATES OF PARTICIPATION</w:t>
      </w:r>
    </w:p>
    <w:p w:rsidR="006123A1" w:rsidRPr="00205B0F" w:rsidRDefault="006123A1" w:rsidP="00205B0F">
      <w:pPr>
        <w:jc w:val="center"/>
        <w:rPr>
          <w:b/>
          <w:sz w:val="20"/>
          <w:szCs w:val="20"/>
        </w:rPr>
      </w:pPr>
      <w:r w:rsidRPr="00205B0F">
        <w:rPr>
          <w:b/>
          <w:sz w:val="20"/>
          <w:szCs w:val="20"/>
        </w:rPr>
        <w:t xml:space="preserve">TAX-EXEMPT SERIES </w:t>
      </w:r>
      <w:r w:rsidR="00480C95">
        <w:rPr>
          <w:b/>
          <w:sz w:val="20"/>
          <w:szCs w:val="20"/>
        </w:rPr>
        <w:t>2020R</w:t>
      </w:r>
    </w:p>
    <w:p w:rsidR="004B744C" w:rsidRPr="00205B0F" w:rsidRDefault="004B744C" w:rsidP="004B744C">
      <w:pPr>
        <w:rPr>
          <w:sz w:val="20"/>
          <w:szCs w:val="20"/>
        </w:rPr>
      </w:pPr>
    </w:p>
    <w:tbl>
      <w:tblPr>
        <w:tblW w:w="3207" w:type="pct"/>
        <w:jc w:val="center"/>
        <w:tblCellMar>
          <w:left w:w="0" w:type="dxa"/>
          <w:right w:w="0" w:type="dxa"/>
        </w:tblCellMar>
        <w:tblLook w:val="01E0" w:firstRow="1" w:lastRow="1" w:firstColumn="1" w:lastColumn="1" w:noHBand="0" w:noVBand="0"/>
      </w:tblPr>
      <w:tblGrid>
        <w:gridCol w:w="1111"/>
        <w:gridCol w:w="1364"/>
        <w:gridCol w:w="1153"/>
        <w:gridCol w:w="1152"/>
        <w:gridCol w:w="1224"/>
      </w:tblGrid>
      <w:tr w:rsidR="004B744C" w:rsidRPr="00104FA7" w:rsidTr="00205B0F">
        <w:trPr>
          <w:jc w:val="center"/>
        </w:trPr>
        <w:tc>
          <w:tcPr>
            <w:tcW w:w="925" w:type="pct"/>
            <w:shd w:val="clear" w:color="auto" w:fill="auto"/>
            <w:vAlign w:val="bottom"/>
          </w:tcPr>
          <w:p w:rsidR="004B744C" w:rsidRPr="00104FA7" w:rsidRDefault="004B744C" w:rsidP="00205B0F">
            <w:pPr>
              <w:jc w:val="center"/>
              <w:rPr>
                <w:rFonts w:cs="Times New Roman"/>
                <w:b/>
                <w:sz w:val="20"/>
                <w:szCs w:val="20"/>
                <w:u w:val="single"/>
              </w:rPr>
            </w:pPr>
            <w:r w:rsidRPr="00104FA7">
              <w:rPr>
                <w:rFonts w:cs="Times New Roman"/>
                <w:b/>
                <w:sz w:val="20"/>
                <w:szCs w:val="20"/>
              </w:rPr>
              <w:t>Maturing</w:t>
            </w:r>
            <w:r w:rsidRPr="00104FA7">
              <w:rPr>
                <w:rFonts w:cs="Times New Roman"/>
                <w:b/>
                <w:sz w:val="20"/>
                <w:szCs w:val="20"/>
              </w:rPr>
              <w:br/>
            </w:r>
            <w:r w:rsidRPr="00104FA7">
              <w:rPr>
                <w:rFonts w:cs="Times New Roman"/>
                <w:b/>
                <w:sz w:val="20"/>
                <w:szCs w:val="20"/>
                <w:u w:val="single"/>
              </w:rPr>
              <w:t>(March 15)</w:t>
            </w:r>
          </w:p>
        </w:tc>
        <w:tc>
          <w:tcPr>
            <w:tcW w:w="1136" w:type="pct"/>
            <w:shd w:val="clear" w:color="auto" w:fill="auto"/>
            <w:vAlign w:val="bottom"/>
          </w:tcPr>
          <w:p w:rsidR="004B744C" w:rsidRPr="00104FA7" w:rsidRDefault="004B744C" w:rsidP="001A5B62">
            <w:pPr>
              <w:jc w:val="center"/>
              <w:rPr>
                <w:rFonts w:cs="Times New Roman"/>
                <w:b/>
                <w:sz w:val="20"/>
                <w:szCs w:val="20"/>
              </w:rPr>
            </w:pPr>
            <w:r w:rsidRPr="00104FA7">
              <w:rPr>
                <w:rFonts w:cs="Times New Roman"/>
                <w:b/>
                <w:sz w:val="20"/>
                <w:szCs w:val="20"/>
              </w:rPr>
              <w:t>Principal</w:t>
            </w:r>
            <w:r w:rsidRPr="00104FA7">
              <w:rPr>
                <w:rFonts w:cs="Times New Roman"/>
                <w:b/>
                <w:sz w:val="20"/>
                <w:szCs w:val="20"/>
              </w:rPr>
              <w:br/>
            </w:r>
            <w:r w:rsidRPr="00104FA7">
              <w:rPr>
                <w:rFonts w:cs="Times New Roman"/>
                <w:b/>
                <w:sz w:val="20"/>
                <w:szCs w:val="20"/>
                <w:u w:val="single"/>
              </w:rPr>
              <w:t>Amount</w:t>
            </w:r>
          </w:p>
        </w:tc>
        <w:tc>
          <w:tcPr>
            <w:tcW w:w="960" w:type="pct"/>
            <w:shd w:val="clear" w:color="auto" w:fill="auto"/>
            <w:vAlign w:val="bottom"/>
          </w:tcPr>
          <w:p w:rsidR="004B744C" w:rsidRPr="00104FA7" w:rsidRDefault="004B744C" w:rsidP="00205B0F">
            <w:pPr>
              <w:jc w:val="center"/>
              <w:rPr>
                <w:rFonts w:cs="Times New Roman"/>
                <w:b/>
                <w:sz w:val="20"/>
                <w:szCs w:val="20"/>
                <w:u w:val="single"/>
              </w:rPr>
            </w:pPr>
            <w:r w:rsidRPr="00104FA7">
              <w:rPr>
                <w:rFonts w:cs="Times New Roman"/>
                <w:b/>
                <w:sz w:val="20"/>
                <w:szCs w:val="20"/>
              </w:rPr>
              <w:t>Interest</w:t>
            </w:r>
            <w:r w:rsidRPr="00104FA7">
              <w:rPr>
                <w:rFonts w:cs="Times New Roman"/>
                <w:b/>
                <w:sz w:val="20"/>
                <w:szCs w:val="20"/>
              </w:rPr>
              <w:br/>
            </w:r>
            <w:r w:rsidRPr="00104FA7">
              <w:rPr>
                <w:rFonts w:cs="Times New Roman"/>
                <w:b/>
                <w:sz w:val="20"/>
                <w:szCs w:val="20"/>
                <w:u w:val="single"/>
              </w:rPr>
              <w:t>Rate</w:t>
            </w:r>
          </w:p>
        </w:tc>
        <w:tc>
          <w:tcPr>
            <w:tcW w:w="959" w:type="pct"/>
            <w:shd w:val="clear" w:color="auto" w:fill="auto"/>
            <w:vAlign w:val="bottom"/>
          </w:tcPr>
          <w:p w:rsidR="00AF20F6" w:rsidRDefault="00AF20F6" w:rsidP="00205B0F">
            <w:pPr>
              <w:jc w:val="center"/>
              <w:rPr>
                <w:rFonts w:cs="Times New Roman"/>
                <w:b/>
                <w:sz w:val="20"/>
                <w:szCs w:val="20"/>
              </w:rPr>
            </w:pPr>
          </w:p>
          <w:p w:rsidR="004B744C" w:rsidRPr="00104FA7" w:rsidRDefault="004B744C" w:rsidP="00205B0F">
            <w:pPr>
              <w:jc w:val="center"/>
              <w:rPr>
                <w:rFonts w:cs="Times New Roman"/>
                <w:b/>
                <w:sz w:val="20"/>
                <w:szCs w:val="20"/>
                <w:u w:val="single"/>
              </w:rPr>
            </w:pPr>
            <w:r w:rsidRPr="00104FA7">
              <w:rPr>
                <w:rFonts w:cs="Times New Roman"/>
                <w:b/>
                <w:sz w:val="20"/>
                <w:szCs w:val="20"/>
                <w:u w:val="single"/>
              </w:rPr>
              <w:t>Yield</w:t>
            </w:r>
          </w:p>
        </w:tc>
        <w:tc>
          <w:tcPr>
            <w:tcW w:w="1019" w:type="pct"/>
            <w:shd w:val="clear" w:color="auto" w:fill="auto"/>
            <w:vAlign w:val="bottom"/>
          </w:tcPr>
          <w:p w:rsidR="004B744C" w:rsidRPr="00104FA7" w:rsidRDefault="004B744C" w:rsidP="007835F2">
            <w:pPr>
              <w:jc w:val="center"/>
              <w:rPr>
                <w:rFonts w:cs="Times New Roman"/>
                <w:b/>
                <w:sz w:val="20"/>
                <w:szCs w:val="20"/>
                <w:u w:val="single"/>
              </w:rPr>
            </w:pPr>
            <w:r w:rsidRPr="00104FA7">
              <w:rPr>
                <w:rFonts w:cs="Times New Roman"/>
                <w:b/>
                <w:sz w:val="20"/>
                <w:szCs w:val="20"/>
              </w:rPr>
              <w:t>CUSIP</w:t>
            </w:r>
            <w:r w:rsidRPr="00104FA7">
              <w:rPr>
                <w:rFonts w:cs="Times New Roman"/>
                <w:b/>
                <w:sz w:val="20"/>
                <w:szCs w:val="20"/>
              </w:rPr>
              <w:br/>
            </w:r>
            <w:r w:rsidRPr="00104FA7">
              <w:rPr>
                <w:rFonts w:cs="Times New Roman"/>
                <w:b/>
                <w:sz w:val="20"/>
                <w:szCs w:val="20"/>
                <w:u w:val="single"/>
              </w:rPr>
              <w:t>No.</w:t>
            </w:r>
            <w:r w:rsidR="007835F2" w:rsidRPr="007835F2">
              <w:rPr>
                <w:rStyle w:val="FootnoteReference"/>
                <w:rFonts w:cs="Times New Roman"/>
                <w:b/>
                <w:sz w:val="20"/>
                <w:szCs w:val="20"/>
              </w:rPr>
              <w:footnoteReference w:customMarkFollows="1" w:id="1"/>
              <w:sym w:font="Symbol" w:char="F0D3"/>
            </w:r>
          </w:p>
        </w:tc>
      </w:tr>
      <w:tr w:rsidR="004B744C" w:rsidRPr="00104FA7" w:rsidTr="004B744C">
        <w:trPr>
          <w:jc w:val="center"/>
        </w:trPr>
        <w:tc>
          <w:tcPr>
            <w:tcW w:w="925" w:type="pct"/>
            <w:shd w:val="clear" w:color="auto" w:fill="auto"/>
            <w:vAlign w:val="bottom"/>
          </w:tcPr>
          <w:p w:rsidR="004B744C" w:rsidRPr="00104FA7" w:rsidRDefault="00CF5341" w:rsidP="004B744C">
            <w:pPr>
              <w:jc w:val="center"/>
              <w:rPr>
                <w:rFonts w:cs="Times New Roman"/>
                <w:sz w:val="20"/>
                <w:szCs w:val="20"/>
              </w:rPr>
            </w:pPr>
            <w:r>
              <w:rPr>
                <w:rFonts w:cs="Times New Roman"/>
                <w:sz w:val="20"/>
                <w:szCs w:val="20"/>
              </w:rPr>
              <w:t>2021</w:t>
            </w:r>
          </w:p>
        </w:tc>
        <w:tc>
          <w:tcPr>
            <w:tcW w:w="1136" w:type="pct"/>
            <w:shd w:val="clear" w:color="auto" w:fill="auto"/>
            <w:vAlign w:val="bottom"/>
          </w:tcPr>
          <w:p w:rsidR="004B744C" w:rsidRPr="00104FA7" w:rsidRDefault="00CF5341" w:rsidP="00CD359B">
            <w:pPr>
              <w:tabs>
                <w:tab w:val="decimal" w:pos="1049"/>
              </w:tabs>
              <w:rPr>
                <w:rFonts w:cs="Times New Roman"/>
                <w:sz w:val="20"/>
                <w:szCs w:val="20"/>
              </w:rPr>
            </w:pPr>
            <w:r>
              <w:rPr>
                <w:rFonts w:cs="Times New Roman"/>
                <w:sz w:val="20"/>
                <w:szCs w:val="20"/>
              </w:rPr>
              <w:t>$3,465,000</w:t>
            </w:r>
          </w:p>
        </w:tc>
        <w:tc>
          <w:tcPr>
            <w:tcW w:w="960" w:type="pct"/>
            <w:shd w:val="clear" w:color="auto" w:fill="auto"/>
            <w:vAlign w:val="bottom"/>
          </w:tcPr>
          <w:p w:rsidR="004B744C" w:rsidRPr="00104FA7" w:rsidRDefault="003F3181" w:rsidP="00492C23">
            <w:pPr>
              <w:tabs>
                <w:tab w:val="decimal" w:pos="395"/>
              </w:tabs>
              <w:rPr>
                <w:rFonts w:cs="Times New Roman"/>
                <w:sz w:val="20"/>
                <w:szCs w:val="20"/>
              </w:rPr>
            </w:pPr>
            <w:r>
              <w:rPr>
                <w:rFonts w:cs="Times New Roman"/>
                <w:sz w:val="20"/>
                <w:szCs w:val="20"/>
              </w:rPr>
              <w:t>5.000%</w:t>
            </w:r>
          </w:p>
        </w:tc>
        <w:tc>
          <w:tcPr>
            <w:tcW w:w="959" w:type="pct"/>
            <w:shd w:val="clear" w:color="auto" w:fill="auto"/>
            <w:vAlign w:val="bottom"/>
          </w:tcPr>
          <w:p w:rsidR="004B744C" w:rsidRPr="00104FA7" w:rsidRDefault="003F3181" w:rsidP="00801BAA">
            <w:pPr>
              <w:tabs>
                <w:tab w:val="decimal" w:pos="368"/>
              </w:tabs>
              <w:rPr>
                <w:rFonts w:cs="Times New Roman"/>
                <w:sz w:val="20"/>
                <w:szCs w:val="20"/>
              </w:rPr>
            </w:pPr>
            <w:r>
              <w:rPr>
                <w:rFonts w:cs="Times New Roman"/>
                <w:sz w:val="20"/>
                <w:szCs w:val="20"/>
              </w:rPr>
              <w:t>0.190%</w:t>
            </w:r>
          </w:p>
        </w:tc>
        <w:tc>
          <w:tcPr>
            <w:tcW w:w="1019" w:type="pct"/>
            <w:shd w:val="clear" w:color="auto" w:fill="auto"/>
            <w:vAlign w:val="bottom"/>
          </w:tcPr>
          <w:p w:rsidR="004B744C" w:rsidRPr="00104FA7" w:rsidRDefault="00035C3D" w:rsidP="004B744C">
            <w:pPr>
              <w:jc w:val="left"/>
              <w:rPr>
                <w:rFonts w:cs="Times New Roman"/>
                <w:sz w:val="20"/>
                <w:szCs w:val="20"/>
              </w:rPr>
            </w:pPr>
            <w:r>
              <w:rPr>
                <w:rFonts w:cs="Times New Roman"/>
                <w:sz w:val="20"/>
                <w:szCs w:val="20"/>
              </w:rPr>
              <w:t>19668Q MD4</w:t>
            </w:r>
          </w:p>
        </w:tc>
      </w:tr>
      <w:tr w:rsidR="004B744C" w:rsidRPr="00104FA7" w:rsidTr="004B744C">
        <w:trPr>
          <w:jc w:val="center"/>
        </w:trPr>
        <w:tc>
          <w:tcPr>
            <w:tcW w:w="925" w:type="pct"/>
            <w:shd w:val="clear" w:color="auto" w:fill="auto"/>
            <w:vAlign w:val="bottom"/>
          </w:tcPr>
          <w:p w:rsidR="004B744C" w:rsidRPr="00104FA7" w:rsidRDefault="00CF5341" w:rsidP="004B744C">
            <w:pPr>
              <w:jc w:val="center"/>
              <w:rPr>
                <w:rFonts w:cs="Times New Roman"/>
                <w:sz w:val="20"/>
                <w:szCs w:val="20"/>
              </w:rPr>
            </w:pPr>
            <w:r>
              <w:rPr>
                <w:rFonts w:cs="Times New Roman"/>
                <w:sz w:val="20"/>
                <w:szCs w:val="20"/>
              </w:rPr>
              <w:t>2022</w:t>
            </w:r>
          </w:p>
        </w:tc>
        <w:tc>
          <w:tcPr>
            <w:tcW w:w="1136" w:type="pct"/>
            <w:shd w:val="clear" w:color="auto" w:fill="auto"/>
            <w:vAlign w:val="bottom"/>
          </w:tcPr>
          <w:p w:rsidR="004B744C" w:rsidRPr="00104FA7" w:rsidRDefault="001A5B62" w:rsidP="00CD359B">
            <w:pPr>
              <w:tabs>
                <w:tab w:val="decimal" w:pos="1049"/>
              </w:tabs>
              <w:rPr>
                <w:rFonts w:cs="Times New Roman"/>
                <w:sz w:val="20"/>
                <w:szCs w:val="20"/>
              </w:rPr>
            </w:pPr>
            <w:r>
              <w:rPr>
                <w:rFonts w:cs="Times New Roman"/>
                <w:sz w:val="20"/>
                <w:szCs w:val="20"/>
              </w:rPr>
              <w:t>1,645</w:t>
            </w:r>
            <w:r w:rsidR="00CF5341">
              <w:rPr>
                <w:rFonts w:cs="Times New Roman"/>
                <w:sz w:val="20"/>
                <w:szCs w:val="20"/>
              </w:rPr>
              <w:t>,000</w:t>
            </w:r>
          </w:p>
        </w:tc>
        <w:tc>
          <w:tcPr>
            <w:tcW w:w="960" w:type="pct"/>
            <w:shd w:val="clear" w:color="auto" w:fill="auto"/>
            <w:vAlign w:val="bottom"/>
          </w:tcPr>
          <w:p w:rsidR="004B744C" w:rsidRPr="00104FA7" w:rsidRDefault="003F3181" w:rsidP="00492C23">
            <w:pPr>
              <w:tabs>
                <w:tab w:val="decimal" w:pos="395"/>
              </w:tabs>
              <w:rPr>
                <w:rFonts w:cs="Times New Roman"/>
                <w:sz w:val="20"/>
                <w:szCs w:val="20"/>
              </w:rPr>
            </w:pPr>
            <w:r>
              <w:rPr>
                <w:rFonts w:cs="Times New Roman"/>
                <w:sz w:val="20"/>
                <w:szCs w:val="20"/>
              </w:rPr>
              <w:t>5.000</w:t>
            </w:r>
          </w:p>
        </w:tc>
        <w:tc>
          <w:tcPr>
            <w:tcW w:w="959" w:type="pct"/>
            <w:shd w:val="clear" w:color="auto" w:fill="auto"/>
            <w:vAlign w:val="bottom"/>
          </w:tcPr>
          <w:p w:rsidR="004B744C" w:rsidRPr="00104FA7" w:rsidRDefault="003F3181" w:rsidP="00801BAA">
            <w:pPr>
              <w:tabs>
                <w:tab w:val="decimal" w:pos="368"/>
              </w:tabs>
              <w:rPr>
                <w:rFonts w:cs="Times New Roman"/>
                <w:sz w:val="20"/>
                <w:szCs w:val="20"/>
              </w:rPr>
            </w:pPr>
            <w:r>
              <w:rPr>
                <w:rFonts w:cs="Times New Roman"/>
                <w:sz w:val="20"/>
                <w:szCs w:val="20"/>
              </w:rPr>
              <w:t>0.200</w:t>
            </w:r>
          </w:p>
        </w:tc>
        <w:tc>
          <w:tcPr>
            <w:tcW w:w="1019" w:type="pct"/>
            <w:shd w:val="clear" w:color="auto" w:fill="auto"/>
            <w:vAlign w:val="bottom"/>
          </w:tcPr>
          <w:p w:rsidR="004B744C" w:rsidRPr="00104FA7" w:rsidRDefault="00035C3D" w:rsidP="004B744C">
            <w:pPr>
              <w:jc w:val="left"/>
              <w:rPr>
                <w:rFonts w:cs="Times New Roman"/>
                <w:sz w:val="20"/>
                <w:szCs w:val="20"/>
              </w:rPr>
            </w:pPr>
            <w:r>
              <w:rPr>
                <w:rFonts w:cs="Times New Roman"/>
                <w:sz w:val="20"/>
                <w:szCs w:val="20"/>
              </w:rPr>
              <w:t>19668Q ME2</w:t>
            </w:r>
          </w:p>
        </w:tc>
      </w:tr>
      <w:tr w:rsidR="004B744C" w:rsidRPr="00104FA7" w:rsidTr="004B744C">
        <w:trPr>
          <w:jc w:val="center"/>
        </w:trPr>
        <w:tc>
          <w:tcPr>
            <w:tcW w:w="925" w:type="pct"/>
            <w:shd w:val="clear" w:color="auto" w:fill="auto"/>
            <w:vAlign w:val="bottom"/>
          </w:tcPr>
          <w:p w:rsidR="004B744C" w:rsidRPr="00104FA7" w:rsidRDefault="00CF5341" w:rsidP="004B744C">
            <w:pPr>
              <w:jc w:val="center"/>
              <w:rPr>
                <w:rFonts w:cs="Times New Roman"/>
                <w:sz w:val="20"/>
                <w:szCs w:val="20"/>
              </w:rPr>
            </w:pPr>
            <w:r>
              <w:rPr>
                <w:rFonts w:cs="Times New Roman"/>
                <w:sz w:val="20"/>
                <w:szCs w:val="20"/>
              </w:rPr>
              <w:t>2023</w:t>
            </w:r>
          </w:p>
        </w:tc>
        <w:tc>
          <w:tcPr>
            <w:tcW w:w="1136" w:type="pct"/>
            <w:shd w:val="clear" w:color="auto" w:fill="auto"/>
            <w:vAlign w:val="bottom"/>
          </w:tcPr>
          <w:p w:rsidR="004B744C" w:rsidRPr="00104FA7" w:rsidRDefault="001A5B62" w:rsidP="00CD359B">
            <w:pPr>
              <w:tabs>
                <w:tab w:val="decimal" w:pos="1049"/>
              </w:tabs>
              <w:rPr>
                <w:rFonts w:cs="Times New Roman"/>
                <w:sz w:val="20"/>
                <w:szCs w:val="20"/>
              </w:rPr>
            </w:pPr>
            <w:r>
              <w:rPr>
                <w:rFonts w:cs="Times New Roman"/>
                <w:sz w:val="20"/>
                <w:szCs w:val="20"/>
              </w:rPr>
              <w:t>1,710</w:t>
            </w:r>
            <w:r w:rsidR="00CF5341">
              <w:rPr>
                <w:rFonts w:cs="Times New Roman"/>
                <w:sz w:val="20"/>
                <w:szCs w:val="20"/>
              </w:rPr>
              <w:t>,000</w:t>
            </w:r>
          </w:p>
        </w:tc>
        <w:tc>
          <w:tcPr>
            <w:tcW w:w="960" w:type="pct"/>
            <w:shd w:val="clear" w:color="auto" w:fill="auto"/>
            <w:vAlign w:val="bottom"/>
          </w:tcPr>
          <w:p w:rsidR="004B744C" w:rsidRPr="00104FA7" w:rsidRDefault="003F3181" w:rsidP="00492C23">
            <w:pPr>
              <w:tabs>
                <w:tab w:val="decimal" w:pos="395"/>
              </w:tabs>
              <w:rPr>
                <w:rFonts w:cs="Times New Roman"/>
                <w:sz w:val="20"/>
                <w:szCs w:val="20"/>
              </w:rPr>
            </w:pPr>
            <w:r>
              <w:rPr>
                <w:rFonts w:cs="Times New Roman"/>
                <w:sz w:val="20"/>
                <w:szCs w:val="20"/>
              </w:rPr>
              <w:t>5.000</w:t>
            </w:r>
          </w:p>
        </w:tc>
        <w:tc>
          <w:tcPr>
            <w:tcW w:w="959" w:type="pct"/>
            <w:shd w:val="clear" w:color="auto" w:fill="auto"/>
            <w:vAlign w:val="bottom"/>
          </w:tcPr>
          <w:p w:rsidR="004B744C" w:rsidRPr="00104FA7" w:rsidRDefault="003F3181" w:rsidP="00801BAA">
            <w:pPr>
              <w:tabs>
                <w:tab w:val="decimal" w:pos="368"/>
              </w:tabs>
              <w:rPr>
                <w:rFonts w:cs="Times New Roman"/>
                <w:sz w:val="20"/>
                <w:szCs w:val="20"/>
              </w:rPr>
            </w:pPr>
            <w:r>
              <w:rPr>
                <w:rFonts w:cs="Times New Roman"/>
                <w:sz w:val="20"/>
                <w:szCs w:val="20"/>
              </w:rPr>
              <w:t>0.250</w:t>
            </w:r>
          </w:p>
        </w:tc>
        <w:tc>
          <w:tcPr>
            <w:tcW w:w="1019" w:type="pct"/>
            <w:shd w:val="clear" w:color="auto" w:fill="auto"/>
            <w:vAlign w:val="bottom"/>
          </w:tcPr>
          <w:p w:rsidR="004B744C" w:rsidRPr="00104FA7" w:rsidRDefault="00035C3D" w:rsidP="004B744C">
            <w:pPr>
              <w:jc w:val="left"/>
              <w:rPr>
                <w:rFonts w:cs="Times New Roman"/>
                <w:sz w:val="20"/>
                <w:szCs w:val="20"/>
              </w:rPr>
            </w:pPr>
            <w:r>
              <w:rPr>
                <w:rFonts w:cs="Times New Roman"/>
                <w:sz w:val="20"/>
                <w:szCs w:val="20"/>
              </w:rPr>
              <w:t>19668Q MF9</w:t>
            </w:r>
          </w:p>
        </w:tc>
      </w:tr>
      <w:tr w:rsidR="00035C3D" w:rsidRPr="00104FA7" w:rsidTr="001F0BE7">
        <w:trPr>
          <w:jc w:val="center"/>
        </w:trPr>
        <w:tc>
          <w:tcPr>
            <w:tcW w:w="925" w:type="pct"/>
            <w:shd w:val="clear" w:color="auto" w:fill="auto"/>
            <w:vAlign w:val="bottom"/>
          </w:tcPr>
          <w:p w:rsidR="00035C3D" w:rsidRPr="00104FA7" w:rsidRDefault="00035C3D" w:rsidP="00035C3D">
            <w:pPr>
              <w:jc w:val="center"/>
              <w:rPr>
                <w:rFonts w:cs="Times New Roman"/>
                <w:sz w:val="20"/>
                <w:szCs w:val="20"/>
              </w:rPr>
            </w:pPr>
            <w:r>
              <w:rPr>
                <w:rFonts w:cs="Times New Roman"/>
                <w:sz w:val="20"/>
                <w:szCs w:val="20"/>
              </w:rPr>
              <w:t>2024</w:t>
            </w:r>
          </w:p>
        </w:tc>
        <w:tc>
          <w:tcPr>
            <w:tcW w:w="1136" w:type="pct"/>
            <w:shd w:val="clear" w:color="auto" w:fill="auto"/>
            <w:vAlign w:val="bottom"/>
          </w:tcPr>
          <w:p w:rsidR="00035C3D" w:rsidRPr="00104FA7" w:rsidRDefault="00035C3D" w:rsidP="00035C3D">
            <w:pPr>
              <w:tabs>
                <w:tab w:val="decimal" w:pos="1049"/>
              </w:tabs>
              <w:rPr>
                <w:rFonts w:cs="Times New Roman"/>
                <w:sz w:val="20"/>
                <w:szCs w:val="20"/>
              </w:rPr>
            </w:pPr>
            <w:r>
              <w:rPr>
                <w:rFonts w:cs="Times New Roman"/>
                <w:sz w:val="20"/>
                <w:szCs w:val="20"/>
              </w:rPr>
              <w:t>1,785,000</w:t>
            </w:r>
          </w:p>
        </w:tc>
        <w:tc>
          <w:tcPr>
            <w:tcW w:w="960" w:type="pct"/>
            <w:shd w:val="clear" w:color="auto" w:fill="auto"/>
            <w:vAlign w:val="bottom"/>
          </w:tcPr>
          <w:p w:rsidR="00035C3D" w:rsidRPr="00104FA7" w:rsidRDefault="00035C3D" w:rsidP="00492C23">
            <w:pPr>
              <w:tabs>
                <w:tab w:val="decimal" w:pos="395"/>
              </w:tabs>
              <w:rPr>
                <w:rFonts w:cs="Times New Roman"/>
                <w:sz w:val="20"/>
                <w:szCs w:val="20"/>
              </w:rPr>
            </w:pPr>
            <w:r>
              <w:rPr>
                <w:rFonts w:cs="Times New Roman"/>
                <w:sz w:val="20"/>
                <w:szCs w:val="20"/>
              </w:rPr>
              <w:t>5.000</w:t>
            </w:r>
          </w:p>
        </w:tc>
        <w:tc>
          <w:tcPr>
            <w:tcW w:w="959" w:type="pct"/>
            <w:shd w:val="clear" w:color="auto" w:fill="auto"/>
            <w:vAlign w:val="bottom"/>
          </w:tcPr>
          <w:p w:rsidR="00035C3D" w:rsidRPr="00104FA7" w:rsidRDefault="00035C3D" w:rsidP="00801BAA">
            <w:pPr>
              <w:tabs>
                <w:tab w:val="decimal" w:pos="368"/>
              </w:tabs>
              <w:rPr>
                <w:rFonts w:cs="Times New Roman"/>
                <w:sz w:val="20"/>
                <w:szCs w:val="20"/>
              </w:rPr>
            </w:pPr>
            <w:r>
              <w:rPr>
                <w:rFonts w:cs="Times New Roman"/>
                <w:sz w:val="20"/>
                <w:szCs w:val="20"/>
              </w:rPr>
              <w:t>0.310</w:t>
            </w:r>
          </w:p>
        </w:tc>
        <w:tc>
          <w:tcPr>
            <w:tcW w:w="1019" w:type="pct"/>
            <w:shd w:val="clear" w:color="auto" w:fill="auto"/>
          </w:tcPr>
          <w:p w:rsidR="00035C3D" w:rsidRDefault="00035C3D" w:rsidP="00035C3D">
            <w:r w:rsidRPr="00E52C4F">
              <w:rPr>
                <w:rFonts w:cs="Times New Roman"/>
                <w:sz w:val="20"/>
                <w:szCs w:val="20"/>
              </w:rPr>
              <w:t>19668Q</w:t>
            </w:r>
            <w:r>
              <w:rPr>
                <w:rFonts w:cs="Times New Roman"/>
                <w:sz w:val="20"/>
                <w:szCs w:val="20"/>
              </w:rPr>
              <w:t xml:space="preserve"> MG7</w:t>
            </w:r>
          </w:p>
        </w:tc>
      </w:tr>
      <w:tr w:rsidR="00035C3D" w:rsidRPr="00104FA7" w:rsidTr="001F0BE7">
        <w:trPr>
          <w:jc w:val="center"/>
        </w:trPr>
        <w:tc>
          <w:tcPr>
            <w:tcW w:w="925" w:type="pct"/>
            <w:shd w:val="clear" w:color="auto" w:fill="auto"/>
            <w:vAlign w:val="bottom"/>
          </w:tcPr>
          <w:p w:rsidR="00035C3D" w:rsidRPr="00104FA7" w:rsidRDefault="00035C3D" w:rsidP="00035C3D">
            <w:pPr>
              <w:jc w:val="center"/>
              <w:rPr>
                <w:rFonts w:cs="Times New Roman"/>
                <w:sz w:val="20"/>
                <w:szCs w:val="20"/>
              </w:rPr>
            </w:pPr>
            <w:r>
              <w:rPr>
                <w:rFonts w:cs="Times New Roman"/>
                <w:sz w:val="20"/>
                <w:szCs w:val="20"/>
              </w:rPr>
              <w:t>2025</w:t>
            </w:r>
          </w:p>
        </w:tc>
        <w:tc>
          <w:tcPr>
            <w:tcW w:w="1136" w:type="pct"/>
            <w:shd w:val="clear" w:color="auto" w:fill="auto"/>
            <w:vAlign w:val="bottom"/>
          </w:tcPr>
          <w:p w:rsidR="00035C3D" w:rsidRPr="00104FA7" w:rsidRDefault="00035C3D" w:rsidP="00035C3D">
            <w:pPr>
              <w:tabs>
                <w:tab w:val="decimal" w:pos="1049"/>
              </w:tabs>
              <w:rPr>
                <w:rFonts w:cs="Times New Roman"/>
                <w:sz w:val="20"/>
                <w:szCs w:val="20"/>
              </w:rPr>
            </w:pPr>
            <w:r>
              <w:rPr>
                <w:rFonts w:cs="Times New Roman"/>
                <w:sz w:val="20"/>
                <w:szCs w:val="20"/>
              </w:rPr>
              <w:t>1,875,000</w:t>
            </w:r>
          </w:p>
        </w:tc>
        <w:tc>
          <w:tcPr>
            <w:tcW w:w="960" w:type="pct"/>
            <w:shd w:val="clear" w:color="auto" w:fill="auto"/>
            <w:vAlign w:val="bottom"/>
          </w:tcPr>
          <w:p w:rsidR="00035C3D" w:rsidRPr="00104FA7" w:rsidRDefault="00035C3D" w:rsidP="00492C23">
            <w:pPr>
              <w:tabs>
                <w:tab w:val="decimal" w:pos="395"/>
              </w:tabs>
              <w:rPr>
                <w:rFonts w:cs="Times New Roman"/>
                <w:sz w:val="20"/>
                <w:szCs w:val="20"/>
              </w:rPr>
            </w:pPr>
            <w:r>
              <w:rPr>
                <w:rFonts w:cs="Times New Roman"/>
                <w:sz w:val="20"/>
                <w:szCs w:val="20"/>
              </w:rPr>
              <w:t>5.000</w:t>
            </w:r>
          </w:p>
        </w:tc>
        <w:tc>
          <w:tcPr>
            <w:tcW w:w="959" w:type="pct"/>
            <w:shd w:val="clear" w:color="auto" w:fill="auto"/>
            <w:vAlign w:val="bottom"/>
          </w:tcPr>
          <w:p w:rsidR="00035C3D" w:rsidRPr="00104FA7" w:rsidRDefault="00035C3D" w:rsidP="00801BAA">
            <w:pPr>
              <w:tabs>
                <w:tab w:val="decimal" w:pos="368"/>
              </w:tabs>
              <w:rPr>
                <w:rFonts w:cs="Times New Roman"/>
                <w:sz w:val="20"/>
                <w:szCs w:val="20"/>
              </w:rPr>
            </w:pPr>
            <w:r>
              <w:rPr>
                <w:rFonts w:cs="Times New Roman"/>
                <w:sz w:val="20"/>
                <w:szCs w:val="20"/>
              </w:rPr>
              <w:t>0.330</w:t>
            </w:r>
          </w:p>
        </w:tc>
        <w:tc>
          <w:tcPr>
            <w:tcW w:w="1019" w:type="pct"/>
            <w:shd w:val="clear" w:color="auto" w:fill="auto"/>
          </w:tcPr>
          <w:p w:rsidR="00035C3D" w:rsidRDefault="00035C3D" w:rsidP="00035C3D">
            <w:r w:rsidRPr="00E52C4F">
              <w:rPr>
                <w:rFonts w:cs="Times New Roman"/>
                <w:sz w:val="20"/>
                <w:szCs w:val="20"/>
              </w:rPr>
              <w:t>19668Q</w:t>
            </w:r>
            <w:r>
              <w:rPr>
                <w:rFonts w:cs="Times New Roman"/>
                <w:sz w:val="20"/>
                <w:szCs w:val="20"/>
              </w:rPr>
              <w:t xml:space="preserve"> MH5</w:t>
            </w:r>
          </w:p>
        </w:tc>
      </w:tr>
      <w:tr w:rsidR="00035C3D" w:rsidRPr="00104FA7" w:rsidTr="001F0BE7">
        <w:trPr>
          <w:jc w:val="center"/>
        </w:trPr>
        <w:tc>
          <w:tcPr>
            <w:tcW w:w="925" w:type="pct"/>
            <w:shd w:val="clear" w:color="auto" w:fill="auto"/>
            <w:vAlign w:val="bottom"/>
          </w:tcPr>
          <w:p w:rsidR="00035C3D" w:rsidRPr="00104FA7" w:rsidRDefault="00035C3D" w:rsidP="00035C3D">
            <w:pPr>
              <w:jc w:val="center"/>
              <w:rPr>
                <w:rFonts w:cs="Times New Roman"/>
                <w:sz w:val="20"/>
                <w:szCs w:val="20"/>
              </w:rPr>
            </w:pPr>
            <w:r>
              <w:rPr>
                <w:rFonts w:cs="Times New Roman"/>
                <w:sz w:val="20"/>
                <w:szCs w:val="20"/>
              </w:rPr>
              <w:t>2026</w:t>
            </w:r>
          </w:p>
        </w:tc>
        <w:tc>
          <w:tcPr>
            <w:tcW w:w="1136" w:type="pct"/>
            <w:shd w:val="clear" w:color="auto" w:fill="auto"/>
            <w:vAlign w:val="bottom"/>
          </w:tcPr>
          <w:p w:rsidR="00035C3D" w:rsidRPr="00104FA7" w:rsidRDefault="00035C3D" w:rsidP="00035C3D">
            <w:pPr>
              <w:tabs>
                <w:tab w:val="decimal" w:pos="1049"/>
              </w:tabs>
              <w:rPr>
                <w:rFonts w:cs="Times New Roman"/>
                <w:sz w:val="20"/>
                <w:szCs w:val="20"/>
              </w:rPr>
            </w:pPr>
            <w:r>
              <w:rPr>
                <w:rFonts w:cs="Times New Roman"/>
                <w:sz w:val="20"/>
                <w:szCs w:val="20"/>
              </w:rPr>
              <w:t>1,970,000</w:t>
            </w:r>
          </w:p>
        </w:tc>
        <w:tc>
          <w:tcPr>
            <w:tcW w:w="960" w:type="pct"/>
            <w:shd w:val="clear" w:color="auto" w:fill="auto"/>
            <w:vAlign w:val="bottom"/>
          </w:tcPr>
          <w:p w:rsidR="00035C3D" w:rsidRPr="00104FA7" w:rsidRDefault="00035C3D" w:rsidP="00492C23">
            <w:pPr>
              <w:tabs>
                <w:tab w:val="decimal" w:pos="395"/>
              </w:tabs>
              <w:rPr>
                <w:rFonts w:cs="Times New Roman"/>
                <w:sz w:val="20"/>
                <w:szCs w:val="20"/>
              </w:rPr>
            </w:pPr>
            <w:r>
              <w:rPr>
                <w:rFonts w:cs="Times New Roman"/>
                <w:sz w:val="20"/>
                <w:szCs w:val="20"/>
              </w:rPr>
              <w:t>5.000</w:t>
            </w:r>
          </w:p>
        </w:tc>
        <w:tc>
          <w:tcPr>
            <w:tcW w:w="959" w:type="pct"/>
            <w:shd w:val="clear" w:color="auto" w:fill="auto"/>
            <w:vAlign w:val="bottom"/>
          </w:tcPr>
          <w:p w:rsidR="00035C3D" w:rsidRPr="00104FA7" w:rsidRDefault="00035C3D" w:rsidP="00801BAA">
            <w:pPr>
              <w:tabs>
                <w:tab w:val="decimal" w:pos="368"/>
              </w:tabs>
              <w:rPr>
                <w:rFonts w:cs="Times New Roman"/>
                <w:sz w:val="20"/>
                <w:szCs w:val="20"/>
              </w:rPr>
            </w:pPr>
            <w:r>
              <w:rPr>
                <w:rFonts w:cs="Times New Roman"/>
                <w:sz w:val="20"/>
                <w:szCs w:val="20"/>
              </w:rPr>
              <w:t>0.450</w:t>
            </w:r>
          </w:p>
        </w:tc>
        <w:tc>
          <w:tcPr>
            <w:tcW w:w="1019" w:type="pct"/>
            <w:shd w:val="clear" w:color="auto" w:fill="auto"/>
          </w:tcPr>
          <w:p w:rsidR="00035C3D" w:rsidRDefault="00035C3D" w:rsidP="00035C3D">
            <w:r w:rsidRPr="00E52C4F">
              <w:rPr>
                <w:rFonts w:cs="Times New Roman"/>
                <w:sz w:val="20"/>
                <w:szCs w:val="20"/>
              </w:rPr>
              <w:t>19668Q</w:t>
            </w:r>
            <w:r>
              <w:rPr>
                <w:rFonts w:cs="Times New Roman"/>
                <w:sz w:val="20"/>
                <w:szCs w:val="20"/>
              </w:rPr>
              <w:t xml:space="preserve"> MJ1</w:t>
            </w:r>
          </w:p>
        </w:tc>
      </w:tr>
      <w:tr w:rsidR="00035C3D" w:rsidRPr="00104FA7" w:rsidTr="001F0BE7">
        <w:trPr>
          <w:jc w:val="center"/>
        </w:trPr>
        <w:tc>
          <w:tcPr>
            <w:tcW w:w="925" w:type="pct"/>
            <w:shd w:val="clear" w:color="auto" w:fill="auto"/>
            <w:vAlign w:val="bottom"/>
          </w:tcPr>
          <w:p w:rsidR="00035C3D" w:rsidRPr="00104FA7" w:rsidRDefault="00035C3D" w:rsidP="00035C3D">
            <w:pPr>
              <w:jc w:val="center"/>
              <w:rPr>
                <w:rFonts w:cs="Times New Roman"/>
                <w:sz w:val="20"/>
                <w:szCs w:val="20"/>
              </w:rPr>
            </w:pPr>
            <w:r>
              <w:rPr>
                <w:rFonts w:cs="Times New Roman"/>
                <w:sz w:val="20"/>
                <w:szCs w:val="20"/>
              </w:rPr>
              <w:t>2027</w:t>
            </w:r>
          </w:p>
        </w:tc>
        <w:tc>
          <w:tcPr>
            <w:tcW w:w="1136" w:type="pct"/>
            <w:shd w:val="clear" w:color="auto" w:fill="auto"/>
            <w:vAlign w:val="bottom"/>
          </w:tcPr>
          <w:p w:rsidR="00035C3D" w:rsidRPr="00104FA7" w:rsidRDefault="00035C3D" w:rsidP="00035C3D">
            <w:pPr>
              <w:tabs>
                <w:tab w:val="decimal" w:pos="1049"/>
              </w:tabs>
              <w:rPr>
                <w:rFonts w:cs="Times New Roman"/>
                <w:sz w:val="20"/>
                <w:szCs w:val="20"/>
              </w:rPr>
            </w:pPr>
            <w:r>
              <w:rPr>
                <w:rFonts w:cs="Times New Roman"/>
                <w:sz w:val="20"/>
                <w:szCs w:val="20"/>
              </w:rPr>
              <w:t>2,065,000</w:t>
            </w:r>
          </w:p>
        </w:tc>
        <w:tc>
          <w:tcPr>
            <w:tcW w:w="960" w:type="pct"/>
            <w:shd w:val="clear" w:color="auto" w:fill="auto"/>
            <w:vAlign w:val="bottom"/>
          </w:tcPr>
          <w:p w:rsidR="00035C3D" w:rsidRPr="00104FA7" w:rsidRDefault="00035C3D" w:rsidP="00492C23">
            <w:pPr>
              <w:tabs>
                <w:tab w:val="decimal" w:pos="395"/>
              </w:tabs>
              <w:rPr>
                <w:rFonts w:cs="Times New Roman"/>
                <w:sz w:val="20"/>
                <w:szCs w:val="20"/>
              </w:rPr>
            </w:pPr>
            <w:r>
              <w:rPr>
                <w:rFonts w:cs="Times New Roman"/>
                <w:sz w:val="20"/>
                <w:szCs w:val="20"/>
              </w:rPr>
              <w:t>5.000</w:t>
            </w:r>
          </w:p>
        </w:tc>
        <w:tc>
          <w:tcPr>
            <w:tcW w:w="959" w:type="pct"/>
            <w:shd w:val="clear" w:color="auto" w:fill="auto"/>
            <w:vAlign w:val="bottom"/>
          </w:tcPr>
          <w:p w:rsidR="00035C3D" w:rsidRPr="00104FA7" w:rsidRDefault="00035C3D" w:rsidP="00801BAA">
            <w:pPr>
              <w:tabs>
                <w:tab w:val="decimal" w:pos="368"/>
              </w:tabs>
              <w:rPr>
                <w:rFonts w:cs="Times New Roman"/>
                <w:sz w:val="20"/>
                <w:szCs w:val="20"/>
              </w:rPr>
            </w:pPr>
            <w:r>
              <w:rPr>
                <w:rFonts w:cs="Times New Roman"/>
                <w:sz w:val="20"/>
                <w:szCs w:val="20"/>
              </w:rPr>
              <w:t>0.560</w:t>
            </w:r>
          </w:p>
        </w:tc>
        <w:tc>
          <w:tcPr>
            <w:tcW w:w="1019" w:type="pct"/>
            <w:shd w:val="clear" w:color="auto" w:fill="auto"/>
          </w:tcPr>
          <w:p w:rsidR="00035C3D" w:rsidRDefault="00035C3D" w:rsidP="00035C3D">
            <w:r w:rsidRPr="00E52C4F">
              <w:rPr>
                <w:rFonts w:cs="Times New Roman"/>
                <w:sz w:val="20"/>
                <w:szCs w:val="20"/>
              </w:rPr>
              <w:t>19668Q</w:t>
            </w:r>
            <w:r>
              <w:rPr>
                <w:rFonts w:cs="Times New Roman"/>
                <w:sz w:val="20"/>
                <w:szCs w:val="20"/>
              </w:rPr>
              <w:t xml:space="preserve"> MK8</w:t>
            </w:r>
          </w:p>
        </w:tc>
      </w:tr>
      <w:tr w:rsidR="00035C3D" w:rsidRPr="00104FA7" w:rsidTr="001F0BE7">
        <w:trPr>
          <w:jc w:val="center"/>
        </w:trPr>
        <w:tc>
          <w:tcPr>
            <w:tcW w:w="925" w:type="pct"/>
            <w:shd w:val="clear" w:color="auto" w:fill="auto"/>
            <w:vAlign w:val="bottom"/>
          </w:tcPr>
          <w:p w:rsidR="00035C3D" w:rsidRPr="00104FA7" w:rsidRDefault="00035C3D" w:rsidP="00035C3D">
            <w:pPr>
              <w:jc w:val="center"/>
              <w:rPr>
                <w:rFonts w:cs="Times New Roman"/>
                <w:sz w:val="20"/>
                <w:szCs w:val="20"/>
              </w:rPr>
            </w:pPr>
            <w:r>
              <w:rPr>
                <w:rFonts w:cs="Times New Roman"/>
                <w:sz w:val="20"/>
                <w:szCs w:val="20"/>
              </w:rPr>
              <w:t>2028</w:t>
            </w:r>
          </w:p>
        </w:tc>
        <w:tc>
          <w:tcPr>
            <w:tcW w:w="1136" w:type="pct"/>
            <w:shd w:val="clear" w:color="auto" w:fill="auto"/>
            <w:vAlign w:val="bottom"/>
          </w:tcPr>
          <w:p w:rsidR="00035C3D" w:rsidRPr="00104FA7" w:rsidRDefault="00035C3D" w:rsidP="00035C3D">
            <w:pPr>
              <w:tabs>
                <w:tab w:val="decimal" w:pos="1049"/>
              </w:tabs>
              <w:rPr>
                <w:rFonts w:cs="Times New Roman"/>
                <w:sz w:val="20"/>
                <w:szCs w:val="20"/>
              </w:rPr>
            </w:pPr>
            <w:r>
              <w:rPr>
                <w:rFonts w:cs="Times New Roman"/>
                <w:sz w:val="20"/>
                <w:szCs w:val="20"/>
              </w:rPr>
              <w:t>2,170,000</w:t>
            </w:r>
          </w:p>
        </w:tc>
        <w:tc>
          <w:tcPr>
            <w:tcW w:w="960" w:type="pct"/>
            <w:shd w:val="clear" w:color="auto" w:fill="auto"/>
            <w:vAlign w:val="bottom"/>
          </w:tcPr>
          <w:p w:rsidR="00035C3D" w:rsidRPr="00104FA7" w:rsidRDefault="00035C3D" w:rsidP="00492C23">
            <w:pPr>
              <w:tabs>
                <w:tab w:val="decimal" w:pos="395"/>
              </w:tabs>
              <w:rPr>
                <w:rFonts w:cs="Times New Roman"/>
                <w:sz w:val="20"/>
                <w:szCs w:val="20"/>
              </w:rPr>
            </w:pPr>
            <w:r>
              <w:rPr>
                <w:rFonts w:cs="Times New Roman"/>
                <w:sz w:val="20"/>
                <w:szCs w:val="20"/>
              </w:rPr>
              <w:t>5.000</w:t>
            </w:r>
          </w:p>
        </w:tc>
        <w:tc>
          <w:tcPr>
            <w:tcW w:w="959" w:type="pct"/>
            <w:shd w:val="clear" w:color="auto" w:fill="auto"/>
            <w:vAlign w:val="bottom"/>
          </w:tcPr>
          <w:p w:rsidR="00035C3D" w:rsidRPr="00104FA7" w:rsidRDefault="00035C3D" w:rsidP="00801BAA">
            <w:pPr>
              <w:tabs>
                <w:tab w:val="decimal" w:pos="368"/>
              </w:tabs>
              <w:rPr>
                <w:rFonts w:cs="Times New Roman"/>
                <w:sz w:val="20"/>
                <w:szCs w:val="20"/>
              </w:rPr>
            </w:pPr>
            <w:r>
              <w:rPr>
                <w:rFonts w:cs="Times New Roman"/>
                <w:sz w:val="20"/>
                <w:szCs w:val="20"/>
              </w:rPr>
              <w:t>0.670</w:t>
            </w:r>
          </w:p>
        </w:tc>
        <w:tc>
          <w:tcPr>
            <w:tcW w:w="1019" w:type="pct"/>
            <w:shd w:val="clear" w:color="auto" w:fill="auto"/>
          </w:tcPr>
          <w:p w:rsidR="00035C3D" w:rsidRDefault="00035C3D" w:rsidP="00035C3D">
            <w:r w:rsidRPr="00E52C4F">
              <w:rPr>
                <w:rFonts w:cs="Times New Roman"/>
                <w:sz w:val="20"/>
                <w:szCs w:val="20"/>
              </w:rPr>
              <w:t>19668Q</w:t>
            </w:r>
            <w:r>
              <w:rPr>
                <w:rFonts w:cs="Times New Roman"/>
                <w:sz w:val="20"/>
                <w:szCs w:val="20"/>
              </w:rPr>
              <w:t xml:space="preserve"> ML6</w:t>
            </w:r>
          </w:p>
        </w:tc>
      </w:tr>
      <w:tr w:rsidR="00035C3D" w:rsidRPr="00104FA7" w:rsidTr="001F0BE7">
        <w:trPr>
          <w:jc w:val="center"/>
        </w:trPr>
        <w:tc>
          <w:tcPr>
            <w:tcW w:w="925" w:type="pct"/>
            <w:shd w:val="clear" w:color="auto" w:fill="auto"/>
            <w:vAlign w:val="bottom"/>
          </w:tcPr>
          <w:p w:rsidR="00035C3D" w:rsidRPr="00104FA7" w:rsidRDefault="00035C3D" w:rsidP="00035C3D">
            <w:pPr>
              <w:jc w:val="center"/>
              <w:rPr>
                <w:rFonts w:cs="Times New Roman"/>
                <w:sz w:val="20"/>
                <w:szCs w:val="20"/>
              </w:rPr>
            </w:pPr>
            <w:r>
              <w:rPr>
                <w:rFonts w:cs="Times New Roman"/>
                <w:sz w:val="20"/>
                <w:szCs w:val="20"/>
              </w:rPr>
              <w:t>2029</w:t>
            </w:r>
          </w:p>
        </w:tc>
        <w:tc>
          <w:tcPr>
            <w:tcW w:w="1136" w:type="pct"/>
            <w:shd w:val="clear" w:color="auto" w:fill="auto"/>
            <w:vAlign w:val="bottom"/>
          </w:tcPr>
          <w:p w:rsidR="00035C3D" w:rsidRPr="00104FA7" w:rsidRDefault="00035C3D" w:rsidP="00035C3D">
            <w:pPr>
              <w:tabs>
                <w:tab w:val="decimal" w:pos="1049"/>
              </w:tabs>
              <w:rPr>
                <w:rFonts w:cs="Times New Roman"/>
                <w:sz w:val="20"/>
                <w:szCs w:val="20"/>
              </w:rPr>
            </w:pPr>
            <w:r>
              <w:rPr>
                <w:rFonts w:cs="Times New Roman"/>
                <w:sz w:val="20"/>
                <w:szCs w:val="20"/>
              </w:rPr>
              <w:t>2,265,000</w:t>
            </w:r>
          </w:p>
        </w:tc>
        <w:tc>
          <w:tcPr>
            <w:tcW w:w="960" w:type="pct"/>
            <w:shd w:val="clear" w:color="auto" w:fill="auto"/>
            <w:vAlign w:val="bottom"/>
          </w:tcPr>
          <w:p w:rsidR="00035C3D" w:rsidRPr="00104FA7" w:rsidRDefault="00035C3D" w:rsidP="00492C23">
            <w:pPr>
              <w:tabs>
                <w:tab w:val="decimal" w:pos="395"/>
              </w:tabs>
              <w:rPr>
                <w:rFonts w:cs="Times New Roman"/>
                <w:sz w:val="20"/>
                <w:szCs w:val="20"/>
              </w:rPr>
            </w:pPr>
            <w:r>
              <w:rPr>
                <w:rFonts w:cs="Times New Roman"/>
                <w:sz w:val="20"/>
                <w:szCs w:val="20"/>
              </w:rPr>
              <w:t>5.000</w:t>
            </w:r>
          </w:p>
        </w:tc>
        <w:tc>
          <w:tcPr>
            <w:tcW w:w="959" w:type="pct"/>
            <w:shd w:val="clear" w:color="auto" w:fill="auto"/>
            <w:vAlign w:val="bottom"/>
          </w:tcPr>
          <w:p w:rsidR="00035C3D" w:rsidRPr="00104FA7" w:rsidRDefault="00035C3D" w:rsidP="00801BAA">
            <w:pPr>
              <w:tabs>
                <w:tab w:val="decimal" w:pos="368"/>
              </w:tabs>
              <w:rPr>
                <w:rFonts w:cs="Times New Roman"/>
                <w:sz w:val="20"/>
                <w:szCs w:val="20"/>
              </w:rPr>
            </w:pPr>
            <w:r>
              <w:rPr>
                <w:rFonts w:cs="Times New Roman"/>
                <w:sz w:val="20"/>
                <w:szCs w:val="20"/>
              </w:rPr>
              <w:t>0.800</w:t>
            </w:r>
          </w:p>
        </w:tc>
        <w:tc>
          <w:tcPr>
            <w:tcW w:w="1019" w:type="pct"/>
            <w:shd w:val="clear" w:color="auto" w:fill="auto"/>
          </w:tcPr>
          <w:p w:rsidR="00035C3D" w:rsidRDefault="00035C3D" w:rsidP="00035C3D">
            <w:r w:rsidRPr="00E52C4F">
              <w:rPr>
                <w:rFonts w:cs="Times New Roman"/>
                <w:sz w:val="20"/>
                <w:szCs w:val="20"/>
              </w:rPr>
              <w:t>19668Q</w:t>
            </w:r>
            <w:r>
              <w:rPr>
                <w:rFonts w:cs="Times New Roman"/>
                <w:sz w:val="20"/>
                <w:szCs w:val="20"/>
              </w:rPr>
              <w:t xml:space="preserve"> MM4</w:t>
            </w:r>
          </w:p>
        </w:tc>
      </w:tr>
      <w:tr w:rsidR="00035C3D" w:rsidRPr="00104FA7" w:rsidTr="001F0BE7">
        <w:trPr>
          <w:jc w:val="center"/>
        </w:trPr>
        <w:tc>
          <w:tcPr>
            <w:tcW w:w="925" w:type="pct"/>
            <w:shd w:val="clear" w:color="auto" w:fill="auto"/>
            <w:vAlign w:val="bottom"/>
          </w:tcPr>
          <w:p w:rsidR="00035C3D" w:rsidRPr="00104FA7" w:rsidRDefault="00035C3D" w:rsidP="00035C3D">
            <w:pPr>
              <w:jc w:val="center"/>
              <w:rPr>
                <w:rFonts w:cs="Times New Roman"/>
                <w:sz w:val="20"/>
                <w:szCs w:val="20"/>
              </w:rPr>
            </w:pPr>
            <w:r>
              <w:rPr>
                <w:rFonts w:cs="Times New Roman"/>
                <w:sz w:val="20"/>
                <w:szCs w:val="20"/>
              </w:rPr>
              <w:t>2030</w:t>
            </w:r>
          </w:p>
        </w:tc>
        <w:tc>
          <w:tcPr>
            <w:tcW w:w="1136" w:type="pct"/>
            <w:shd w:val="clear" w:color="auto" w:fill="auto"/>
            <w:vAlign w:val="bottom"/>
          </w:tcPr>
          <w:p w:rsidR="00035C3D" w:rsidRPr="00104FA7" w:rsidRDefault="00035C3D" w:rsidP="00035C3D">
            <w:pPr>
              <w:tabs>
                <w:tab w:val="decimal" w:pos="1049"/>
              </w:tabs>
              <w:rPr>
                <w:rFonts w:cs="Times New Roman"/>
                <w:sz w:val="20"/>
                <w:szCs w:val="20"/>
              </w:rPr>
            </w:pPr>
            <w:r>
              <w:rPr>
                <w:rFonts w:cs="Times New Roman"/>
                <w:sz w:val="20"/>
                <w:szCs w:val="20"/>
              </w:rPr>
              <w:t>2,380,000</w:t>
            </w:r>
          </w:p>
        </w:tc>
        <w:tc>
          <w:tcPr>
            <w:tcW w:w="960" w:type="pct"/>
            <w:shd w:val="clear" w:color="auto" w:fill="auto"/>
            <w:vAlign w:val="bottom"/>
          </w:tcPr>
          <w:p w:rsidR="00035C3D" w:rsidRPr="00104FA7" w:rsidRDefault="00035C3D" w:rsidP="00492C23">
            <w:pPr>
              <w:tabs>
                <w:tab w:val="decimal" w:pos="395"/>
              </w:tabs>
              <w:rPr>
                <w:rFonts w:cs="Times New Roman"/>
                <w:sz w:val="20"/>
                <w:szCs w:val="20"/>
              </w:rPr>
            </w:pPr>
            <w:r>
              <w:rPr>
                <w:rFonts w:cs="Times New Roman"/>
                <w:sz w:val="20"/>
                <w:szCs w:val="20"/>
              </w:rPr>
              <w:t>5.000</w:t>
            </w:r>
          </w:p>
        </w:tc>
        <w:tc>
          <w:tcPr>
            <w:tcW w:w="959" w:type="pct"/>
            <w:shd w:val="clear" w:color="auto" w:fill="auto"/>
            <w:vAlign w:val="bottom"/>
          </w:tcPr>
          <w:p w:rsidR="00035C3D" w:rsidRPr="00104FA7" w:rsidRDefault="00035C3D" w:rsidP="00801BAA">
            <w:pPr>
              <w:tabs>
                <w:tab w:val="decimal" w:pos="368"/>
              </w:tabs>
              <w:rPr>
                <w:rFonts w:cs="Times New Roman"/>
                <w:sz w:val="20"/>
                <w:szCs w:val="20"/>
              </w:rPr>
            </w:pPr>
            <w:r>
              <w:rPr>
                <w:rFonts w:cs="Times New Roman"/>
                <w:sz w:val="20"/>
                <w:szCs w:val="20"/>
              </w:rPr>
              <w:t>0.940</w:t>
            </w:r>
          </w:p>
        </w:tc>
        <w:tc>
          <w:tcPr>
            <w:tcW w:w="1019" w:type="pct"/>
            <w:shd w:val="clear" w:color="auto" w:fill="auto"/>
          </w:tcPr>
          <w:p w:rsidR="00035C3D" w:rsidRDefault="00035C3D" w:rsidP="00035C3D">
            <w:r w:rsidRPr="00E52C4F">
              <w:rPr>
                <w:rFonts w:cs="Times New Roman"/>
                <w:sz w:val="20"/>
                <w:szCs w:val="20"/>
              </w:rPr>
              <w:t>19668Q</w:t>
            </w:r>
            <w:r>
              <w:rPr>
                <w:rFonts w:cs="Times New Roman"/>
                <w:sz w:val="20"/>
                <w:szCs w:val="20"/>
              </w:rPr>
              <w:t xml:space="preserve"> MN2</w:t>
            </w:r>
          </w:p>
        </w:tc>
      </w:tr>
      <w:tr w:rsidR="00035C3D" w:rsidRPr="00104FA7" w:rsidTr="001F0BE7">
        <w:trPr>
          <w:jc w:val="center"/>
        </w:trPr>
        <w:tc>
          <w:tcPr>
            <w:tcW w:w="925" w:type="pct"/>
            <w:shd w:val="clear" w:color="auto" w:fill="auto"/>
            <w:vAlign w:val="bottom"/>
          </w:tcPr>
          <w:p w:rsidR="00035C3D" w:rsidRPr="00104FA7" w:rsidRDefault="00035C3D" w:rsidP="00035C3D">
            <w:pPr>
              <w:jc w:val="center"/>
              <w:rPr>
                <w:rFonts w:cs="Times New Roman"/>
                <w:sz w:val="20"/>
                <w:szCs w:val="20"/>
              </w:rPr>
            </w:pPr>
            <w:r>
              <w:rPr>
                <w:rFonts w:cs="Times New Roman"/>
                <w:sz w:val="20"/>
                <w:szCs w:val="20"/>
              </w:rPr>
              <w:t>2031</w:t>
            </w:r>
          </w:p>
        </w:tc>
        <w:tc>
          <w:tcPr>
            <w:tcW w:w="1136" w:type="pct"/>
            <w:shd w:val="clear" w:color="auto" w:fill="auto"/>
            <w:vAlign w:val="bottom"/>
          </w:tcPr>
          <w:p w:rsidR="00035C3D" w:rsidRPr="00104FA7" w:rsidRDefault="00035C3D" w:rsidP="00035C3D">
            <w:pPr>
              <w:tabs>
                <w:tab w:val="decimal" w:pos="1049"/>
              </w:tabs>
              <w:rPr>
                <w:rFonts w:cs="Times New Roman"/>
                <w:sz w:val="20"/>
                <w:szCs w:val="20"/>
              </w:rPr>
            </w:pPr>
            <w:r>
              <w:rPr>
                <w:rFonts w:cs="Times New Roman"/>
                <w:sz w:val="20"/>
                <w:szCs w:val="20"/>
              </w:rPr>
              <w:t>2,500,000</w:t>
            </w:r>
          </w:p>
        </w:tc>
        <w:tc>
          <w:tcPr>
            <w:tcW w:w="960" w:type="pct"/>
            <w:shd w:val="clear" w:color="auto" w:fill="auto"/>
            <w:vAlign w:val="bottom"/>
          </w:tcPr>
          <w:p w:rsidR="00035C3D" w:rsidRPr="00104FA7" w:rsidRDefault="00035C3D" w:rsidP="00492C23">
            <w:pPr>
              <w:tabs>
                <w:tab w:val="decimal" w:pos="395"/>
              </w:tabs>
              <w:rPr>
                <w:rFonts w:cs="Times New Roman"/>
                <w:sz w:val="20"/>
                <w:szCs w:val="20"/>
              </w:rPr>
            </w:pPr>
            <w:r>
              <w:rPr>
                <w:rFonts w:cs="Times New Roman"/>
                <w:sz w:val="20"/>
                <w:szCs w:val="20"/>
              </w:rPr>
              <w:t>5.000</w:t>
            </w:r>
          </w:p>
        </w:tc>
        <w:tc>
          <w:tcPr>
            <w:tcW w:w="959" w:type="pct"/>
            <w:shd w:val="clear" w:color="auto" w:fill="auto"/>
            <w:vAlign w:val="bottom"/>
          </w:tcPr>
          <w:p w:rsidR="00035C3D" w:rsidRPr="00104FA7" w:rsidRDefault="00035C3D" w:rsidP="00801BAA">
            <w:pPr>
              <w:tabs>
                <w:tab w:val="decimal" w:pos="368"/>
              </w:tabs>
              <w:rPr>
                <w:rFonts w:cs="Times New Roman"/>
                <w:sz w:val="20"/>
                <w:szCs w:val="20"/>
              </w:rPr>
            </w:pPr>
            <w:r>
              <w:rPr>
                <w:rFonts w:cs="Times New Roman"/>
                <w:sz w:val="20"/>
                <w:szCs w:val="20"/>
              </w:rPr>
              <w:t>1.070</w:t>
            </w:r>
            <w:r w:rsidR="007944CB">
              <w:rPr>
                <w:rFonts w:cs="Times New Roman"/>
                <w:sz w:val="20"/>
                <w:szCs w:val="20"/>
                <w:vertAlign w:val="superscript"/>
              </w:rPr>
              <w:t>1</w:t>
            </w:r>
          </w:p>
        </w:tc>
        <w:tc>
          <w:tcPr>
            <w:tcW w:w="1019" w:type="pct"/>
            <w:shd w:val="clear" w:color="auto" w:fill="auto"/>
          </w:tcPr>
          <w:p w:rsidR="00035C3D" w:rsidRDefault="00035C3D" w:rsidP="00035C3D">
            <w:r w:rsidRPr="00E52C4F">
              <w:rPr>
                <w:rFonts w:cs="Times New Roman"/>
                <w:sz w:val="20"/>
                <w:szCs w:val="20"/>
              </w:rPr>
              <w:t>19668Q</w:t>
            </w:r>
            <w:r>
              <w:rPr>
                <w:rFonts w:cs="Times New Roman"/>
                <w:sz w:val="20"/>
                <w:szCs w:val="20"/>
              </w:rPr>
              <w:t xml:space="preserve"> MP7</w:t>
            </w:r>
          </w:p>
        </w:tc>
      </w:tr>
      <w:tr w:rsidR="00035C3D" w:rsidRPr="00104FA7" w:rsidTr="001F0BE7">
        <w:trPr>
          <w:jc w:val="center"/>
        </w:trPr>
        <w:tc>
          <w:tcPr>
            <w:tcW w:w="925" w:type="pct"/>
            <w:shd w:val="clear" w:color="auto" w:fill="auto"/>
            <w:vAlign w:val="bottom"/>
          </w:tcPr>
          <w:p w:rsidR="00035C3D" w:rsidRPr="00104FA7" w:rsidRDefault="00035C3D" w:rsidP="00035C3D">
            <w:pPr>
              <w:jc w:val="center"/>
              <w:rPr>
                <w:rFonts w:cs="Times New Roman"/>
                <w:sz w:val="20"/>
                <w:szCs w:val="20"/>
              </w:rPr>
            </w:pPr>
            <w:r>
              <w:rPr>
                <w:rFonts w:cs="Times New Roman"/>
                <w:sz w:val="20"/>
                <w:szCs w:val="20"/>
              </w:rPr>
              <w:t>2032</w:t>
            </w:r>
          </w:p>
        </w:tc>
        <w:tc>
          <w:tcPr>
            <w:tcW w:w="1136" w:type="pct"/>
            <w:shd w:val="clear" w:color="auto" w:fill="auto"/>
            <w:vAlign w:val="bottom"/>
          </w:tcPr>
          <w:p w:rsidR="00035C3D" w:rsidRPr="00104FA7" w:rsidRDefault="00035C3D" w:rsidP="00035C3D">
            <w:pPr>
              <w:tabs>
                <w:tab w:val="decimal" w:pos="1049"/>
              </w:tabs>
              <w:rPr>
                <w:rFonts w:cs="Times New Roman"/>
                <w:sz w:val="20"/>
                <w:szCs w:val="20"/>
              </w:rPr>
            </w:pPr>
            <w:r>
              <w:rPr>
                <w:rFonts w:cs="Times New Roman"/>
                <w:sz w:val="20"/>
                <w:szCs w:val="20"/>
              </w:rPr>
              <w:t>2,625,000</w:t>
            </w:r>
          </w:p>
        </w:tc>
        <w:tc>
          <w:tcPr>
            <w:tcW w:w="960" w:type="pct"/>
            <w:shd w:val="clear" w:color="auto" w:fill="auto"/>
            <w:vAlign w:val="bottom"/>
          </w:tcPr>
          <w:p w:rsidR="00035C3D" w:rsidRPr="00104FA7" w:rsidRDefault="00035C3D" w:rsidP="00492C23">
            <w:pPr>
              <w:tabs>
                <w:tab w:val="decimal" w:pos="395"/>
              </w:tabs>
              <w:rPr>
                <w:rFonts w:cs="Times New Roman"/>
                <w:sz w:val="20"/>
                <w:szCs w:val="20"/>
              </w:rPr>
            </w:pPr>
            <w:r>
              <w:rPr>
                <w:rFonts w:cs="Times New Roman"/>
                <w:sz w:val="20"/>
                <w:szCs w:val="20"/>
              </w:rPr>
              <w:t>5.000</w:t>
            </w:r>
          </w:p>
        </w:tc>
        <w:tc>
          <w:tcPr>
            <w:tcW w:w="959" w:type="pct"/>
            <w:shd w:val="clear" w:color="auto" w:fill="auto"/>
            <w:vAlign w:val="bottom"/>
          </w:tcPr>
          <w:p w:rsidR="00035C3D" w:rsidRPr="00DD5A0B" w:rsidRDefault="00035C3D" w:rsidP="00801BAA">
            <w:pPr>
              <w:tabs>
                <w:tab w:val="decimal" w:pos="368"/>
              </w:tabs>
              <w:rPr>
                <w:rFonts w:cs="Times New Roman"/>
                <w:sz w:val="20"/>
                <w:szCs w:val="20"/>
              </w:rPr>
            </w:pPr>
            <w:r>
              <w:rPr>
                <w:rFonts w:cs="Times New Roman"/>
                <w:sz w:val="20"/>
                <w:szCs w:val="20"/>
              </w:rPr>
              <w:t>1.170</w:t>
            </w:r>
            <w:r w:rsidR="007944CB">
              <w:rPr>
                <w:rFonts w:cs="Times New Roman"/>
                <w:sz w:val="20"/>
                <w:szCs w:val="20"/>
                <w:vertAlign w:val="superscript"/>
              </w:rPr>
              <w:t>1</w:t>
            </w:r>
          </w:p>
        </w:tc>
        <w:tc>
          <w:tcPr>
            <w:tcW w:w="1019" w:type="pct"/>
            <w:shd w:val="clear" w:color="auto" w:fill="auto"/>
          </w:tcPr>
          <w:p w:rsidR="00035C3D" w:rsidRDefault="00035C3D" w:rsidP="00035C3D">
            <w:r w:rsidRPr="00E52C4F">
              <w:rPr>
                <w:rFonts w:cs="Times New Roman"/>
                <w:sz w:val="20"/>
                <w:szCs w:val="20"/>
              </w:rPr>
              <w:t>19668Q</w:t>
            </w:r>
            <w:r>
              <w:rPr>
                <w:rFonts w:cs="Times New Roman"/>
                <w:sz w:val="20"/>
                <w:szCs w:val="20"/>
              </w:rPr>
              <w:t xml:space="preserve"> MQ5</w:t>
            </w:r>
          </w:p>
        </w:tc>
      </w:tr>
      <w:tr w:rsidR="00035C3D" w:rsidRPr="00104FA7" w:rsidTr="001F0BE7">
        <w:trPr>
          <w:jc w:val="center"/>
        </w:trPr>
        <w:tc>
          <w:tcPr>
            <w:tcW w:w="925" w:type="pct"/>
            <w:shd w:val="clear" w:color="auto" w:fill="auto"/>
            <w:vAlign w:val="bottom"/>
          </w:tcPr>
          <w:p w:rsidR="00035C3D" w:rsidRDefault="00035C3D" w:rsidP="00035C3D">
            <w:pPr>
              <w:jc w:val="center"/>
              <w:rPr>
                <w:rFonts w:cs="Times New Roman"/>
                <w:sz w:val="20"/>
                <w:szCs w:val="20"/>
              </w:rPr>
            </w:pPr>
            <w:r>
              <w:rPr>
                <w:rFonts w:cs="Times New Roman"/>
                <w:sz w:val="20"/>
                <w:szCs w:val="20"/>
              </w:rPr>
              <w:t>2033</w:t>
            </w:r>
          </w:p>
        </w:tc>
        <w:tc>
          <w:tcPr>
            <w:tcW w:w="1136" w:type="pct"/>
            <w:shd w:val="clear" w:color="auto" w:fill="auto"/>
            <w:vAlign w:val="bottom"/>
          </w:tcPr>
          <w:p w:rsidR="00035C3D" w:rsidRPr="00104FA7" w:rsidRDefault="00035C3D" w:rsidP="00035C3D">
            <w:pPr>
              <w:tabs>
                <w:tab w:val="decimal" w:pos="1049"/>
              </w:tabs>
              <w:rPr>
                <w:rFonts w:cs="Times New Roman"/>
                <w:sz w:val="20"/>
                <w:szCs w:val="20"/>
              </w:rPr>
            </w:pPr>
            <w:r>
              <w:rPr>
                <w:rFonts w:cs="Times New Roman"/>
                <w:sz w:val="20"/>
                <w:szCs w:val="20"/>
              </w:rPr>
              <w:t>2,755,000</w:t>
            </w:r>
          </w:p>
        </w:tc>
        <w:tc>
          <w:tcPr>
            <w:tcW w:w="960" w:type="pct"/>
            <w:shd w:val="clear" w:color="auto" w:fill="auto"/>
            <w:vAlign w:val="bottom"/>
          </w:tcPr>
          <w:p w:rsidR="00035C3D" w:rsidRPr="00104FA7" w:rsidRDefault="00035C3D" w:rsidP="00492C23">
            <w:pPr>
              <w:tabs>
                <w:tab w:val="decimal" w:pos="395"/>
              </w:tabs>
              <w:rPr>
                <w:rFonts w:cs="Times New Roman"/>
                <w:sz w:val="20"/>
                <w:szCs w:val="20"/>
              </w:rPr>
            </w:pPr>
            <w:r>
              <w:rPr>
                <w:rFonts w:cs="Times New Roman"/>
                <w:sz w:val="20"/>
                <w:szCs w:val="20"/>
              </w:rPr>
              <w:t>5.000</w:t>
            </w:r>
          </w:p>
        </w:tc>
        <w:tc>
          <w:tcPr>
            <w:tcW w:w="959" w:type="pct"/>
            <w:shd w:val="clear" w:color="auto" w:fill="auto"/>
            <w:vAlign w:val="bottom"/>
          </w:tcPr>
          <w:p w:rsidR="00035C3D" w:rsidRPr="00DD5A0B" w:rsidRDefault="00035C3D" w:rsidP="00801BAA">
            <w:pPr>
              <w:tabs>
                <w:tab w:val="decimal" w:pos="368"/>
              </w:tabs>
              <w:rPr>
                <w:rFonts w:cs="Times New Roman"/>
                <w:sz w:val="20"/>
                <w:szCs w:val="20"/>
              </w:rPr>
            </w:pPr>
            <w:r>
              <w:rPr>
                <w:rFonts w:cs="Times New Roman"/>
                <w:sz w:val="20"/>
                <w:szCs w:val="20"/>
              </w:rPr>
              <w:t>1.280</w:t>
            </w:r>
            <w:r w:rsidR="007944CB">
              <w:rPr>
                <w:rFonts w:cs="Times New Roman"/>
                <w:sz w:val="20"/>
                <w:szCs w:val="20"/>
                <w:vertAlign w:val="superscript"/>
              </w:rPr>
              <w:t>1</w:t>
            </w:r>
          </w:p>
        </w:tc>
        <w:tc>
          <w:tcPr>
            <w:tcW w:w="1019" w:type="pct"/>
            <w:shd w:val="clear" w:color="auto" w:fill="auto"/>
          </w:tcPr>
          <w:p w:rsidR="00035C3D" w:rsidRDefault="00035C3D" w:rsidP="00035C3D">
            <w:r w:rsidRPr="00E52C4F">
              <w:rPr>
                <w:rFonts w:cs="Times New Roman"/>
                <w:sz w:val="20"/>
                <w:szCs w:val="20"/>
              </w:rPr>
              <w:t>19668Q</w:t>
            </w:r>
            <w:r>
              <w:rPr>
                <w:rFonts w:cs="Times New Roman"/>
                <w:sz w:val="20"/>
                <w:szCs w:val="20"/>
              </w:rPr>
              <w:t xml:space="preserve"> MR3</w:t>
            </w:r>
          </w:p>
        </w:tc>
      </w:tr>
      <w:tr w:rsidR="00035C3D" w:rsidRPr="00104FA7" w:rsidTr="001F0BE7">
        <w:trPr>
          <w:jc w:val="center"/>
        </w:trPr>
        <w:tc>
          <w:tcPr>
            <w:tcW w:w="925" w:type="pct"/>
            <w:shd w:val="clear" w:color="auto" w:fill="auto"/>
            <w:vAlign w:val="bottom"/>
          </w:tcPr>
          <w:p w:rsidR="00035C3D" w:rsidRDefault="00035C3D" w:rsidP="00035C3D">
            <w:pPr>
              <w:jc w:val="center"/>
              <w:rPr>
                <w:rFonts w:cs="Times New Roman"/>
                <w:sz w:val="20"/>
                <w:szCs w:val="20"/>
              </w:rPr>
            </w:pPr>
            <w:r>
              <w:rPr>
                <w:rFonts w:cs="Times New Roman"/>
                <w:sz w:val="20"/>
                <w:szCs w:val="20"/>
              </w:rPr>
              <w:t>2034</w:t>
            </w:r>
          </w:p>
        </w:tc>
        <w:tc>
          <w:tcPr>
            <w:tcW w:w="1136" w:type="pct"/>
            <w:shd w:val="clear" w:color="auto" w:fill="auto"/>
            <w:vAlign w:val="bottom"/>
          </w:tcPr>
          <w:p w:rsidR="00035C3D" w:rsidRPr="00104FA7" w:rsidRDefault="00035C3D" w:rsidP="00035C3D">
            <w:pPr>
              <w:tabs>
                <w:tab w:val="decimal" w:pos="1049"/>
              </w:tabs>
              <w:rPr>
                <w:rFonts w:cs="Times New Roman"/>
                <w:sz w:val="20"/>
                <w:szCs w:val="20"/>
              </w:rPr>
            </w:pPr>
            <w:r>
              <w:rPr>
                <w:rFonts w:cs="Times New Roman"/>
                <w:sz w:val="20"/>
                <w:szCs w:val="20"/>
              </w:rPr>
              <w:t>2,890,000</w:t>
            </w:r>
          </w:p>
        </w:tc>
        <w:tc>
          <w:tcPr>
            <w:tcW w:w="960" w:type="pct"/>
            <w:shd w:val="clear" w:color="auto" w:fill="auto"/>
            <w:vAlign w:val="bottom"/>
          </w:tcPr>
          <w:p w:rsidR="00035C3D" w:rsidRPr="00104FA7" w:rsidRDefault="00035C3D" w:rsidP="00492C23">
            <w:pPr>
              <w:tabs>
                <w:tab w:val="decimal" w:pos="395"/>
              </w:tabs>
              <w:rPr>
                <w:rFonts w:cs="Times New Roman"/>
                <w:sz w:val="20"/>
                <w:szCs w:val="20"/>
              </w:rPr>
            </w:pPr>
            <w:r>
              <w:rPr>
                <w:rFonts w:cs="Times New Roman"/>
                <w:sz w:val="20"/>
                <w:szCs w:val="20"/>
              </w:rPr>
              <w:t>5.000</w:t>
            </w:r>
          </w:p>
        </w:tc>
        <w:tc>
          <w:tcPr>
            <w:tcW w:w="959" w:type="pct"/>
            <w:shd w:val="clear" w:color="auto" w:fill="auto"/>
            <w:vAlign w:val="bottom"/>
          </w:tcPr>
          <w:p w:rsidR="00035C3D" w:rsidRPr="00DD5A0B" w:rsidRDefault="00035C3D" w:rsidP="00801BAA">
            <w:pPr>
              <w:tabs>
                <w:tab w:val="decimal" w:pos="368"/>
              </w:tabs>
              <w:rPr>
                <w:rFonts w:cs="Times New Roman"/>
                <w:sz w:val="20"/>
                <w:szCs w:val="20"/>
              </w:rPr>
            </w:pPr>
            <w:r>
              <w:rPr>
                <w:rFonts w:cs="Times New Roman"/>
                <w:sz w:val="20"/>
                <w:szCs w:val="20"/>
              </w:rPr>
              <w:t>1.360</w:t>
            </w:r>
            <w:r w:rsidR="007944CB">
              <w:rPr>
                <w:rFonts w:cs="Times New Roman"/>
                <w:sz w:val="20"/>
                <w:szCs w:val="20"/>
                <w:vertAlign w:val="superscript"/>
              </w:rPr>
              <w:t>1</w:t>
            </w:r>
          </w:p>
        </w:tc>
        <w:tc>
          <w:tcPr>
            <w:tcW w:w="1019" w:type="pct"/>
            <w:shd w:val="clear" w:color="auto" w:fill="auto"/>
          </w:tcPr>
          <w:p w:rsidR="00035C3D" w:rsidRDefault="00035C3D" w:rsidP="00035C3D">
            <w:r w:rsidRPr="00E52C4F">
              <w:rPr>
                <w:rFonts w:cs="Times New Roman"/>
                <w:sz w:val="20"/>
                <w:szCs w:val="20"/>
              </w:rPr>
              <w:t>19668Q</w:t>
            </w:r>
            <w:r>
              <w:rPr>
                <w:rFonts w:cs="Times New Roman"/>
                <w:sz w:val="20"/>
                <w:szCs w:val="20"/>
              </w:rPr>
              <w:t xml:space="preserve"> MS1</w:t>
            </w:r>
          </w:p>
        </w:tc>
      </w:tr>
      <w:tr w:rsidR="00035C3D" w:rsidRPr="00104FA7" w:rsidTr="001F0BE7">
        <w:trPr>
          <w:jc w:val="center"/>
        </w:trPr>
        <w:tc>
          <w:tcPr>
            <w:tcW w:w="925" w:type="pct"/>
            <w:shd w:val="clear" w:color="auto" w:fill="auto"/>
            <w:vAlign w:val="bottom"/>
          </w:tcPr>
          <w:p w:rsidR="00035C3D" w:rsidRDefault="00035C3D" w:rsidP="00035C3D">
            <w:pPr>
              <w:jc w:val="center"/>
              <w:rPr>
                <w:rFonts w:cs="Times New Roman"/>
                <w:sz w:val="20"/>
                <w:szCs w:val="20"/>
              </w:rPr>
            </w:pPr>
            <w:r>
              <w:rPr>
                <w:rFonts w:cs="Times New Roman"/>
                <w:sz w:val="20"/>
                <w:szCs w:val="20"/>
              </w:rPr>
              <w:t>2035</w:t>
            </w:r>
          </w:p>
        </w:tc>
        <w:tc>
          <w:tcPr>
            <w:tcW w:w="1136" w:type="pct"/>
            <w:shd w:val="clear" w:color="auto" w:fill="auto"/>
            <w:vAlign w:val="bottom"/>
          </w:tcPr>
          <w:p w:rsidR="00035C3D" w:rsidRPr="00104FA7" w:rsidRDefault="00035C3D" w:rsidP="00035C3D">
            <w:pPr>
              <w:tabs>
                <w:tab w:val="decimal" w:pos="1049"/>
              </w:tabs>
              <w:rPr>
                <w:rFonts w:cs="Times New Roman"/>
                <w:sz w:val="20"/>
                <w:szCs w:val="20"/>
              </w:rPr>
            </w:pPr>
            <w:r>
              <w:rPr>
                <w:rFonts w:cs="Times New Roman"/>
                <w:sz w:val="20"/>
                <w:szCs w:val="20"/>
              </w:rPr>
              <w:t>3,035,000</w:t>
            </w:r>
          </w:p>
        </w:tc>
        <w:tc>
          <w:tcPr>
            <w:tcW w:w="960" w:type="pct"/>
            <w:shd w:val="clear" w:color="auto" w:fill="auto"/>
            <w:vAlign w:val="bottom"/>
          </w:tcPr>
          <w:p w:rsidR="00035C3D" w:rsidRPr="00104FA7" w:rsidRDefault="00035C3D" w:rsidP="00492C23">
            <w:pPr>
              <w:tabs>
                <w:tab w:val="decimal" w:pos="395"/>
              </w:tabs>
              <w:rPr>
                <w:rFonts w:cs="Times New Roman"/>
                <w:sz w:val="20"/>
                <w:szCs w:val="20"/>
              </w:rPr>
            </w:pPr>
            <w:r>
              <w:rPr>
                <w:rFonts w:cs="Times New Roman"/>
                <w:sz w:val="20"/>
                <w:szCs w:val="20"/>
              </w:rPr>
              <w:t>4.000</w:t>
            </w:r>
          </w:p>
        </w:tc>
        <w:tc>
          <w:tcPr>
            <w:tcW w:w="959" w:type="pct"/>
            <w:shd w:val="clear" w:color="auto" w:fill="auto"/>
            <w:vAlign w:val="bottom"/>
          </w:tcPr>
          <w:p w:rsidR="00035C3D" w:rsidRPr="00DD5A0B" w:rsidRDefault="00035C3D" w:rsidP="00801BAA">
            <w:pPr>
              <w:tabs>
                <w:tab w:val="decimal" w:pos="368"/>
              </w:tabs>
              <w:rPr>
                <w:rFonts w:cs="Times New Roman"/>
                <w:sz w:val="20"/>
                <w:szCs w:val="20"/>
              </w:rPr>
            </w:pPr>
            <w:r>
              <w:rPr>
                <w:rFonts w:cs="Times New Roman"/>
                <w:sz w:val="20"/>
                <w:szCs w:val="20"/>
              </w:rPr>
              <w:t>1.570</w:t>
            </w:r>
            <w:r w:rsidR="007944CB">
              <w:rPr>
                <w:rFonts w:cs="Times New Roman"/>
                <w:sz w:val="20"/>
                <w:szCs w:val="20"/>
                <w:vertAlign w:val="superscript"/>
              </w:rPr>
              <w:t>1</w:t>
            </w:r>
          </w:p>
        </w:tc>
        <w:tc>
          <w:tcPr>
            <w:tcW w:w="1019" w:type="pct"/>
            <w:shd w:val="clear" w:color="auto" w:fill="auto"/>
          </w:tcPr>
          <w:p w:rsidR="00035C3D" w:rsidRDefault="00035C3D" w:rsidP="00035C3D">
            <w:r w:rsidRPr="00E52C4F">
              <w:rPr>
                <w:rFonts w:cs="Times New Roman"/>
                <w:sz w:val="20"/>
                <w:szCs w:val="20"/>
              </w:rPr>
              <w:t>19668Q</w:t>
            </w:r>
            <w:r>
              <w:rPr>
                <w:rFonts w:cs="Times New Roman"/>
                <w:sz w:val="20"/>
                <w:szCs w:val="20"/>
              </w:rPr>
              <w:t xml:space="preserve"> MT9</w:t>
            </w:r>
          </w:p>
        </w:tc>
      </w:tr>
      <w:tr w:rsidR="00035C3D" w:rsidRPr="00104FA7" w:rsidTr="001F0BE7">
        <w:trPr>
          <w:jc w:val="center"/>
        </w:trPr>
        <w:tc>
          <w:tcPr>
            <w:tcW w:w="925" w:type="pct"/>
            <w:shd w:val="clear" w:color="auto" w:fill="auto"/>
            <w:vAlign w:val="bottom"/>
          </w:tcPr>
          <w:p w:rsidR="00035C3D" w:rsidRDefault="00035C3D" w:rsidP="00035C3D">
            <w:pPr>
              <w:jc w:val="center"/>
              <w:rPr>
                <w:rFonts w:cs="Times New Roman"/>
                <w:sz w:val="20"/>
                <w:szCs w:val="20"/>
              </w:rPr>
            </w:pPr>
            <w:r>
              <w:rPr>
                <w:rFonts w:cs="Times New Roman"/>
                <w:sz w:val="20"/>
                <w:szCs w:val="20"/>
              </w:rPr>
              <w:t>2036</w:t>
            </w:r>
          </w:p>
        </w:tc>
        <w:tc>
          <w:tcPr>
            <w:tcW w:w="1136" w:type="pct"/>
            <w:shd w:val="clear" w:color="auto" w:fill="auto"/>
            <w:vAlign w:val="bottom"/>
          </w:tcPr>
          <w:p w:rsidR="00035C3D" w:rsidRPr="00104FA7" w:rsidRDefault="00035C3D" w:rsidP="00035C3D">
            <w:pPr>
              <w:tabs>
                <w:tab w:val="decimal" w:pos="1049"/>
              </w:tabs>
              <w:rPr>
                <w:rFonts w:cs="Times New Roman"/>
                <w:sz w:val="20"/>
                <w:szCs w:val="20"/>
              </w:rPr>
            </w:pPr>
            <w:r>
              <w:rPr>
                <w:rFonts w:cs="Times New Roman"/>
                <w:sz w:val="20"/>
                <w:szCs w:val="20"/>
              </w:rPr>
              <w:t>2,270,000</w:t>
            </w:r>
          </w:p>
        </w:tc>
        <w:tc>
          <w:tcPr>
            <w:tcW w:w="960" w:type="pct"/>
            <w:shd w:val="clear" w:color="auto" w:fill="auto"/>
          </w:tcPr>
          <w:p w:rsidR="00035C3D" w:rsidRDefault="00035C3D" w:rsidP="00492C23">
            <w:pPr>
              <w:tabs>
                <w:tab w:val="decimal" w:pos="395"/>
              </w:tabs>
            </w:pPr>
            <w:r w:rsidRPr="00B16B03">
              <w:rPr>
                <w:rFonts w:cs="Times New Roman"/>
                <w:sz w:val="20"/>
                <w:szCs w:val="20"/>
              </w:rPr>
              <w:t>4.000</w:t>
            </w:r>
          </w:p>
        </w:tc>
        <w:tc>
          <w:tcPr>
            <w:tcW w:w="959" w:type="pct"/>
            <w:shd w:val="clear" w:color="auto" w:fill="auto"/>
            <w:vAlign w:val="bottom"/>
          </w:tcPr>
          <w:p w:rsidR="00035C3D" w:rsidRPr="00DD5A0B" w:rsidRDefault="00035C3D" w:rsidP="00801BAA">
            <w:pPr>
              <w:tabs>
                <w:tab w:val="decimal" w:pos="368"/>
              </w:tabs>
              <w:rPr>
                <w:rFonts w:cs="Times New Roman"/>
                <w:sz w:val="20"/>
                <w:szCs w:val="20"/>
              </w:rPr>
            </w:pPr>
            <w:r>
              <w:rPr>
                <w:rFonts w:cs="Times New Roman"/>
                <w:sz w:val="20"/>
                <w:szCs w:val="20"/>
              </w:rPr>
              <w:t>1.610</w:t>
            </w:r>
            <w:r w:rsidR="007944CB">
              <w:rPr>
                <w:rFonts w:cs="Times New Roman"/>
                <w:sz w:val="20"/>
                <w:szCs w:val="20"/>
                <w:vertAlign w:val="superscript"/>
              </w:rPr>
              <w:t>1</w:t>
            </w:r>
          </w:p>
        </w:tc>
        <w:tc>
          <w:tcPr>
            <w:tcW w:w="1019" w:type="pct"/>
            <w:shd w:val="clear" w:color="auto" w:fill="auto"/>
          </w:tcPr>
          <w:p w:rsidR="00035C3D" w:rsidRDefault="00035C3D" w:rsidP="00035C3D">
            <w:r w:rsidRPr="00E52C4F">
              <w:rPr>
                <w:rFonts w:cs="Times New Roman"/>
                <w:sz w:val="20"/>
                <w:szCs w:val="20"/>
              </w:rPr>
              <w:t>19668Q</w:t>
            </w:r>
            <w:r>
              <w:rPr>
                <w:rFonts w:cs="Times New Roman"/>
                <w:sz w:val="20"/>
                <w:szCs w:val="20"/>
              </w:rPr>
              <w:t xml:space="preserve"> MU6</w:t>
            </w:r>
          </w:p>
        </w:tc>
      </w:tr>
      <w:tr w:rsidR="00035C3D" w:rsidRPr="00104FA7" w:rsidTr="001F0BE7">
        <w:trPr>
          <w:jc w:val="center"/>
        </w:trPr>
        <w:tc>
          <w:tcPr>
            <w:tcW w:w="925" w:type="pct"/>
            <w:shd w:val="clear" w:color="auto" w:fill="auto"/>
            <w:vAlign w:val="bottom"/>
          </w:tcPr>
          <w:p w:rsidR="00035C3D" w:rsidRDefault="00035C3D" w:rsidP="00035C3D">
            <w:pPr>
              <w:jc w:val="center"/>
              <w:rPr>
                <w:rFonts w:cs="Times New Roman"/>
                <w:sz w:val="20"/>
                <w:szCs w:val="20"/>
              </w:rPr>
            </w:pPr>
            <w:r>
              <w:rPr>
                <w:rFonts w:cs="Times New Roman"/>
                <w:sz w:val="20"/>
                <w:szCs w:val="20"/>
              </w:rPr>
              <w:t>2037</w:t>
            </w:r>
          </w:p>
        </w:tc>
        <w:tc>
          <w:tcPr>
            <w:tcW w:w="1136" w:type="pct"/>
            <w:shd w:val="clear" w:color="auto" w:fill="auto"/>
            <w:vAlign w:val="bottom"/>
          </w:tcPr>
          <w:p w:rsidR="00035C3D" w:rsidRPr="00104FA7" w:rsidRDefault="00035C3D" w:rsidP="00035C3D">
            <w:pPr>
              <w:tabs>
                <w:tab w:val="decimal" w:pos="1049"/>
              </w:tabs>
              <w:rPr>
                <w:rFonts w:cs="Times New Roman"/>
                <w:sz w:val="20"/>
                <w:szCs w:val="20"/>
              </w:rPr>
            </w:pPr>
            <w:r>
              <w:rPr>
                <w:rFonts w:cs="Times New Roman"/>
                <w:sz w:val="20"/>
                <w:szCs w:val="20"/>
              </w:rPr>
              <w:t>1,620,000</w:t>
            </w:r>
          </w:p>
        </w:tc>
        <w:tc>
          <w:tcPr>
            <w:tcW w:w="960" w:type="pct"/>
            <w:shd w:val="clear" w:color="auto" w:fill="auto"/>
          </w:tcPr>
          <w:p w:rsidR="00035C3D" w:rsidRDefault="00035C3D" w:rsidP="00492C23">
            <w:pPr>
              <w:tabs>
                <w:tab w:val="decimal" w:pos="395"/>
              </w:tabs>
            </w:pPr>
            <w:r w:rsidRPr="00B16B03">
              <w:rPr>
                <w:rFonts w:cs="Times New Roman"/>
                <w:sz w:val="20"/>
                <w:szCs w:val="20"/>
              </w:rPr>
              <w:t>4.000</w:t>
            </w:r>
          </w:p>
        </w:tc>
        <w:tc>
          <w:tcPr>
            <w:tcW w:w="959" w:type="pct"/>
            <w:shd w:val="clear" w:color="auto" w:fill="auto"/>
            <w:vAlign w:val="bottom"/>
          </w:tcPr>
          <w:p w:rsidR="00035C3D" w:rsidRPr="00DD5A0B" w:rsidRDefault="00035C3D" w:rsidP="00801BAA">
            <w:pPr>
              <w:tabs>
                <w:tab w:val="decimal" w:pos="368"/>
              </w:tabs>
              <w:rPr>
                <w:rFonts w:cs="Times New Roman"/>
                <w:sz w:val="20"/>
                <w:szCs w:val="20"/>
              </w:rPr>
            </w:pPr>
            <w:r>
              <w:rPr>
                <w:rFonts w:cs="Times New Roman"/>
                <w:sz w:val="20"/>
                <w:szCs w:val="20"/>
              </w:rPr>
              <w:t>1.650</w:t>
            </w:r>
            <w:r w:rsidR="007944CB">
              <w:rPr>
                <w:rFonts w:cs="Times New Roman"/>
                <w:sz w:val="20"/>
                <w:szCs w:val="20"/>
                <w:vertAlign w:val="superscript"/>
              </w:rPr>
              <w:t>1</w:t>
            </w:r>
          </w:p>
        </w:tc>
        <w:tc>
          <w:tcPr>
            <w:tcW w:w="1019" w:type="pct"/>
            <w:shd w:val="clear" w:color="auto" w:fill="auto"/>
          </w:tcPr>
          <w:p w:rsidR="00035C3D" w:rsidRDefault="00035C3D" w:rsidP="00035C3D">
            <w:r w:rsidRPr="00E52C4F">
              <w:rPr>
                <w:rFonts w:cs="Times New Roman"/>
                <w:sz w:val="20"/>
                <w:szCs w:val="20"/>
              </w:rPr>
              <w:t>19668Q</w:t>
            </w:r>
            <w:r>
              <w:rPr>
                <w:rFonts w:cs="Times New Roman"/>
                <w:sz w:val="20"/>
                <w:szCs w:val="20"/>
              </w:rPr>
              <w:t xml:space="preserve"> MV4</w:t>
            </w:r>
          </w:p>
        </w:tc>
      </w:tr>
      <w:tr w:rsidR="00035C3D" w:rsidRPr="00104FA7" w:rsidTr="001F0BE7">
        <w:trPr>
          <w:jc w:val="center"/>
        </w:trPr>
        <w:tc>
          <w:tcPr>
            <w:tcW w:w="925" w:type="pct"/>
            <w:shd w:val="clear" w:color="auto" w:fill="auto"/>
            <w:vAlign w:val="bottom"/>
          </w:tcPr>
          <w:p w:rsidR="00035C3D" w:rsidRDefault="00035C3D" w:rsidP="00035C3D">
            <w:pPr>
              <w:jc w:val="center"/>
              <w:rPr>
                <w:rFonts w:cs="Times New Roman"/>
                <w:sz w:val="20"/>
                <w:szCs w:val="20"/>
              </w:rPr>
            </w:pPr>
            <w:r>
              <w:rPr>
                <w:rFonts w:cs="Times New Roman"/>
                <w:sz w:val="20"/>
                <w:szCs w:val="20"/>
              </w:rPr>
              <w:t>2038</w:t>
            </w:r>
          </w:p>
        </w:tc>
        <w:tc>
          <w:tcPr>
            <w:tcW w:w="1136" w:type="pct"/>
            <w:shd w:val="clear" w:color="auto" w:fill="auto"/>
            <w:vAlign w:val="bottom"/>
          </w:tcPr>
          <w:p w:rsidR="00035C3D" w:rsidRPr="00104FA7" w:rsidRDefault="00035C3D" w:rsidP="00035C3D">
            <w:pPr>
              <w:tabs>
                <w:tab w:val="decimal" w:pos="1049"/>
              </w:tabs>
              <w:rPr>
                <w:rFonts w:cs="Times New Roman"/>
                <w:sz w:val="20"/>
                <w:szCs w:val="20"/>
              </w:rPr>
            </w:pPr>
            <w:r>
              <w:rPr>
                <w:rFonts w:cs="Times New Roman"/>
                <w:sz w:val="20"/>
                <w:szCs w:val="20"/>
              </w:rPr>
              <w:t>1,685,000</w:t>
            </w:r>
          </w:p>
        </w:tc>
        <w:tc>
          <w:tcPr>
            <w:tcW w:w="960" w:type="pct"/>
            <w:shd w:val="clear" w:color="auto" w:fill="auto"/>
          </w:tcPr>
          <w:p w:rsidR="00035C3D" w:rsidRDefault="00035C3D" w:rsidP="00492C23">
            <w:pPr>
              <w:tabs>
                <w:tab w:val="decimal" w:pos="395"/>
              </w:tabs>
            </w:pPr>
            <w:r w:rsidRPr="00B16B03">
              <w:rPr>
                <w:rFonts w:cs="Times New Roman"/>
                <w:sz w:val="20"/>
                <w:szCs w:val="20"/>
              </w:rPr>
              <w:t>4.000</w:t>
            </w:r>
          </w:p>
        </w:tc>
        <w:tc>
          <w:tcPr>
            <w:tcW w:w="959" w:type="pct"/>
            <w:shd w:val="clear" w:color="auto" w:fill="auto"/>
            <w:vAlign w:val="bottom"/>
          </w:tcPr>
          <w:p w:rsidR="00035C3D" w:rsidRPr="00DD5A0B" w:rsidRDefault="00035C3D" w:rsidP="00801BAA">
            <w:pPr>
              <w:tabs>
                <w:tab w:val="decimal" w:pos="368"/>
              </w:tabs>
              <w:rPr>
                <w:rFonts w:cs="Times New Roman"/>
                <w:sz w:val="20"/>
                <w:szCs w:val="20"/>
              </w:rPr>
            </w:pPr>
            <w:r>
              <w:rPr>
                <w:rFonts w:cs="Times New Roman"/>
                <w:sz w:val="20"/>
                <w:szCs w:val="20"/>
              </w:rPr>
              <w:t>1.690</w:t>
            </w:r>
            <w:r w:rsidR="007944CB">
              <w:rPr>
                <w:rFonts w:cs="Times New Roman"/>
                <w:sz w:val="20"/>
                <w:szCs w:val="20"/>
                <w:vertAlign w:val="superscript"/>
              </w:rPr>
              <w:t>1</w:t>
            </w:r>
          </w:p>
        </w:tc>
        <w:tc>
          <w:tcPr>
            <w:tcW w:w="1019" w:type="pct"/>
            <w:shd w:val="clear" w:color="auto" w:fill="auto"/>
          </w:tcPr>
          <w:p w:rsidR="00035C3D" w:rsidRDefault="00035C3D" w:rsidP="00035C3D">
            <w:r w:rsidRPr="00E52C4F">
              <w:rPr>
                <w:rFonts w:cs="Times New Roman"/>
                <w:sz w:val="20"/>
                <w:szCs w:val="20"/>
              </w:rPr>
              <w:t>19668Q</w:t>
            </w:r>
            <w:r>
              <w:rPr>
                <w:rFonts w:cs="Times New Roman"/>
                <w:sz w:val="20"/>
                <w:szCs w:val="20"/>
              </w:rPr>
              <w:t xml:space="preserve"> MW2</w:t>
            </w:r>
          </w:p>
        </w:tc>
      </w:tr>
      <w:tr w:rsidR="00035C3D" w:rsidRPr="00104FA7" w:rsidTr="001F0BE7">
        <w:trPr>
          <w:jc w:val="center"/>
        </w:trPr>
        <w:tc>
          <w:tcPr>
            <w:tcW w:w="925" w:type="pct"/>
            <w:shd w:val="clear" w:color="auto" w:fill="auto"/>
            <w:vAlign w:val="bottom"/>
          </w:tcPr>
          <w:p w:rsidR="00035C3D" w:rsidRDefault="00035C3D" w:rsidP="00035C3D">
            <w:pPr>
              <w:jc w:val="center"/>
              <w:rPr>
                <w:rFonts w:cs="Times New Roman"/>
                <w:sz w:val="20"/>
                <w:szCs w:val="20"/>
              </w:rPr>
            </w:pPr>
            <w:r>
              <w:rPr>
                <w:rFonts w:cs="Times New Roman"/>
                <w:sz w:val="20"/>
                <w:szCs w:val="20"/>
              </w:rPr>
              <w:t>2039</w:t>
            </w:r>
          </w:p>
        </w:tc>
        <w:tc>
          <w:tcPr>
            <w:tcW w:w="1136" w:type="pct"/>
            <w:shd w:val="clear" w:color="auto" w:fill="auto"/>
            <w:vAlign w:val="bottom"/>
          </w:tcPr>
          <w:p w:rsidR="00035C3D" w:rsidRPr="00104FA7" w:rsidRDefault="00035C3D" w:rsidP="00035C3D">
            <w:pPr>
              <w:tabs>
                <w:tab w:val="decimal" w:pos="1049"/>
              </w:tabs>
              <w:rPr>
                <w:rFonts w:cs="Times New Roman"/>
                <w:sz w:val="20"/>
                <w:szCs w:val="20"/>
              </w:rPr>
            </w:pPr>
            <w:r>
              <w:rPr>
                <w:rFonts w:cs="Times New Roman"/>
                <w:sz w:val="20"/>
                <w:szCs w:val="20"/>
              </w:rPr>
              <w:t>1,750,000</w:t>
            </w:r>
          </w:p>
        </w:tc>
        <w:tc>
          <w:tcPr>
            <w:tcW w:w="960" w:type="pct"/>
            <w:shd w:val="clear" w:color="auto" w:fill="auto"/>
          </w:tcPr>
          <w:p w:rsidR="00035C3D" w:rsidRDefault="00035C3D" w:rsidP="00492C23">
            <w:pPr>
              <w:tabs>
                <w:tab w:val="decimal" w:pos="395"/>
              </w:tabs>
            </w:pPr>
            <w:r w:rsidRPr="00B16B03">
              <w:rPr>
                <w:rFonts w:cs="Times New Roman"/>
                <w:sz w:val="20"/>
                <w:szCs w:val="20"/>
              </w:rPr>
              <w:t>4.000</w:t>
            </w:r>
          </w:p>
        </w:tc>
        <w:tc>
          <w:tcPr>
            <w:tcW w:w="959" w:type="pct"/>
            <w:shd w:val="clear" w:color="auto" w:fill="auto"/>
            <w:vAlign w:val="bottom"/>
          </w:tcPr>
          <w:p w:rsidR="00035C3D" w:rsidRPr="00DD5A0B" w:rsidRDefault="00035C3D" w:rsidP="00801BAA">
            <w:pPr>
              <w:tabs>
                <w:tab w:val="decimal" w:pos="368"/>
              </w:tabs>
              <w:rPr>
                <w:rFonts w:cs="Times New Roman"/>
                <w:sz w:val="20"/>
                <w:szCs w:val="20"/>
              </w:rPr>
            </w:pPr>
            <w:r>
              <w:rPr>
                <w:rFonts w:cs="Times New Roman"/>
                <w:sz w:val="20"/>
                <w:szCs w:val="20"/>
              </w:rPr>
              <w:t>1.730</w:t>
            </w:r>
            <w:r w:rsidR="007944CB">
              <w:rPr>
                <w:rFonts w:cs="Times New Roman"/>
                <w:sz w:val="20"/>
                <w:szCs w:val="20"/>
                <w:vertAlign w:val="superscript"/>
              </w:rPr>
              <w:t>1</w:t>
            </w:r>
          </w:p>
        </w:tc>
        <w:tc>
          <w:tcPr>
            <w:tcW w:w="1019" w:type="pct"/>
            <w:shd w:val="clear" w:color="auto" w:fill="auto"/>
          </w:tcPr>
          <w:p w:rsidR="00035C3D" w:rsidRDefault="00035C3D" w:rsidP="00035C3D">
            <w:r w:rsidRPr="00E52C4F">
              <w:rPr>
                <w:rFonts w:cs="Times New Roman"/>
                <w:sz w:val="20"/>
                <w:szCs w:val="20"/>
              </w:rPr>
              <w:t>19668Q</w:t>
            </w:r>
            <w:r>
              <w:rPr>
                <w:rFonts w:cs="Times New Roman"/>
                <w:sz w:val="20"/>
                <w:szCs w:val="20"/>
              </w:rPr>
              <w:t xml:space="preserve"> MX0</w:t>
            </w:r>
          </w:p>
        </w:tc>
      </w:tr>
      <w:tr w:rsidR="00035C3D" w:rsidRPr="00104FA7" w:rsidTr="001F0BE7">
        <w:trPr>
          <w:jc w:val="center"/>
        </w:trPr>
        <w:tc>
          <w:tcPr>
            <w:tcW w:w="925" w:type="pct"/>
            <w:shd w:val="clear" w:color="auto" w:fill="auto"/>
            <w:vAlign w:val="bottom"/>
          </w:tcPr>
          <w:p w:rsidR="00035C3D" w:rsidRDefault="00035C3D" w:rsidP="00035C3D">
            <w:pPr>
              <w:jc w:val="center"/>
              <w:rPr>
                <w:rFonts w:cs="Times New Roman"/>
                <w:sz w:val="20"/>
                <w:szCs w:val="20"/>
              </w:rPr>
            </w:pPr>
            <w:r>
              <w:rPr>
                <w:rFonts w:cs="Times New Roman"/>
                <w:sz w:val="20"/>
                <w:szCs w:val="20"/>
              </w:rPr>
              <w:t>2040</w:t>
            </w:r>
          </w:p>
        </w:tc>
        <w:tc>
          <w:tcPr>
            <w:tcW w:w="1136" w:type="pct"/>
            <w:shd w:val="clear" w:color="auto" w:fill="auto"/>
            <w:vAlign w:val="bottom"/>
          </w:tcPr>
          <w:p w:rsidR="00035C3D" w:rsidRPr="00104FA7" w:rsidRDefault="00035C3D" w:rsidP="00035C3D">
            <w:pPr>
              <w:tabs>
                <w:tab w:val="decimal" w:pos="1049"/>
              </w:tabs>
              <w:rPr>
                <w:rFonts w:cs="Times New Roman"/>
                <w:sz w:val="20"/>
                <w:szCs w:val="20"/>
              </w:rPr>
            </w:pPr>
            <w:r>
              <w:rPr>
                <w:rFonts w:cs="Times New Roman"/>
                <w:sz w:val="20"/>
                <w:szCs w:val="20"/>
              </w:rPr>
              <w:t>1,820,000</w:t>
            </w:r>
          </w:p>
        </w:tc>
        <w:tc>
          <w:tcPr>
            <w:tcW w:w="960" w:type="pct"/>
            <w:shd w:val="clear" w:color="auto" w:fill="auto"/>
          </w:tcPr>
          <w:p w:rsidR="00035C3D" w:rsidRDefault="00035C3D" w:rsidP="00492C23">
            <w:pPr>
              <w:tabs>
                <w:tab w:val="decimal" w:pos="395"/>
              </w:tabs>
            </w:pPr>
            <w:r w:rsidRPr="00B16B03">
              <w:rPr>
                <w:rFonts w:cs="Times New Roman"/>
                <w:sz w:val="20"/>
                <w:szCs w:val="20"/>
              </w:rPr>
              <w:t>4.000</w:t>
            </w:r>
          </w:p>
        </w:tc>
        <w:tc>
          <w:tcPr>
            <w:tcW w:w="959" w:type="pct"/>
            <w:shd w:val="clear" w:color="auto" w:fill="auto"/>
            <w:vAlign w:val="bottom"/>
          </w:tcPr>
          <w:p w:rsidR="00035C3D" w:rsidRPr="00DD5A0B" w:rsidRDefault="00035C3D" w:rsidP="00801BAA">
            <w:pPr>
              <w:tabs>
                <w:tab w:val="decimal" w:pos="368"/>
              </w:tabs>
              <w:rPr>
                <w:rFonts w:cs="Times New Roman"/>
                <w:sz w:val="20"/>
                <w:szCs w:val="20"/>
              </w:rPr>
            </w:pPr>
            <w:r>
              <w:rPr>
                <w:rFonts w:cs="Times New Roman"/>
                <w:sz w:val="20"/>
                <w:szCs w:val="20"/>
              </w:rPr>
              <w:t>1.770</w:t>
            </w:r>
            <w:r w:rsidR="007944CB">
              <w:rPr>
                <w:rFonts w:cs="Times New Roman"/>
                <w:sz w:val="20"/>
                <w:szCs w:val="20"/>
                <w:vertAlign w:val="superscript"/>
              </w:rPr>
              <w:t>1</w:t>
            </w:r>
          </w:p>
        </w:tc>
        <w:tc>
          <w:tcPr>
            <w:tcW w:w="1019" w:type="pct"/>
            <w:shd w:val="clear" w:color="auto" w:fill="auto"/>
          </w:tcPr>
          <w:p w:rsidR="00035C3D" w:rsidRDefault="00035C3D" w:rsidP="00035C3D">
            <w:r w:rsidRPr="00E52C4F">
              <w:rPr>
                <w:rFonts w:cs="Times New Roman"/>
                <w:sz w:val="20"/>
                <w:szCs w:val="20"/>
              </w:rPr>
              <w:t>19668Q</w:t>
            </w:r>
            <w:r>
              <w:rPr>
                <w:rFonts w:cs="Times New Roman"/>
                <w:sz w:val="20"/>
                <w:szCs w:val="20"/>
              </w:rPr>
              <w:t xml:space="preserve"> MY8</w:t>
            </w:r>
          </w:p>
        </w:tc>
      </w:tr>
      <w:tr w:rsidR="00035C3D" w:rsidRPr="00104FA7" w:rsidTr="001F0BE7">
        <w:trPr>
          <w:jc w:val="center"/>
        </w:trPr>
        <w:tc>
          <w:tcPr>
            <w:tcW w:w="925" w:type="pct"/>
            <w:shd w:val="clear" w:color="auto" w:fill="auto"/>
            <w:vAlign w:val="bottom"/>
          </w:tcPr>
          <w:p w:rsidR="00035C3D" w:rsidRDefault="00035C3D" w:rsidP="00035C3D">
            <w:pPr>
              <w:jc w:val="center"/>
              <w:rPr>
                <w:rFonts w:cs="Times New Roman"/>
                <w:sz w:val="20"/>
                <w:szCs w:val="20"/>
              </w:rPr>
            </w:pPr>
            <w:r>
              <w:rPr>
                <w:rFonts w:cs="Times New Roman"/>
                <w:sz w:val="20"/>
                <w:szCs w:val="20"/>
              </w:rPr>
              <w:t>2041</w:t>
            </w:r>
          </w:p>
        </w:tc>
        <w:tc>
          <w:tcPr>
            <w:tcW w:w="1136" w:type="pct"/>
            <w:shd w:val="clear" w:color="auto" w:fill="auto"/>
            <w:vAlign w:val="bottom"/>
          </w:tcPr>
          <w:p w:rsidR="00035C3D" w:rsidRPr="00104FA7" w:rsidRDefault="00035C3D" w:rsidP="00035C3D">
            <w:pPr>
              <w:tabs>
                <w:tab w:val="decimal" w:pos="1049"/>
              </w:tabs>
              <w:rPr>
                <w:rFonts w:cs="Times New Roman"/>
                <w:sz w:val="20"/>
                <w:szCs w:val="20"/>
              </w:rPr>
            </w:pPr>
            <w:r>
              <w:rPr>
                <w:rFonts w:cs="Times New Roman"/>
                <w:sz w:val="20"/>
                <w:szCs w:val="20"/>
              </w:rPr>
              <w:t>1,890,000</w:t>
            </w:r>
          </w:p>
        </w:tc>
        <w:tc>
          <w:tcPr>
            <w:tcW w:w="960" w:type="pct"/>
            <w:shd w:val="clear" w:color="auto" w:fill="auto"/>
          </w:tcPr>
          <w:p w:rsidR="00035C3D" w:rsidRDefault="00035C3D" w:rsidP="00492C23">
            <w:pPr>
              <w:tabs>
                <w:tab w:val="decimal" w:pos="395"/>
              </w:tabs>
            </w:pPr>
            <w:r w:rsidRPr="00B16B03">
              <w:rPr>
                <w:rFonts w:cs="Times New Roman"/>
                <w:sz w:val="20"/>
                <w:szCs w:val="20"/>
              </w:rPr>
              <w:t>4.000</w:t>
            </w:r>
          </w:p>
        </w:tc>
        <w:tc>
          <w:tcPr>
            <w:tcW w:w="959" w:type="pct"/>
            <w:shd w:val="clear" w:color="auto" w:fill="auto"/>
            <w:vAlign w:val="bottom"/>
          </w:tcPr>
          <w:p w:rsidR="00035C3D" w:rsidRPr="00DD5A0B" w:rsidRDefault="00035C3D" w:rsidP="00801BAA">
            <w:pPr>
              <w:tabs>
                <w:tab w:val="decimal" w:pos="368"/>
              </w:tabs>
              <w:rPr>
                <w:rFonts w:cs="Times New Roman"/>
                <w:sz w:val="20"/>
                <w:szCs w:val="20"/>
              </w:rPr>
            </w:pPr>
            <w:r>
              <w:rPr>
                <w:rFonts w:cs="Times New Roman"/>
                <w:sz w:val="20"/>
                <w:szCs w:val="20"/>
              </w:rPr>
              <w:t>1.810</w:t>
            </w:r>
            <w:r w:rsidR="007944CB">
              <w:rPr>
                <w:rFonts w:cs="Times New Roman"/>
                <w:sz w:val="20"/>
                <w:szCs w:val="20"/>
                <w:vertAlign w:val="superscript"/>
              </w:rPr>
              <w:t>1</w:t>
            </w:r>
          </w:p>
        </w:tc>
        <w:tc>
          <w:tcPr>
            <w:tcW w:w="1019" w:type="pct"/>
            <w:shd w:val="clear" w:color="auto" w:fill="auto"/>
          </w:tcPr>
          <w:p w:rsidR="00035C3D" w:rsidRDefault="00035C3D" w:rsidP="00035C3D">
            <w:r w:rsidRPr="00E52C4F">
              <w:rPr>
                <w:rFonts w:cs="Times New Roman"/>
                <w:sz w:val="20"/>
                <w:szCs w:val="20"/>
              </w:rPr>
              <w:t>19668Q</w:t>
            </w:r>
            <w:r>
              <w:rPr>
                <w:rFonts w:cs="Times New Roman"/>
                <w:sz w:val="20"/>
                <w:szCs w:val="20"/>
              </w:rPr>
              <w:t xml:space="preserve"> MZ5</w:t>
            </w:r>
          </w:p>
        </w:tc>
      </w:tr>
      <w:tr w:rsidR="00035C3D" w:rsidRPr="00104FA7" w:rsidTr="001F0BE7">
        <w:trPr>
          <w:jc w:val="center"/>
        </w:trPr>
        <w:tc>
          <w:tcPr>
            <w:tcW w:w="925" w:type="pct"/>
            <w:shd w:val="clear" w:color="auto" w:fill="auto"/>
            <w:vAlign w:val="bottom"/>
          </w:tcPr>
          <w:p w:rsidR="00035C3D" w:rsidRDefault="00035C3D" w:rsidP="00035C3D">
            <w:pPr>
              <w:jc w:val="center"/>
              <w:rPr>
                <w:rFonts w:cs="Times New Roman"/>
                <w:sz w:val="20"/>
                <w:szCs w:val="20"/>
              </w:rPr>
            </w:pPr>
            <w:r>
              <w:rPr>
                <w:rFonts w:cs="Times New Roman"/>
                <w:sz w:val="20"/>
                <w:szCs w:val="20"/>
              </w:rPr>
              <w:t>2045</w:t>
            </w:r>
          </w:p>
        </w:tc>
        <w:tc>
          <w:tcPr>
            <w:tcW w:w="1136" w:type="pct"/>
            <w:shd w:val="clear" w:color="auto" w:fill="auto"/>
            <w:vAlign w:val="bottom"/>
          </w:tcPr>
          <w:p w:rsidR="00035C3D" w:rsidRPr="00104FA7" w:rsidRDefault="00035C3D" w:rsidP="00035C3D">
            <w:pPr>
              <w:tabs>
                <w:tab w:val="decimal" w:pos="1049"/>
              </w:tabs>
              <w:rPr>
                <w:rFonts w:cs="Times New Roman"/>
                <w:sz w:val="20"/>
                <w:szCs w:val="20"/>
              </w:rPr>
            </w:pPr>
            <w:r>
              <w:rPr>
                <w:rFonts w:cs="Times New Roman"/>
                <w:sz w:val="20"/>
                <w:szCs w:val="20"/>
              </w:rPr>
              <w:t>51,860,000</w:t>
            </w:r>
          </w:p>
        </w:tc>
        <w:tc>
          <w:tcPr>
            <w:tcW w:w="960" w:type="pct"/>
            <w:shd w:val="clear" w:color="auto" w:fill="auto"/>
            <w:vAlign w:val="bottom"/>
          </w:tcPr>
          <w:p w:rsidR="00035C3D" w:rsidRPr="00104FA7" w:rsidRDefault="00035C3D" w:rsidP="00492C23">
            <w:pPr>
              <w:tabs>
                <w:tab w:val="decimal" w:pos="395"/>
              </w:tabs>
              <w:rPr>
                <w:rFonts w:cs="Times New Roman"/>
                <w:sz w:val="20"/>
                <w:szCs w:val="20"/>
              </w:rPr>
            </w:pPr>
            <w:r>
              <w:rPr>
                <w:rFonts w:cs="Times New Roman"/>
                <w:sz w:val="20"/>
                <w:szCs w:val="20"/>
              </w:rPr>
              <w:t>4.000</w:t>
            </w:r>
          </w:p>
        </w:tc>
        <w:tc>
          <w:tcPr>
            <w:tcW w:w="959" w:type="pct"/>
            <w:shd w:val="clear" w:color="auto" w:fill="auto"/>
            <w:vAlign w:val="bottom"/>
          </w:tcPr>
          <w:p w:rsidR="00035C3D" w:rsidRPr="00DD5A0B" w:rsidRDefault="00035C3D" w:rsidP="00801BAA">
            <w:pPr>
              <w:tabs>
                <w:tab w:val="decimal" w:pos="368"/>
              </w:tabs>
              <w:rPr>
                <w:rFonts w:cs="Times New Roman"/>
                <w:sz w:val="20"/>
                <w:szCs w:val="20"/>
              </w:rPr>
            </w:pPr>
            <w:r>
              <w:rPr>
                <w:rFonts w:cs="Times New Roman"/>
                <w:sz w:val="20"/>
                <w:szCs w:val="20"/>
              </w:rPr>
              <w:t>1.880</w:t>
            </w:r>
            <w:r w:rsidR="007944CB">
              <w:rPr>
                <w:rFonts w:cs="Times New Roman"/>
                <w:sz w:val="20"/>
                <w:szCs w:val="20"/>
                <w:vertAlign w:val="superscript"/>
              </w:rPr>
              <w:t>1</w:t>
            </w:r>
          </w:p>
        </w:tc>
        <w:tc>
          <w:tcPr>
            <w:tcW w:w="1019" w:type="pct"/>
            <w:shd w:val="clear" w:color="auto" w:fill="auto"/>
          </w:tcPr>
          <w:p w:rsidR="00035C3D" w:rsidRDefault="00671ED7" w:rsidP="00035C3D">
            <w:r w:rsidRPr="00BB7B8D">
              <w:rPr>
                <w:sz w:val="20"/>
              </w:rPr>
              <w:t>19668Q NA9</w:t>
            </w:r>
          </w:p>
        </w:tc>
      </w:tr>
    </w:tbl>
    <w:p w:rsidR="00561636" w:rsidRDefault="00561636" w:rsidP="004B744C">
      <w:pPr>
        <w:jc w:val="center"/>
        <w:rPr>
          <w:b/>
          <w:sz w:val="16"/>
          <w:szCs w:val="16"/>
        </w:rPr>
      </w:pPr>
    </w:p>
    <w:p w:rsidR="00EB6913" w:rsidRDefault="00EB6913" w:rsidP="00EB6913">
      <w:pPr>
        <w:jc w:val="left"/>
        <w:rPr>
          <w:b/>
          <w:sz w:val="16"/>
          <w:szCs w:val="16"/>
        </w:rPr>
      </w:pPr>
      <w:r>
        <w:rPr>
          <w:b/>
          <w:sz w:val="16"/>
          <w:szCs w:val="16"/>
        </w:rPr>
        <w:t>_______________________</w:t>
      </w:r>
    </w:p>
    <w:p w:rsidR="00EB6913" w:rsidRPr="00EB6913" w:rsidRDefault="00EB6913" w:rsidP="00EB6913">
      <w:pPr>
        <w:jc w:val="left"/>
        <w:rPr>
          <w:sz w:val="16"/>
          <w:szCs w:val="16"/>
        </w:rPr>
      </w:pPr>
      <w:r w:rsidRPr="007944CB">
        <w:rPr>
          <w:sz w:val="16"/>
          <w:szCs w:val="16"/>
          <w:vertAlign w:val="superscript"/>
        </w:rPr>
        <w:t>1</w:t>
      </w:r>
      <w:r w:rsidRPr="00EB6913">
        <w:rPr>
          <w:sz w:val="16"/>
          <w:szCs w:val="16"/>
        </w:rPr>
        <w:t xml:space="preserve"> Priced to the first optional call date of March 15, 2030 at par.</w:t>
      </w:r>
    </w:p>
    <w:p w:rsidR="00EB6913" w:rsidRDefault="00EB6913">
      <w:pPr>
        <w:spacing w:after="160" w:line="259" w:lineRule="auto"/>
        <w:jc w:val="left"/>
        <w:rPr>
          <w:b/>
          <w:sz w:val="16"/>
          <w:szCs w:val="16"/>
        </w:rPr>
      </w:pPr>
    </w:p>
    <w:p w:rsidR="00EB6913" w:rsidRDefault="00EB6913">
      <w:pPr>
        <w:spacing w:after="160" w:line="259" w:lineRule="auto"/>
        <w:jc w:val="left"/>
        <w:rPr>
          <w:b/>
          <w:sz w:val="16"/>
          <w:szCs w:val="16"/>
        </w:rPr>
      </w:pPr>
    </w:p>
    <w:p w:rsidR="00561636" w:rsidRDefault="00561636">
      <w:pPr>
        <w:spacing w:after="160" w:line="259" w:lineRule="auto"/>
        <w:jc w:val="left"/>
        <w:rPr>
          <w:b/>
          <w:sz w:val="16"/>
          <w:szCs w:val="16"/>
        </w:rPr>
      </w:pPr>
      <w:r>
        <w:rPr>
          <w:b/>
          <w:sz w:val="16"/>
          <w:szCs w:val="16"/>
        </w:rPr>
        <w:br w:type="page"/>
      </w:r>
    </w:p>
    <w:p w:rsidR="006123A1" w:rsidRPr="00104FA7" w:rsidRDefault="00DA0528" w:rsidP="00104FA7">
      <w:pPr>
        <w:jc w:val="center"/>
        <w:rPr>
          <w:b/>
        </w:rPr>
      </w:pPr>
      <w:r>
        <w:rPr>
          <w:b/>
        </w:rPr>
        <w:t>USE</w:t>
      </w:r>
      <w:r w:rsidR="00561636">
        <w:rPr>
          <w:b/>
        </w:rPr>
        <w:t xml:space="preserve"> OF INFORMATION IN THIS OFFICIAL STATEMENT</w:t>
      </w:r>
    </w:p>
    <w:p w:rsidR="00104FA7" w:rsidRDefault="00104FA7" w:rsidP="006123A1"/>
    <w:p w:rsidR="006123A1" w:rsidRDefault="006123A1" w:rsidP="00104FA7">
      <w:pPr>
        <w:pStyle w:val="BodyText1"/>
      </w:pPr>
      <w:r>
        <w:t xml:space="preserve">This Official Statement, which includes the cover page and the Appendices, does not constitute an offer to sell or the solicitation of an offer to buy any of the Series </w:t>
      </w:r>
      <w:r w:rsidR="00480C95">
        <w:t>2020R</w:t>
      </w:r>
      <w:r>
        <w:t xml:space="preserve"> Certificates in any jurisdiction in which it is unlawful to make such offer, solicitation, or sale.  No dealer, salesperson, or other person has been authorized to give any information or to make any representations other than those contained in this Official Statement in connection with the offering of the Series </w:t>
      </w:r>
      <w:r w:rsidR="00480C95">
        <w:t>2020R</w:t>
      </w:r>
      <w:r>
        <w:t xml:space="preserve"> Certificates, and if given or made, such information or representations must not be relied upon as having been authorized by the State of Colorado or the Underwriters.</w:t>
      </w:r>
    </w:p>
    <w:p w:rsidR="006123A1" w:rsidRDefault="006123A1" w:rsidP="00104FA7">
      <w:pPr>
        <w:pStyle w:val="BodyText1"/>
      </w:pPr>
      <w:r>
        <w:t>The information set forth in this Official Statement has been obtained from the State, from the sources referenced throughout this Official Statement and from other sources believed to be reliable.  No representation or warranty is made, however, as to the accuracy or completeness of information received from parties other than the State.  In accordance with, and as part of, their responsibilities to investors under federal securities laws as applied to the facts and circumstances of this transaction, the Underwriters have reviewed the information in this Official Statement but do not guarantee its accuracy or completeness.  This Official Statement contains, in part, estimates and matters of opinion which are not intended as statements of fact, and no representation or warranty is made as to the correctness of such estimates and opinions, or that they will be realized.</w:t>
      </w:r>
    </w:p>
    <w:p w:rsidR="006123A1" w:rsidRDefault="006123A1" w:rsidP="00104FA7">
      <w:pPr>
        <w:pStyle w:val="BodyText1"/>
      </w:pPr>
      <w:r>
        <w:t xml:space="preserve">The information, estimates, and expressions of opinion contained in this Official Statement are subject to change without notice, and neither the delivery of this Official Statement nor any sale of the Series </w:t>
      </w:r>
      <w:r w:rsidR="00480C95">
        <w:t>2020R</w:t>
      </w:r>
      <w:r>
        <w:t xml:space="preserve"> Certificates shall, under any circumstances, create any implication that there has been no change in the affairs of the State or in the information, estimates, or opinions set forth herein, since the date of this Official Statement.</w:t>
      </w:r>
    </w:p>
    <w:p w:rsidR="00AF20F6" w:rsidRDefault="00AF20F6" w:rsidP="00104FA7">
      <w:pPr>
        <w:pStyle w:val="BodyText1"/>
      </w:pPr>
      <w:r>
        <w:t>The Underwriters have reviewed the information in this Official Statement pursuant to their respective responsibilities to investors under the federal securities laws, but the Underwriters do not guarantee the accuracy or completeness of such information.</w:t>
      </w:r>
    </w:p>
    <w:p w:rsidR="006123A1" w:rsidRDefault="006123A1" w:rsidP="00104FA7">
      <w:pPr>
        <w:pStyle w:val="BodyText1"/>
      </w:pPr>
      <w:r>
        <w:t xml:space="preserve">The Trustee has not participated in the preparation of this Official Statement or any other disclosure documents relating to the Series </w:t>
      </w:r>
      <w:r w:rsidR="00480C95">
        <w:t>2020R</w:t>
      </w:r>
      <w:r>
        <w:t xml:space="preserve"> Certificates and does not have or assume any responsibility as to the accuracy or completeness of any information contained in this Official Statement or any other such disclosure documents.</w:t>
      </w:r>
    </w:p>
    <w:p w:rsidR="006123A1" w:rsidRDefault="006123A1" w:rsidP="00104FA7">
      <w:pPr>
        <w:pStyle w:val="BodyText1"/>
      </w:pPr>
      <w:r>
        <w:t xml:space="preserve">This Official Statement has been prepared only in connection with the original offering of the Series </w:t>
      </w:r>
      <w:r w:rsidR="00480C95">
        <w:t>2020R</w:t>
      </w:r>
      <w:r>
        <w:t xml:space="preserve"> Certificates and may not be reproduced or used in whole or in part for any other purpose.</w:t>
      </w:r>
    </w:p>
    <w:p w:rsidR="006123A1" w:rsidRDefault="006123A1" w:rsidP="00104FA7">
      <w:pPr>
        <w:pStyle w:val="BodyText1"/>
      </w:pPr>
      <w:r>
        <w:t xml:space="preserve">The Series </w:t>
      </w:r>
      <w:r w:rsidR="00480C95">
        <w:t>2020R</w:t>
      </w:r>
      <w:r>
        <w:t xml:space="preserve"> Certificates have not been registered with the Securities and Exchange Commission due to certain exemptions contained in the Securities Act of 1933, as amended.  In making an investment decision, investors must rely on their own examination of the State, the Series </w:t>
      </w:r>
      <w:r w:rsidR="00480C95">
        <w:t>2020R</w:t>
      </w:r>
      <w:r>
        <w:t xml:space="preserve"> Certificates and the terms of the offering, including the merits and risks involved.  The Series </w:t>
      </w:r>
      <w:r w:rsidR="00480C95">
        <w:t>2020R</w:t>
      </w:r>
      <w:r>
        <w:t xml:space="preserve"> Certificates have not been recommended by any federal or state securities commission or regulatory authority, and the foregoing authorities have neither reviewed nor confirmed the accuracy of this Official Statement.</w:t>
      </w:r>
    </w:p>
    <w:p w:rsidR="006123A1" w:rsidRDefault="006123A1" w:rsidP="00104FA7">
      <w:pPr>
        <w:pStyle w:val="BodyText1"/>
      </w:pPr>
      <w:r>
        <w:t xml:space="preserve">THE PRICES AT WHICH THE SERIES </w:t>
      </w:r>
      <w:r w:rsidR="00480C95">
        <w:t>2020R</w:t>
      </w:r>
      <w:r>
        <w:t xml:space="preserve"> CERTIFICATES ARE OFFERED TO THE PUBLIC BY THE UNDERWRITERS (AND THE YIELDS RESULTING THEREFROM) MAY VARY FROM THE INITIAL PUBLIC OFFERING PRICES OR YIELDS APPEARING ON THE INSIDE FRONT COVER OF THIS OFFICIAL STATEMENT.  IN ADDITION, THE UNDERWRITERS MAY ALLOW CONCESSIONS OR DISCOUNTS FROM SUCH INITIAL PUBLIC OFFERING PRICES TO DEALERS AND OTHERS.  IN ORDER TO FACILITATE DISTRIBUTION OF THE SERIES </w:t>
      </w:r>
      <w:r w:rsidR="00480C95">
        <w:t>2020R</w:t>
      </w:r>
      <w:r>
        <w:t xml:space="preserve"> CERTIFICATES, THE UNDERWRITERS MAY ENGAGE IN TRANSACTIONS INTENDED TO STABILIZE THE PRICE OF THE SERIES </w:t>
      </w:r>
      <w:r w:rsidR="00480C95">
        <w:t>2020R</w:t>
      </w:r>
      <w:r>
        <w:t xml:space="preserve"> CERTIFICATES AT A LEVEL ABOVE THAT WHICH MIGHT OTHERWISE PREVAIL IN THE OPEN MARKET.  SUCH STABILIZING, IF COMMENCED, MAY BE DISCONTINUED AT ANY TIME.</w:t>
      </w:r>
    </w:p>
    <w:tbl>
      <w:tblPr>
        <w:tblStyle w:val="TableGrid"/>
        <w:tblW w:w="7920" w:type="dxa"/>
        <w:jc w:val="center"/>
        <w:tblBorders>
          <w:left w:val="none" w:sz="0" w:space="0" w:color="auto"/>
          <w:right w:val="none" w:sz="0" w:space="0" w:color="auto"/>
        </w:tblBorders>
        <w:tblLook w:val="04A0" w:firstRow="1" w:lastRow="0" w:firstColumn="1" w:lastColumn="0" w:noHBand="0" w:noVBand="1"/>
      </w:tblPr>
      <w:tblGrid>
        <w:gridCol w:w="7920"/>
      </w:tblGrid>
      <w:tr w:rsidR="00104FA7" w:rsidRPr="0042662F" w:rsidTr="00104FA7">
        <w:trPr>
          <w:jc w:val="center"/>
        </w:trPr>
        <w:tc>
          <w:tcPr>
            <w:tcW w:w="9926" w:type="dxa"/>
          </w:tcPr>
          <w:p w:rsidR="00104FA7" w:rsidRDefault="00104FA7" w:rsidP="00104FA7">
            <w:pPr>
              <w:spacing w:before="20"/>
              <w:jc w:val="center"/>
            </w:pPr>
            <w:r>
              <w:t>Cautionary Statement Regarding Projections, Estimates and Other</w:t>
            </w:r>
          </w:p>
          <w:p w:rsidR="00104FA7" w:rsidRPr="0042662F" w:rsidRDefault="00104FA7" w:rsidP="00104FA7">
            <w:pPr>
              <w:spacing w:after="20"/>
              <w:jc w:val="center"/>
              <w:rPr>
                <w:b/>
                <w:sz w:val="16"/>
                <w:szCs w:val="16"/>
              </w:rPr>
            </w:pPr>
            <w:r>
              <w:t>Forward-Looking Statements in this Official Statement</w:t>
            </w:r>
          </w:p>
        </w:tc>
      </w:tr>
    </w:tbl>
    <w:p w:rsidR="00104FA7" w:rsidRDefault="00104FA7" w:rsidP="00104FA7"/>
    <w:p w:rsidR="006123A1" w:rsidRDefault="006123A1" w:rsidP="00104FA7">
      <w:pPr>
        <w:pStyle w:val="BodyText1"/>
      </w:pPr>
      <w:r>
        <w:t xml:space="preserve">This Official Statement, including, but not limited to, the material set forth under </w:t>
      </w:r>
      <w:r w:rsidR="00A06786">
        <w:t>“</w:t>
      </w:r>
      <w:r>
        <w:t>STATE FINANCIAL INFORMATION,</w:t>
      </w:r>
      <w:r w:rsidR="00A06786">
        <w:t>”</w:t>
      </w:r>
      <w:r>
        <w:t xml:space="preserve"> </w:t>
      </w:r>
      <w:r w:rsidR="00A06786">
        <w:t>“</w:t>
      </w:r>
      <w:r>
        <w:t>DEBT AND CERTAIN OTHER FINANCIAL OBLIGATIONS,</w:t>
      </w:r>
      <w:r w:rsidR="00A06786">
        <w:t>”</w:t>
      </w:r>
      <w:r>
        <w:t xml:space="preserve"> </w:t>
      </w:r>
      <w:r w:rsidR="00A06786">
        <w:t>“</w:t>
      </w:r>
      <w:r>
        <w:t>LITIGATION, GOVERNMENTAL IMMUNITY AND SELF INSURANCE</w:t>
      </w:r>
      <w:r w:rsidR="00A06786">
        <w:t>”</w:t>
      </w:r>
      <w:r w:rsidR="006B7783">
        <w:t xml:space="preserve"> and in </w:t>
      </w:r>
      <w:r w:rsidR="00A06786">
        <w:t>“</w:t>
      </w:r>
      <w:r>
        <w:t>APPENDIX E – THE STATE GENERAL FUND,</w:t>
      </w:r>
      <w:r w:rsidR="00A06786">
        <w:t>”</w:t>
      </w:r>
      <w:r>
        <w:t xml:space="preserve"> </w:t>
      </w:r>
      <w:r w:rsidR="00A06786">
        <w:t>“</w:t>
      </w:r>
      <w:r>
        <w:t xml:space="preserve">APPENDIX F – OSPB </w:t>
      </w:r>
      <w:r w:rsidR="00561636">
        <w:t>SEPTEMBER</w:t>
      </w:r>
      <w:r>
        <w:t xml:space="preserve"> </w:t>
      </w:r>
      <w:r w:rsidR="009B293F">
        <w:t>2020</w:t>
      </w:r>
      <w:r>
        <w:t xml:space="preserve"> REVENUE FORECAST,</w:t>
      </w:r>
      <w:r w:rsidR="00A06786">
        <w:t>”</w:t>
      </w:r>
      <w:r>
        <w:t xml:space="preserve"> </w:t>
      </w:r>
      <w:r w:rsidR="00A06786">
        <w:t>“</w:t>
      </w:r>
      <w:r>
        <w:t>APPENDIX G – PUBLIC SCHOOL CAPITAL CONSTRUCTION ASSISTANCE FUND</w:t>
      </w:r>
      <w:r w:rsidR="00A06786">
        <w:t>”</w:t>
      </w:r>
      <w:r>
        <w:t xml:space="preserve"> and </w:t>
      </w:r>
      <w:r w:rsidR="00A06786">
        <w:t>“</w:t>
      </w:r>
      <w:r>
        <w:t>APPENDIX J – STATE PENSION SYSTEM,</w:t>
      </w:r>
      <w:r w:rsidR="00A06786">
        <w:t>”</w:t>
      </w:r>
      <w:r>
        <w:t xml:space="preserve"> contains statements relating to future results that are </w:t>
      </w:r>
      <w:r w:rsidR="00A06786">
        <w:t>“</w:t>
      </w:r>
      <w:r>
        <w:t>forward-looking statements.</w:t>
      </w:r>
      <w:r w:rsidR="00A06786">
        <w:t>”</w:t>
      </w:r>
      <w:r>
        <w:t xml:space="preserve">  When used in this Official Statement, the words </w:t>
      </w:r>
      <w:r w:rsidR="00A06786">
        <w:t>“</w:t>
      </w:r>
      <w:r>
        <w:t>estimates,</w:t>
      </w:r>
      <w:r w:rsidR="00A06786">
        <w:t>”</w:t>
      </w:r>
      <w:r>
        <w:t xml:space="preserve"> </w:t>
      </w:r>
      <w:r w:rsidR="00A06786">
        <w:t>“</w:t>
      </w:r>
      <w:r>
        <w:t>intends,</w:t>
      </w:r>
      <w:r w:rsidR="00A06786">
        <w:t>”</w:t>
      </w:r>
      <w:r>
        <w:t xml:space="preserve"> </w:t>
      </w:r>
      <w:r w:rsidR="00A06786">
        <w:t>“</w:t>
      </w:r>
      <w:r>
        <w:t>expects,</w:t>
      </w:r>
      <w:r w:rsidR="00A06786">
        <w:t>”</w:t>
      </w:r>
      <w:r>
        <w:t xml:space="preserve"> </w:t>
      </w:r>
      <w:r w:rsidR="00A06786">
        <w:t>“</w:t>
      </w:r>
      <w:r>
        <w:t>believes,</w:t>
      </w:r>
      <w:r w:rsidR="00A06786">
        <w:t>”</w:t>
      </w:r>
      <w:r>
        <w:t xml:space="preserve"> </w:t>
      </w:r>
      <w:r w:rsidR="00A06786">
        <w:t>“</w:t>
      </w:r>
      <w:r>
        <w:t>anticipates,</w:t>
      </w:r>
      <w:r w:rsidR="00A06786">
        <w:t>”</w:t>
      </w:r>
      <w:r>
        <w:t xml:space="preserve"> </w:t>
      </w:r>
      <w:r w:rsidR="00A06786">
        <w:t>“</w:t>
      </w:r>
      <w:r>
        <w:t>plans,</w:t>
      </w:r>
      <w:r w:rsidR="00A06786">
        <w:t>”</w:t>
      </w:r>
      <w:r>
        <w:t xml:space="preserve"> and similar expressions identify forward-looking statements.  Any forward-looking statement is subject to risks and uncertainties that could cause actual results to differ materially from those contemplated in such forward-looking statements.  Inevitably, some assumptions used to develop the forward-looking statements will not be realized and unanticipated events and circumstances will occur.  Therefore, it can be expected that there will be differences between forward-looking statements and actual results, and those differences may be material.  The State does not plan to issue any updates or revisions to those forward-looking statements if or when its expectations change or events, conditions or circumstances on which these statements are based occur.</w:t>
      </w:r>
    </w:p>
    <w:p w:rsidR="006123A1" w:rsidRDefault="006123A1" w:rsidP="00104FA7">
      <w:pPr>
        <w:jc w:val="center"/>
      </w:pPr>
      <w:r>
        <w:t>*  *  *</w:t>
      </w:r>
    </w:p>
    <w:p w:rsidR="00104FA7" w:rsidRDefault="00104FA7" w:rsidP="006123A1"/>
    <w:p w:rsidR="00104FA7" w:rsidRPr="00104FA7" w:rsidRDefault="00104FA7" w:rsidP="00104FA7"/>
    <w:p w:rsidR="00104FA7" w:rsidRPr="00104FA7" w:rsidRDefault="00104FA7" w:rsidP="00104FA7"/>
    <w:p w:rsidR="00104FA7" w:rsidRPr="00104FA7" w:rsidRDefault="00104FA7" w:rsidP="00104FA7"/>
    <w:p w:rsidR="00104FA7" w:rsidRPr="00104FA7" w:rsidRDefault="00104FA7" w:rsidP="00104FA7"/>
    <w:p w:rsidR="00104FA7" w:rsidRPr="00104FA7" w:rsidRDefault="00104FA7" w:rsidP="00104FA7"/>
    <w:p w:rsidR="00104FA7" w:rsidRPr="00104FA7" w:rsidRDefault="00104FA7" w:rsidP="00104FA7"/>
    <w:p w:rsidR="00104FA7" w:rsidRPr="00104FA7" w:rsidRDefault="00104FA7" w:rsidP="00104FA7"/>
    <w:p w:rsidR="00104FA7" w:rsidRPr="00104FA7" w:rsidRDefault="00104FA7" w:rsidP="00104FA7"/>
    <w:p w:rsidR="00104FA7" w:rsidRDefault="00104FA7" w:rsidP="00104FA7">
      <w:pPr>
        <w:jc w:val="center"/>
      </w:pPr>
    </w:p>
    <w:p w:rsidR="00104FA7" w:rsidRDefault="00104FA7" w:rsidP="00104FA7"/>
    <w:p w:rsidR="00104FA7" w:rsidRPr="00104FA7" w:rsidRDefault="00104FA7" w:rsidP="00104FA7">
      <w:pPr>
        <w:sectPr w:rsidR="00104FA7" w:rsidRPr="00104FA7" w:rsidSect="009F07A3">
          <w:footerReference w:type="default" r:id="rId14"/>
          <w:headerReference w:type="first" r:id="rId15"/>
          <w:footerReference w:type="first" r:id="rId16"/>
          <w:footnotePr>
            <w:numFmt w:val="chicago"/>
            <w:numRestart w:val="eachPage"/>
          </w:footnotePr>
          <w:pgSz w:w="12240" w:h="15840"/>
          <w:pgMar w:top="1440" w:right="1440" w:bottom="1440" w:left="1440" w:header="720" w:footer="720" w:gutter="0"/>
          <w:cols w:space="720"/>
          <w:titlePg/>
          <w:docGrid w:linePitch="360"/>
        </w:sectPr>
      </w:pPr>
    </w:p>
    <w:p w:rsidR="006123A1" w:rsidRPr="00243289" w:rsidRDefault="006123A1" w:rsidP="00104FA7">
      <w:pPr>
        <w:jc w:val="center"/>
        <w:rPr>
          <w:b/>
        </w:rPr>
      </w:pPr>
      <w:r w:rsidRPr="00243289">
        <w:rPr>
          <w:b/>
        </w:rPr>
        <w:t>TABLE OF CONTENTS</w:t>
      </w:r>
    </w:p>
    <w:p w:rsidR="00243289" w:rsidRDefault="00243289" w:rsidP="00104FA7">
      <w:pPr>
        <w:jc w:val="center"/>
      </w:pPr>
    </w:p>
    <w:p w:rsidR="00243289" w:rsidRPr="00AB07F2" w:rsidRDefault="00243289" w:rsidP="00AB07F2">
      <w:pPr>
        <w:jc w:val="right"/>
        <w:rPr>
          <w:b/>
        </w:rPr>
      </w:pPr>
      <w:r w:rsidRPr="00243289">
        <w:rPr>
          <w:b/>
        </w:rPr>
        <w:t>Page</w:t>
      </w:r>
    </w:p>
    <w:p w:rsidR="001F00C3" w:rsidRDefault="00AB07F2">
      <w:pPr>
        <w:pStyle w:val="TOC1"/>
        <w:rPr>
          <w:rFonts w:asciiTheme="minorHAnsi" w:eastAsiaTheme="minorEastAsia" w:hAnsiTheme="minorHAnsi"/>
          <w:noProof/>
          <w:szCs w:val="22"/>
        </w:rPr>
      </w:pPr>
      <w:r>
        <w:fldChar w:fldCharType="begin"/>
      </w:r>
      <w:r>
        <w:instrText xml:space="preserve"> TOC \o "1-2" \h \z \u </w:instrText>
      </w:r>
      <w:r>
        <w:fldChar w:fldCharType="separate"/>
      </w:r>
      <w:hyperlink w:anchor="_Toc56668334" w:history="1">
        <w:r w:rsidR="001F00C3" w:rsidRPr="00143CC9">
          <w:rPr>
            <w:rStyle w:val="Hyperlink"/>
            <w:noProof/>
          </w:rPr>
          <w:t>INTRODUCTION</w:t>
        </w:r>
        <w:r w:rsidR="001F00C3">
          <w:rPr>
            <w:noProof/>
            <w:webHidden/>
          </w:rPr>
          <w:tab/>
        </w:r>
        <w:r w:rsidR="001F00C3">
          <w:rPr>
            <w:noProof/>
            <w:webHidden/>
          </w:rPr>
          <w:fldChar w:fldCharType="begin"/>
        </w:r>
        <w:r w:rsidR="001F00C3">
          <w:rPr>
            <w:noProof/>
            <w:webHidden/>
          </w:rPr>
          <w:instrText xml:space="preserve"> PAGEREF _Toc56668334 \h </w:instrText>
        </w:r>
        <w:r w:rsidR="001F00C3">
          <w:rPr>
            <w:noProof/>
            <w:webHidden/>
          </w:rPr>
        </w:r>
        <w:r w:rsidR="001F00C3">
          <w:rPr>
            <w:noProof/>
            <w:webHidden/>
          </w:rPr>
          <w:fldChar w:fldCharType="separate"/>
        </w:r>
        <w:r w:rsidR="00DA3617">
          <w:rPr>
            <w:noProof/>
            <w:webHidden/>
          </w:rPr>
          <w:t>1</w:t>
        </w:r>
        <w:r w:rsidR="001F00C3">
          <w:rPr>
            <w:noProof/>
            <w:webHidden/>
          </w:rPr>
          <w:fldChar w:fldCharType="end"/>
        </w:r>
      </w:hyperlink>
    </w:p>
    <w:p w:rsidR="001F00C3" w:rsidRDefault="0091777A">
      <w:pPr>
        <w:pStyle w:val="TOC2"/>
        <w:rPr>
          <w:rFonts w:asciiTheme="minorHAnsi" w:hAnsiTheme="minorHAnsi" w:cstheme="minorBidi"/>
          <w:szCs w:val="22"/>
        </w:rPr>
      </w:pPr>
      <w:hyperlink w:anchor="_Toc56668335" w:history="1">
        <w:r w:rsidR="001F00C3" w:rsidRPr="00143CC9">
          <w:rPr>
            <w:rStyle w:val="Hyperlink"/>
          </w:rPr>
          <w:t>COVID-19 (Coronavirus)</w:t>
        </w:r>
        <w:r w:rsidR="001F00C3">
          <w:rPr>
            <w:webHidden/>
          </w:rPr>
          <w:tab/>
        </w:r>
        <w:r w:rsidR="001F00C3">
          <w:rPr>
            <w:webHidden/>
          </w:rPr>
          <w:fldChar w:fldCharType="begin"/>
        </w:r>
        <w:r w:rsidR="001F00C3">
          <w:rPr>
            <w:webHidden/>
          </w:rPr>
          <w:instrText xml:space="preserve"> PAGEREF _Toc56668335 \h </w:instrText>
        </w:r>
        <w:r w:rsidR="001F00C3">
          <w:rPr>
            <w:webHidden/>
          </w:rPr>
        </w:r>
        <w:r w:rsidR="001F00C3">
          <w:rPr>
            <w:webHidden/>
          </w:rPr>
          <w:fldChar w:fldCharType="separate"/>
        </w:r>
        <w:r w:rsidR="00DA3617">
          <w:rPr>
            <w:webHidden/>
          </w:rPr>
          <w:t>1</w:t>
        </w:r>
        <w:r w:rsidR="001F00C3">
          <w:rPr>
            <w:webHidden/>
          </w:rPr>
          <w:fldChar w:fldCharType="end"/>
        </w:r>
      </w:hyperlink>
    </w:p>
    <w:p w:rsidR="001F00C3" w:rsidRDefault="0091777A">
      <w:pPr>
        <w:pStyle w:val="TOC2"/>
        <w:rPr>
          <w:rFonts w:asciiTheme="minorHAnsi" w:hAnsiTheme="minorHAnsi" w:cstheme="minorBidi"/>
          <w:szCs w:val="22"/>
        </w:rPr>
      </w:pPr>
      <w:hyperlink w:anchor="_Toc56668336" w:history="1">
        <w:r w:rsidR="001F00C3" w:rsidRPr="00143CC9">
          <w:rPr>
            <w:rStyle w:val="Hyperlink"/>
          </w:rPr>
          <w:t>The Indenture, the Prior Certificates and the Leases</w:t>
        </w:r>
        <w:r w:rsidR="001F00C3">
          <w:rPr>
            <w:webHidden/>
          </w:rPr>
          <w:tab/>
        </w:r>
        <w:r w:rsidR="001F00C3">
          <w:rPr>
            <w:webHidden/>
          </w:rPr>
          <w:fldChar w:fldCharType="begin"/>
        </w:r>
        <w:r w:rsidR="001F00C3">
          <w:rPr>
            <w:webHidden/>
          </w:rPr>
          <w:instrText xml:space="preserve"> PAGEREF _Toc56668336 \h </w:instrText>
        </w:r>
        <w:r w:rsidR="001F00C3">
          <w:rPr>
            <w:webHidden/>
          </w:rPr>
        </w:r>
        <w:r w:rsidR="001F00C3">
          <w:rPr>
            <w:webHidden/>
          </w:rPr>
          <w:fldChar w:fldCharType="separate"/>
        </w:r>
        <w:r w:rsidR="00DA3617">
          <w:rPr>
            <w:webHidden/>
          </w:rPr>
          <w:t>2</w:t>
        </w:r>
        <w:r w:rsidR="001F00C3">
          <w:rPr>
            <w:webHidden/>
          </w:rPr>
          <w:fldChar w:fldCharType="end"/>
        </w:r>
      </w:hyperlink>
    </w:p>
    <w:p w:rsidR="001F00C3" w:rsidRDefault="0091777A">
      <w:pPr>
        <w:pStyle w:val="TOC2"/>
        <w:rPr>
          <w:rFonts w:asciiTheme="minorHAnsi" w:hAnsiTheme="minorHAnsi" w:cstheme="minorBidi"/>
          <w:szCs w:val="22"/>
        </w:rPr>
      </w:pPr>
      <w:hyperlink w:anchor="_Toc56668337" w:history="1">
        <w:r w:rsidR="001F00C3" w:rsidRPr="00143CC9">
          <w:rPr>
            <w:rStyle w:val="Hyperlink"/>
          </w:rPr>
          <w:t>Authorization</w:t>
        </w:r>
        <w:r w:rsidR="001F00C3">
          <w:rPr>
            <w:webHidden/>
          </w:rPr>
          <w:tab/>
        </w:r>
        <w:r w:rsidR="001F00C3">
          <w:rPr>
            <w:webHidden/>
          </w:rPr>
          <w:fldChar w:fldCharType="begin"/>
        </w:r>
        <w:r w:rsidR="001F00C3">
          <w:rPr>
            <w:webHidden/>
          </w:rPr>
          <w:instrText xml:space="preserve"> PAGEREF _Toc56668337 \h </w:instrText>
        </w:r>
        <w:r w:rsidR="001F00C3">
          <w:rPr>
            <w:webHidden/>
          </w:rPr>
        </w:r>
        <w:r w:rsidR="001F00C3">
          <w:rPr>
            <w:webHidden/>
          </w:rPr>
          <w:fldChar w:fldCharType="separate"/>
        </w:r>
        <w:r w:rsidR="00DA3617">
          <w:rPr>
            <w:webHidden/>
          </w:rPr>
          <w:t>5</w:t>
        </w:r>
        <w:r w:rsidR="001F00C3">
          <w:rPr>
            <w:webHidden/>
          </w:rPr>
          <w:fldChar w:fldCharType="end"/>
        </w:r>
      </w:hyperlink>
    </w:p>
    <w:p w:rsidR="001F00C3" w:rsidRDefault="0091777A">
      <w:pPr>
        <w:pStyle w:val="TOC2"/>
        <w:rPr>
          <w:rFonts w:asciiTheme="minorHAnsi" w:hAnsiTheme="minorHAnsi" w:cstheme="minorBidi"/>
          <w:szCs w:val="22"/>
        </w:rPr>
      </w:pPr>
      <w:hyperlink w:anchor="_Toc56668338" w:history="1">
        <w:r w:rsidR="001F00C3" w:rsidRPr="00143CC9">
          <w:rPr>
            <w:rStyle w:val="Hyperlink"/>
          </w:rPr>
          <w:t>Purposes of the Series 2020R Certificates</w:t>
        </w:r>
        <w:r w:rsidR="001F00C3">
          <w:rPr>
            <w:webHidden/>
          </w:rPr>
          <w:tab/>
        </w:r>
        <w:r w:rsidR="001F00C3">
          <w:rPr>
            <w:webHidden/>
          </w:rPr>
          <w:fldChar w:fldCharType="begin"/>
        </w:r>
        <w:r w:rsidR="001F00C3">
          <w:rPr>
            <w:webHidden/>
          </w:rPr>
          <w:instrText xml:space="preserve"> PAGEREF _Toc56668338 \h </w:instrText>
        </w:r>
        <w:r w:rsidR="001F00C3">
          <w:rPr>
            <w:webHidden/>
          </w:rPr>
        </w:r>
        <w:r w:rsidR="001F00C3">
          <w:rPr>
            <w:webHidden/>
          </w:rPr>
          <w:fldChar w:fldCharType="separate"/>
        </w:r>
        <w:r w:rsidR="00DA3617">
          <w:rPr>
            <w:webHidden/>
          </w:rPr>
          <w:t>6</w:t>
        </w:r>
        <w:r w:rsidR="001F00C3">
          <w:rPr>
            <w:webHidden/>
          </w:rPr>
          <w:fldChar w:fldCharType="end"/>
        </w:r>
      </w:hyperlink>
    </w:p>
    <w:p w:rsidR="001F00C3" w:rsidRDefault="0091777A">
      <w:pPr>
        <w:pStyle w:val="TOC2"/>
        <w:rPr>
          <w:rFonts w:asciiTheme="minorHAnsi" w:hAnsiTheme="minorHAnsi" w:cstheme="minorBidi"/>
          <w:szCs w:val="22"/>
        </w:rPr>
      </w:pPr>
      <w:hyperlink w:anchor="_Toc56668339" w:history="1">
        <w:r w:rsidR="001F00C3" w:rsidRPr="00143CC9">
          <w:rPr>
            <w:rStyle w:val="Hyperlink"/>
          </w:rPr>
          <w:t>Series 2020R Participating K-12 Institutions</w:t>
        </w:r>
        <w:r w:rsidR="001F00C3">
          <w:rPr>
            <w:webHidden/>
          </w:rPr>
          <w:tab/>
        </w:r>
        <w:r w:rsidR="001F00C3">
          <w:rPr>
            <w:webHidden/>
          </w:rPr>
          <w:fldChar w:fldCharType="begin"/>
        </w:r>
        <w:r w:rsidR="001F00C3">
          <w:rPr>
            <w:webHidden/>
          </w:rPr>
          <w:instrText xml:space="preserve"> PAGEREF _Toc56668339 \h </w:instrText>
        </w:r>
        <w:r w:rsidR="001F00C3">
          <w:rPr>
            <w:webHidden/>
          </w:rPr>
        </w:r>
        <w:r w:rsidR="001F00C3">
          <w:rPr>
            <w:webHidden/>
          </w:rPr>
          <w:fldChar w:fldCharType="separate"/>
        </w:r>
        <w:r w:rsidR="00DA3617">
          <w:rPr>
            <w:webHidden/>
          </w:rPr>
          <w:t>7</w:t>
        </w:r>
        <w:r w:rsidR="001F00C3">
          <w:rPr>
            <w:webHidden/>
          </w:rPr>
          <w:fldChar w:fldCharType="end"/>
        </w:r>
      </w:hyperlink>
    </w:p>
    <w:p w:rsidR="001F00C3" w:rsidRDefault="0091777A">
      <w:pPr>
        <w:pStyle w:val="TOC2"/>
        <w:rPr>
          <w:rFonts w:asciiTheme="minorHAnsi" w:hAnsiTheme="minorHAnsi" w:cstheme="minorBidi"/>
          <w:szCs w:val="22"/>
        </w:rPr>
      </w:pPr>
      <w:hyperlink w:anchor="_Toc56668340" w:history="1">
        <w:r w:rsidR="001F00C3" w:rsidRPr="00143CC9">
          <w:rPr>
            <w:rStyle w:val="Hyperlink"/>
          </w:rPr>
          <w:t>Series 2020R Projects</w:t>
        </w:r>
        <w:r w:rsidR="001F00C3">
          <w:rPr>
            <w:webHidden/>
          </w:rPr>
          <w:tab/>
        </w:r>
        <w:r w:rsidR="001F00C3">
          <w:rPr>
            <w:webHidden/>
          </w:rPr>
          <w:fldChar w:fldCharType="begin"/>
        </w:r>
        <w:r w:rsidR="001F00C3">
          <w:rPr>
            <w:webHidden/>
          </w:rPr>
          <w:instrText xml:space="preserve"> PAGEREF _Toc56668340 \h </w:instrText>
        </w:r>
        <w:r w:rsidR="001F00C3">
          <w:rPr>
            <w:webHidden/>
          </w:rPr>
        </w:r>
        <w:r w:rsidR="001F00C3">
          <w:rPr>
            <w:webHidden/>
          </w:rPr>
          <w:fldChar w:fldCharType="separate"/>
        </w:r>
        <w:r w:rsidR="00DA3617">
          <w:rPr>
            <w:webHidden/>
          </w:rPr>
          <w:t>7</w:t>
        </w:r>
        <w:r w:rsidR="001F00C3">
          <w:rPr>
            <w:webHidden/>
          </w:rPr>
          <w:fldChar w:fldCharType="end"/>
        </w:r>
      </w:hyperlink>
    </w:p>
    <w:p w:rsidR="001F00C3" w:rsidRDefault="0091777A">
      <w:pPr>
        <w:pStyle w:val="TOC2"/>
        <w:rPr>
          <w:rFonts w:asciiTheme="minorHAnsi" w:hAnsiTheme="minorHAnsi" w:cstheme="minorBidi"/>
          <w:szCs w:val="22"/>
        </w:rPr>
      </w:pPr>
      <w:hyperlink w:anchor="_Toc56668341" w:history="1">
        <w:r w:rsidR="001F00C3" w:rsidRPr="00143CC9">
          <w:rPr>
            <w:rStyle w:val="Hyperlink"/>
          </w:rPr>
          <w:t>Terms of the Series 2020R Certificates</w:t>
        </w:r>
        <w:r w:rsidR="001F00C3">
          <w:rPr>
            <w:webHidden/>
          </w:rPr>
          <w:tab/>
        </w:r>
        <w:r w:rsidR="001F00C3">
          <w:rPr>
            <w:webHidden/>
          </w:rPr>
          <w:fldChar w:fldCharType="begin"/>
        </w:r>
        <w:r w:rsidR="001F00C3">
          <w:rPr>
            <w:webHidden/>
          </w:rPr>
          <w:instrText xml:space="preserve"> PAGEREF _Toc56668341 \h </w:instrText>
        </w:r>
        <w:r w:rsidR="001F00C3">
          <w:rPr>
            <w:webHidden/>
          </w:rPr>
        </w:r>
        <w:r w:rsidR="001F00C3">
          <w:rPr>
            <w:webHidden/>
          </w:rPr>
          <w:fldChar w:fldCharType="separate"/>
        </w:r>
        <w:r w:rsidR="00DA3617">
          <w:rPr>
            <w:webHidden/>
          </w:rPr>
          <w:t>7</w:t>
        </w:r>
        <w:r w:rsidR="001F00C3">
          <w:rPr>
            <w:webHidden/>
          </w:rPr>
          <w:fldChar w:fldCharType="end"/>
        </w:r>
      </w:hyperlink>
    </w:p>
    <w:p w:rsidR="001F00C3" w:rsidRDefault="0091777A">
      <w:pPr>
        <w:pStyle w:val="TOC2"/>
        <w:rPr>
          <w:rFonts w:asciiTheme="minorHAnsi" w:hAnsiTheme="minorHAnsi" w:cstheme="minorBidi"/>
          <w:szCs w:val="22"/>
        </w:rPr>
      </w:pPr>
      <w:hyperlink w:anchor="_Toc56668342" w:history="1">
        <w:r w:rsidR="001F00C3" w:rsidRPr="00143CC9">
          <w:rPr>
            <w:rStyle w:val="Hyperlink"/>
          </w:rPr>
          <w:t>Security and Sources of Payment</w:t>
        </w:r>
        <w:r w:rsidR="001F00C3">
          <w:rPr>
            <w:webHidden/>
          </w:rPr>
          <w:tab/>
        </w:r>
        <w:r w:rsidR="001F00C3">
          <w:rPr>
            <w:webHidden/>
          </w:rPr>
          <w:fldChar w:fldCharType="begin"/>
        </w:r>
        <w:r w:rsidR="001F00C3">
          <w:rPr>
            <w:webHidden/>
          </w:rPr>
          <w:instrText xml:space="preserve"> PAGEREF _Toc56668342 \h </w:instrText>
        </w:r>
        <w:r w:rsidR="001F00C3">
          <w:rPr>
            <w:webHidden/>
          </w:rPr>
        </w:r>
        <w:r w:rsidR="001F00C3">
          <w:rPr>
            <w:webHidden/>
          </w:rPr>
          <w:fldChar w:fldCharType="separate"/>
        </w:r>
        <w:r w:rsidR="00DA3617">
          <w:rPr>
            <w:webHidden/>
          </w:rPr>
          <w:t>8</w:t>
        </w:r>
        <w:r w:rsidR="001F00C3">
          <w:rPr>
            <w:webHidden/>
          </w:rPr>
          <w:fldChar w:fldCharType="end"/>
        </w:r>
      </w:hyperlink>
    </w:p>
    <w:p w:rsidR="001F00C3" w:rsidRDefault="0091777A">
      <w:pPr>
        <w:pStyle w:val="TOC2"/>
        <w:rPr>
          <w:rFonts w:asciiTheme="minorHAnsi" w:hAnsiTheme="minorHAnsi" w:cstheme="minorBidi"/>
          <w:szCs w:val="22"/>
        </w:rPr>
      </w:pPr>
      <w:hyperlink w:anchor="_Toc56668343" w:history="1">
        <w:r w:rsidR="001F00C3" w:rsidRPr="00143CC9">
          <w:rPr>
            <w:rStyle w:val="Hyperlink"/>
          </w:rPr>
          <w:t>Additional Certificates</w:t>
        </w:r>
        <w:r w:rsidR="001F00C3">
          <w:rPr>
            <w:webHidden/>
          </w:rPr>
          <w:tab/>
        </w:r>
        <w:r w:rsidR="001F00C3">
          <w:rPr>
            <w:webHidden/>
          </w:rPr>
          <w:fldChar w:fldCharType="begin"/>
        </w:r>
        <w:r w:rsidR="001F00C3">
          <w:rPr>
            <w:webHidden/>
          </w:rPr>
          <w:instrText xml:space="preserve"> PAGEREF _Toc56668343 \h </w:instrText>
        </w:r>
        <w:r w:rsidR="001F00C3">
          <w:rPr>
            <w:webHidden/>
          </w:rPr>
        </w:r>
        <w:r w:rsidR="001F00C3">
          <w:rPr>
            <w:webHidden/>
          </w:rPr>
          <w:fldChar w:fldCharType="separate"/>
        </w:r>
        <w:r w:rsidR="00DA3617">
          <w:rPr>
            <w:webHidden/>
          </w:rPr>
          <w:t>9</w:t>
        </w:r>
        <w:r w:rsidR="001F00C3">
          <w:rPr>
            <w:webHidden/>
          </w:rPr>
          <w:fldChar w:fldCharType="end"/>
        </w:r>
      </w:hyperlink>
    </w:p>
    <w:p w:rsidR="001F00C3" w:rsidRDefault="0091777A">
      <w:pPr>
        <w:pStyle w:val="TOC2"/>
        <w:rPr>
          <w:rFonts w:asciiTheme="minorHAnsi" w:hAnsiTheme="minorHAnsi" w:cstheme="minorBidi"/>
          <w:szCs w:val="22"/>
        </w:rPr>
      </w:pPr>
      <w:hyperlink w:anchor="_Toc56668344" w:history="1">
        <w:r w:rsidR="001F00C3" w:rsidRPr="00143CC9">
          <w:rPr>
            <w:rStyle w:val="Hyperlink"/>
          </w:rPr>
          <w:t>Certain Risks to Owners of the Series 2020R Certificates</w:t>
        </w:r>
        <w:r w:rsidR="001F00C3">
          <w:rPr>
            <w:webHidden/>
          </w:rPr>
          <w:tab/>
        </w:r>
        <w:r w:rsidR="001F00C3">
          <w:rPr>
            <w:webHidden/>
          </w:rPr>
          <w:fldChar w:fldCharType="begin"/>
        </w:r>
        <w:r w:rsidR="001F00C3">
          <w:rPr>
            <w:webHidden/>
          </w:rPr>
          <w:instrText xml:space="preserve"> PAGEREF _Toc56668344 \h </w:instrText>
        </w:r>
        <w:r w:rsidR="001F00C3">
          <w:rPr>
            <w:webHidden/>
          </w:rPr>
        </w:r>
        <w:r w:rsidR="001F00C3">
          <w:rPr>
            <w:webHidden/>
          </w:rPr>
          <w:fldChar w:fldCharType="separate"/>
        </w:r>
        <w:r w:rsidR="00DA3617">
          <w:rPr>
            <w:webHidden/>
          </w:rPr>
          <w:t>10</w:t>
        </w:r>
        <w:r w:rsidR="001F00C3">
          <w:rPr>
            <w:webHidden/>
          </w:rPr>
          <w:fldChar w:fldCharType="end"/>
        </w:r>
      </w:hyperlink>
    </w:p>
    <w:p w:rsidR="001F00C3" w:rsidRDefault="0091777A">
      <w:pPr>
        <w:pStyle w:val="TOC2"/>
        <w:rPr>
          <w:rFonts w:asciiTheme="minorHAnsi" w:hAnsiTheme="minorHAnsi" w:cstheme="minorBidi"/>
          <w:szCs w:val="22"/>
        </w:rPr>
      </w:pPr>
      <w:hyperlink w:anchor="_Toc56668345" w:history="1">
        <w:r w:rsidR="001F00C3" w:rsidRPr="00143CC9">
          <w:rPr>
            <w:rStyle w:val="Hyperlink"/>
          </w:rPr>
          <w:t>Legal Matters</w:t>
        </w:r>
        <w:r w:rsidR="001F00C3">
          <w:rPr>
            <w:webHidden/>
          </w:rPr>
          <w:tab/>
        </w:r>
        <w:r w:rsidR="001F00C3">
          <w:rPr>
            <w:webHidden/>
          </w:rPr>
          <w:fldChar w:fldCharType="begin"/>
        </w:r>
        <w:r w:rsidR="001F00C3">
          <w:rPr>
            <w:webHidden/>
          </w:rPr>
          <w:instrText xml:space="preserve"> PAGEREF _Toc56668345 \h </w:instrText>
        </w:r>
        <w:r w:rsidR="001F00C3">
          <w:rPr>
            <w:webHidden/>
          </w:rPr>
        </w:r>
        <w:r w:rsidR="001F00C3">
          <w:rPr>
            <w:webHidden/>
          </w:rPr>
          <w:fldChar w:fldCharType="separate"/>
        </w:r>
        <w:r w:rsidR="00DA3617">
          <w:rPr>
            <w:webHidden/>
          </w:rPr>
          <w:t>10</w:t>
        </w:r>
        <w:r w:rsidR="001F00C3">
          <w:rPr>
            <w:webHidden/>
          </w:rPr>
          <w:fldChar w:fldCharType="end"/>
        </w:r>
      </w:hyperlink>
    </w:p>
    <w:p w:rsidR="001F00C3" w:rsidRDefault="0091777A">
      <w:pPr>
        <w:pStyle w:val="TOC2"/>
        <w:rPr>
          <w:rFonts w:asciiTheme="minorHAnsi" w:hAnsiTheme="minorHAnsi" w:cstheme="minorBidi"/>
          <w:szCs w:val="22"/>
        </w:rPr>
      </w:pPr>
      <w:hyperlink w:anchor="_Toc56668346" w:history="1">
        <w:r w:rsidR="001F00C3" w:rsidRPr="00143CC9">
          <w:rPr>
            <w:rStyle w:val="Hyperlink"/>
          </w:rPr>
          <w:t>Tax Matters</w:t>
        </w:r>
        <w:r w:rsidR="001F00C3">
          <w:rPr>
            <w:webHidden/>
          </w:rPr>
          <w:tab/>
        </w:r>
        <w:r w:rsidR="001F00C3">
          <w:rPr>
            <w:webHidden/>
          </w:rPr>
          <w:fldChar w:fldCharType="begin"/>
        </w:r>
        <w:r w:rsidR="001F00C3">
          <w:rPr>
            <w:webHidden/>
          </w:rPr>
          <w:instrText xml:space="preserve"> PAGEREF _Toc56668346 \h </w:instrText>
        </w:r>
        <w:r w:rsidR="001F00C3">
          <w:rPr>
            <w:webHidden/>
          </w:rPr>
        </w:r>
        <w:r w:rsidR="001F00C3">
          <w:rPr>
            <w:webHidden/>
          </w:rPr>
          <w:fldChar w:fldCharType="separate"/>
        </w:r>
        <w:r w:rsidR="00DA3617">
          <w:rPr>
            <w:webHidden/>
          </w:rPr>
          <w:t>10</w:t>
        </w:r>
        <w:r w:rsidR="001F00C3">
          <w:rPr>
            <w:webHidden/>
          </w:rPr>
          <w:fldChar w:fldCharType="end"/>
        </w:r>
      </w:hyperlink>
    </w:p>
    <w:p w:rsidR="001F00C3" w:rsidRDefault="0091777A">
      <w:pPr>
        <w:pStyle w:val="TOC2"/>
        <w:rPr>
          <w:rFonts w:asciiTheme="minorHAnsi" w:hAnsiTheme="minorHAnsi" w:cstheme="minorBidi"/>
          <w:szCs w:val="22"/>
        </w:rPr>
      </w:pPr>
      <w:hyperlink w:anchor="_Toc56668347" w:history="1">
        <w:r w:rsidR="001F00C3" w:rsidRPr="00143CC9">
          <w:rPr>
            <w:rStyle w:val="Hyperlink"/>
          </w:rPr>
          <w:t>Availability of Continuing Information</w:t>
        </w:r>
        <w:r w:rsidR="001F00C3">
          <w:rPr>
            <w:webHidden/>
          </w:rPr>
          <w:tab/>
        </w:r>
        <w:r w:rsidR="001F00C3">
          <w:rPr>
            <w:webHidden/>
          </w:rPr>
          <w:fldChar w:fldCharType="begin"/>
        </w:r>
        <w:r w:rsidR="001F00C3">
          <w:rPr>
            <w:webHidden/>
          </w:rPr>
          <w:instrText xml:space="preserve"> PAGEREF _Toc56668347 \h </w:instrText>
        </w:r>
        <w:r w:rsidR="001F00C3">
          <w:rPr>
            <w:webHidden/>
          </w:rPr>
        </w:r>
        <w:r w:rsidR="001F00C3">
          <w:rPr>
            <w:webHidden/>
          </w:rPr>
          <w:fldChar w:fldCharType="separate"/>
        </w:r>
        <w:r w:rsidR="00DA3617">
          <w:rPr>
            <w:webHidden/>
          </w:rPr>
          <w:t>10</w:t>
        </w:r>
        <w:r w:rsidR="001F00C3">
          <w:rPr>
            <w:webHidden/>
          </w:rPr>
          <w:fldChar w:fldCharType="end"/>
        </w:r>
      </w:hyperlink>
    </w:p>
    <w:p w:rsidR="001F00C3" w:rsidRDefault="0091777A">
      <w:pPr>
        <w:pStyle w:val="TOC2"/>
        <w:rPr>
          <w:rFonts w:asciiTheme="minorHAnsi" w:hAnsiTheme="minorHAnsi" w:cstheme="minorBidi"/>
          <w:szCs w:val="22"/>
        </w:rPr>
      </w:pPr>
      <w:hyperlink w:anchor="_Toc56668348" w:history="1">
        <w:r w:rsidR="001F00C3" w:rsidRPr="00143CC9">
          <w:rPr>
            <w:rStyle w:val="Hyperlink"/>
          </w:rPr>
          <w:t>State Economic and Demographic Information</w:t>
        </w:r>
        <w:r w:rsidR="001F00C3">
          <w:rPr>
            <w:webHidden/>
          </w:rPr>
          <w:tab/>
        </w:r>
        <w:r w:rsidR="001F00C3">
          <w:rPr>
            <w:webHidden/>
          </w:rPr>
          <w:fldChar w:fldCharType="begin"/>
        </w:r>
        <w:r w:rsidR="001F00C3">
          <w:rPr>
            <w:webHidden/>
          </w:rPr>
          <w:instrText xml:space="preserve"> PAGEREF _Toc56668348 \h </w:instrText>
        </w:r>
        <w:r w:rsidR="001F00C3">
          <w:rPr>
            <w:webHidden/>
          </w:rPr>
        </w:r>
        <w:r w:rsidR="001F00C3">
          <w:rPr>
            <w:webHidden/>
          </w:rPr>
          <w:fldChar w:fldCharType="separate"/>
        </w:r>
        <w:r w:rsidR="00DA3617">
          <w:rPr>
            <w:webHidden/>
          </w:rPr>
          <w:t>10</w:t>
        </w:r>
        <w:r w:rsidR="001F00C3">
          <w:rPr>
            <w:webHidden/>
          </w:rPr>
          <w:fldChar w:fldCharType="end"/>
        </w:r>
      </w:hyperlink>
    </w:p>
    <w:p w:rsidR="001F00C3" w:rsidRDefault="0091777A">
      <w:pPr>
        <w:pStyle w:val="TOC2"/>
        <w:rPr>
          <w:rFonts w:asciiTheme="minorHAnsi" w:hAnsiTheme="minorHAnsi" w:cstheme="minorBidi"/>
          <w:szCs w:val="22"/>
        </w:rPr>
      </w:pPr>
      <w:hyperlink w:anchor="_Toc56668349" w:history="1">
        <w:r w:rsidR="001F00C3" w:rsidRPr="00143CC9">
          <w:rPr>
            <w:rStyle w:val="Hyperlink"/>
          </w:rPr>
          <w:t>Other Information</w:t>
        </w:r>
        <w:r w:rsidR="001F00C3">
          <w:rPr>
            <w:webHidden/>
          </w:rPr>
          <w:tab/>
        </w:r>
        <w:r w:rsidR="001F00C3">
          <w:rPr>
            <w:webHidden/>
          </w:rPr>
          <w:fldChar w:fldCharType="begin"/>
        </w:r>
        <w:r w:rsidR="001F00C3">
          <w:rPr>
            <w:webHidden/>
          </w:rPr>
          <w:instrText xml:space="preserve"> PAGEREF _Toc56668349 \h </w:instrText>
        </w:r>
        <w:r w:rsidR="001F00C3">
          <w:rPr>
            <w:webHidden/>
          </w:rPr>
        </w:r>
        <w:r w:rsidR="001F00C3">
          <w:rPr>
            <w:webHidden/>
          </w:rPr>
          <w:fldChar w:fldCharType="separate"/>
        </w:r>
        <w:r w:rsidR="00DA3617">
          <w:rPr>
            <w:webHidden/>
          </w:rPr>
          <w:t>11</w:t>
        </w:r>
        <w:r w:rsidR="001F00C3">
          <w:rPr>
            <w:webHidden/>
          </w:rPr>
          <w:fldChar w:fldCharType="end"/>
        </w:r>
      </w:hyperlink>
    </w:p>
    <w:p w:rsidR="001F00C3" w:rsidRDefault="0091777A">
      <w:pPr>
        <w:pStyle w:val="TOC1"/>
        <w:rPr>
          <w:rFonts w:asciiTheme="minorHAnsi" w:eastAsiaTheme="minorEastAsia" w:hAnsiTheme="minorHAnsi"/>
          <w:noProof/>
          <w:szCs w:val="22"/>
        </w:rPr>
      </w:pPr>
      <w:hyperlink w:anchor="_Toc56668350" w:history="1">
        <w:r w:rsidR="001F00C3" w:rsidRPr="00143CC9">
          <w:rPr>
            <w:rStyle w:val="Hyperlink"/>
            <w:noProof/>
          </w:rPr>
          <w:t>PLAN OF FINANCING</w:t>
        </w:r>
        <w:r w:rsidR="001F00C3">
          <w:rPr>
            <w:noProof/>
            <w:webHidden/>
          </w:rPr>
          <w:tab/>
        </w:r>
        <w:r w:rsidR="001F00C3">
          <w:rPr>
            <w:noProof/>
            <w:webHidden/>
          </w:rPr>
          <w:fldChar w:fldCharType="begin"/>
        </w:r>
        <w:r w:rsidR="001F00C3">
          <w:rPr>
            <w:noProof/>
            <w:webHidden/>
          </w:rPr>
          <w:instrText xml:space="preserve"> PAGEREF _Toc56668350 \h </w:instrText>
        </w:r>
        <w:r w:rsidR="001F00C3">
          <w:rPr>
            <w:noProof/>
            <w:webHidden/>
          </w:rPr>
        </w:r>
        <w:r w:rsidR="001F00C3">
          <w:rPr>
            <w:noProof/>
            <w:webHidden/>
          </w:rPr>
          <w:fldChar w:fldCharType="separate"/>
        </w:r>
        <w:r w:rsidR="00DA3617">
          <w:rPr>
            <w:noProof/>
            <w:webHidden/>
          </w:rPr>
          <w:t>11</w:t>
        </w:r>
        <w:r w:rsidR="001F00C3">
          <w:rPr>
            <w:noProof/>
            <w:webHidden/>
          </w:rPr>
          <w:fldChar w:fldCharType="end"/>
        </w:r>
      </w:hyperlink>
    </w:p>
    <w:p w:rsidR="001F00C3" w:rsidRDefault="0091777A">
      <w:pPr>
        <w:pStyle w:val="TOC2"/>
        <w:rPr>
          <w:rFonts w:asciiTheme="minorHAnsi" w:hAnsiTheme="minorHAnsi" w:cstheme="minorBidi"/>
          <w:szCs w:val="22"/>
        </w:rPr>
      </w:pPr>
      <w:hyperlink w:anchor="_Toc56668351" w:history="1">
        <w:r w:rsidR="001F00C3" w:rsidRPr="00143CC9">
          <w:rPr>
            <w:rStyle w:val="Hyperlink"/>
          </w:rPr>
          <w:t>The Program</w:t>
        </w:r>
        <w:r w:rsidR="001F00C3">
          <w:rPr>
            <w:webHidden/>
          </w:rPr>
          <w:tab/>
        </w:r>
        <w:r w:rsidR="001F00C3">
          <w:rPr>
            <w:webHidden/>
          </w:rPr>
          <w:fldChar w:fldCharType="begin"/>
        </w:r>
        <w:r w:rsidR="001F00C3">
          <w:rPr>
            <w:webHidden/>
          </w:rPr>
          <w:instrText xml:space="preserve"> PAGEREF _Toc56668351 \h </w:instrText>
        </w:r>
        <w:r w:rsidR="001F00C3">
          <w:rPr>
            <w:webHidden/>
          </w:rPr>
        </w:r>
        <w:r w:rsidR="001F00C3">
          <w:rPr>
            <w:webHidden/>
          </w:rPr>
          <w:fldChar w:fldCharType="separate"/>
        </w:r>
        <w:r w:rsidR="00DA3617">
          <w:rPr>
            <w:webHidden/>
          </w:rPr>
          <w:t>11</w:t>
        </w:r>
        <w:r w:rsidR="001F00C3">
          <w:rPr>
            <w:webHidden/>
          </w:rPr>
          <w:fldChar w:fldCharType="end"/>
        </w:r>
      </w:hyperlink>
    </w:p>
    <w:p w:rsidR="001F00C3" w:rsidRDefault="0091777A">
      <w:pPr>
        <w:pStyle w:val="TOC2"/>
        <w:rPr>
          <w:rFonts w:asciiTheme="minorHAnsi" w:hAnsiTheme="minorHAnsi" w:cstheme="minorBidi"/>
          <w:szCs w:val="22"/>
        </w:rPr>
      </w:pPr>
      <w:hyperlink w:anchor="_Toc56668352" w:history="1">
        <w:r w:rsidR="001F00C3" w:rsidRPr="00143CC9">
          <w:rPr>
            <w:rStyle w:val="Hyperlink"/>
          </w:rPr>
          <w:t>Sources and Uses of Funds</w:t>
        </w:r>
        <w:r w:rsidR="001F00C3">
          <w:rPr>
            <w:webHidden/>
          </w:rPr>
          <w:tab/>
        </w:r>
        <w:r w:rsidR="001F00C3">
          <w:rPr>
            <w:webHidden/>
          </w:rPr>
          <w:fldChar w:fldCharType="begin"/>
        </w:r>
        <w:r w:rsidR="001F00C3">
          <w:rPr>
            <w:webHidden/>
          </w:rPr>
          <w:instrText xml:space="preserve"> PAGEREF _Toc56668352 \h </w:instrText>
        </w:r>
        <w:r w:rsidR="001F00C3">
          <w:rPr>
            <w:webHidden/>
          </w:rPr>
        </w:r>
        <w:r w:rsidR="001F00C3">
          <w:rPr>
            <w:webHidden/>
          </w:rPr>
          <w:fldChar w:fldCharType="separate"/>
        </w:r>
        <w:r w:rsidR="00DA3617">
          <w:rPr>
            <w:webHidden/>
          </w:rPr>
          <w:t>13</w:t>
        </w:r>
        <w:r w:rsidR="001F00C3">
          <w:rPr>
            <w:webHidden/>
          </w:rPr>
          <w:fldChar w:fldCharType="end"/>
        </w:r>
      </w:hyperlink>
    </w:p>
    <w:p w:rsidR="001F00C3" w:rsidRDefault="0091777A">
      <w:pPr>
        <w:pStyle w:val="TOC2"/>
        <w:rPr>
          <w:rFonts w:asciiTheme="minorHAnsi" w:hAnsiTheme="minorHAnsi" w:cstheme="minorBidi"/>
          <w:szCs w:val="22"/>
        </w:rPr>
      </w:pPr>
      <w:hyperlink w:anchor="_Toc56668353" w:history="1">
        <w:r w:rsidR="001F00C3" w:rsidRPr="00143CC9">
          <w:rPr>
            <w:rStyle w:val="Hyperlink"/>
          </w:rPr>
          <w:t>The Series 2020R Projects and Series 2020R Participating K-12 Institutions</w:t>
        </w:r>
        <w:r w:rsidR="001F00C3">
          <w:rPr>
            <w:webHidden/>
          </w:rPr>
          <w:tab/>
        </w:r>
        <w:r w:rsidR="001F00C3">
          <w:rPr>
            <w:webHidden/>
          </w:rPr>
          <w:fldChar w:fldCharType="begin"/>
        </w:r>
        <w:r w:rsidR="001F00C3">
          <w:rPr>
            <w:webHidden/>
          </w:rPr>
          <w:instrText xml:space="preserve"> PAGEREF _Toc56668353 \h </w:instrText>
        </w:r>
        <w:r w:rsidR="001F00C3">
          <w:rPr>
            <w:webHidden/>
          </w:rPr>
        </w:r>
        <w:r w:rsidR="001F00C3">
          <w:rPr>
            <w:webHidden/>
          </w:rPr>
          <w:fldChar w:fldCharType="separate"/>
        </w:r>
        <w:r w:rsidR="00DA3617">
          <w:rPr>
            <w:webHidden/>
          </w:rPr>
          <w:t>14</w:t>
        </w:r>
        <w:r w:rsidR="001F00C3">
          <w:rPr>
            <w:webHidden/>
          </w:rPr>
          <w:fldChar w:fldCharType="end"/>
        </w:r>
      </w:hyperlink>
    </w:p>
    <w:p w:rsidR="001F00C3" w:rsidRDefault="0091777A">
      <w:pPr>
        <w:pStyle w:val="TOC1"/>
        <w:rPr>
          <w:rFonts w:asciiTheme="minorHAnsi" w:eastAsiaTheme="minorEastAsia" w:hAnsiTheme="minorHAnsi"/>
          <w:noProof/>
          <w:szCs w:val="22"/>
        </w:rPr>
      </w:pPr>
      <w:hyperlink w:anchor="_Toc56668354" w:history="1">
        <w:r w:rsidR="001F00C3" w:rsidRPr="00143CC9">
          <w:rPr>
            <w:rStyle w:val="Hyperlink"/>
            <w:noProof/>
          </w:rPr>
          <w:t>THE SERIES 2020R CERTIFICATES</w:t>
        </w:r>
        <w:r w:rsidR="001F00C3">
          <w:rPr>
            <w:noProof/>
            <w:webHidden/>
          </w:rPr>
          <w:tab/>
        </w:r>
        <w:r w:rsidR="001F00C3">
          <w:rPr>
            <w:noProof/>
            <w:webHidden/>
          </w:rPr>
          <w:fldChar w:fldCharType="begin"/>
        </w:r>
        <w:r w:rsidR="001F00C3">
          <w:rPr>
            <w:noProof/>
            <w:webHidden/>
          </w:rPr>
          <w:instrText xml:space="preserve"> PAGEREF _Toc56668354 \h </w:instrText>
        </w:r>
        <w:r w:rsidR="001F00C3">
          <w:rPr>
            <w:noProof/>
            <w:webHidden/>
          </w:rPr>
        </w:r>
        <w:r w:rsidR="001F00C3">
          <w:rPr>
            <w:noProof/>
            <w:webHidden/>
          </w:rPr>
          <w:fldChar w:fldCharType="separate"/>
        </w:r>
        <w:r w:rsidR="00DA3617">
          <w:rPr>
            <w:noProof/>
            <w:webHidden/>
          </w:rPr>
          <w:t>14</w:t>
        </w:r>
        <w:r w:rsidR="001F00C3">
          <w:rPr>
            <w:noProof/>
            <w:webHidden/>
          </w:rPr>
          <w:fldChar w:fldCharType="end"/>
        </w:r>
      </w:hyperlink>
    </w:p>
    <w:p w:rsidR="001F00C3" w:rsidRDefault="0091777A">
      <w:pPr>
        <w:pStyle w:val="TOC2"/>
        <w:rPr>
          <w:rFonts w:asciiTheme="minorHAnsi" w:hAnsiTheme="minorHAnsi" w:cstheme="minorBidi"/>
          <w:szCs w:val="22"/>
        </w:rPr>
      </w:pPr>
      <w:hyperlink w:anchor="_Toc56668355" w:history="1">
        <w:r w:rsidR="001F00C3" w:rsidRPr="00143CC9">
          <w:rPr>
            <w:rStyle w:val="Hyperlink"/>
          </w:rPr>
          <w:t>Generally</w:t>
        </w:r>
        <w:r w:rsidR="001F00C3">
          <w:rPr>
            <w:webHidden/>
          </w:rPr>
          <w:tab/>
        </w:r>
        <w:r w:rsidR="001F00C3">
          <w:rPr>
            <w:webHidden/>
          </w:rPr>
          <w:fldChar w:fldCharType="begin"/>
        </w:r>
        <w:r w:rsidR="001F00C3">
          <w:rPr>
            <w:webHidden/>
          </w:rPr>
          <w:instrText xml:space="preserve"> PAGEREF _Toc56668355 \h </w:instrText>
        </w:r>
        <w:r w:rsidR="001F00C3">
          <w:rPr>
            <w:webHidden/>
          </w:rPr>
        </w:r>
        <w:r w:rsidR="001F00C3">
          <w:rPr>
            <w:webHidden/>
          </w:rPr>
          <w:fldChar w:fldCharType="separate"/>
        </w:r>
        <w:r w:rsidR="00DA3617">
          <w:rPr>
            <w:webHidden/>
          </w:rPr>
          <w:t>15</w:t>
        </w:r>
        <w:r w:rsidR="001F00C3">
          <w:rPr>
            <w:webHidden/>
          </w:rPr>
          <w:fldChar w:fldCharType="end"/>
        </w:r>
      </w:hyperlink>
    </w:p>
    <w:p w:rsidR="001F00C3" w:rsidRDefault="0091777A">
      <w:pPr>
        <w:pStyle w:val="TOC2"/>
        <w:rPr>
          <w:rFonts w:asciiTheme="minorHAnsi" w:hAnsiTheme="minorHAnsi" w:cstheme="minorBidi"/>
          <w:szCs w:val="22"/>
        </w:rPr>
      </w:pPr>
      <w:hyperlink w:anchor="_Toc56668356" w:history="1">
        <w:r w:rsidR="001F00C3" w:rsidRPr="00143CC9">
          <w:rPr>
            <w:rStyle w:val="Hyperlink"/>
          </w:rPr>
          <w:t>DTC Book-Entry System</w:t>
        </w:r>
        <w:r w:rsidR="001F00C3">
          <w:rPr>
            <w:webHidden/>
          </w:rPr>
          <w:tab/>
        </w:r>
        <w:r w:rsidR="001F00C3">
          <w:rPr>
            <w:webHidden/>
          </w:rPr>
          <w:fldChar w:fldCharType="begin"/>
        </w:r>
        <w:r w:rsidR="001F00C3">
          <w:rPr>
            <w:webHidden/>
          </w:rPr>
          <w:instrText xml:space="preserve"> PAGEREF _Toc56668356 \h </w:instrText>
        </w:r>
        <w:r w:rsidR="001F00C3">
          <w:rPr>
            <w:webHidden/>
          </w:rPr>
        </w:r>
        <w:r w:rsidR="001F00C3">
          <w:rPr>
            <w:webHidden/>
          </w:rPr>
          <w:fldChar w:fldCharType="separate"/>
        </w:r>
        <w:r w:rsidR="00DA3617">
          <w:rPr>
            <w:webHidden/>
          </w:rPr>
          <w:t>15</w:t>
        </w:r>
        <w:r w:rsidR="001F00C3">
          <w:rPr>
            <w:webHidden/>
          </w:rPr>
          <w:fldChar w:fldCharType="end"/>
        </w:r>
      </w:hyperlink>
    </w:p>
    <w:p w:rsidR="001F00C3" w:rsidRDefault="0091777A">
      <w:pPr>
        <w:pStyle w:val="TOC2"/>
        <w:rPr>
          <w:rFonts w:asciiTheme="minorHAnsi" w:hAnsiTheme="minorHAnsi" w:cstheme="minorBidi"/>
          <w:szCs w:val="22"/>
        </w:rPr>
      </w:pPr>
      <w:hyperlink w:anchor="_Toc56668357" w:history="1">
        <w:r w:rsidR="001F00C3" w:rsidRPr="00143CC9">
          <w:rPr>
            <w:rStyle w:val="Hyperlink"/>
          </w:rPr>
          <w:t>Redemption Prior to Maturity</w:t>
        </w:r>
        <w:r w:rsidR="001F00C3">
          <w:rPr>
            <w:webHidden/>
          </w:rPr>
          <w:tab/>
        </w:r>
        <w:r w:rsidR="001F00C3">
          <w:rPr>
            <w:webHidden/>
          </w:rPr>
          <w:fldChar w:fldCharType="begin"/>
        </w:r>
        <w:r w:rsidR="001F00C3">
          <w:rPr>
            <w:webHidden/>
          </w:rPr>
          <w:instrText xml:space="preserve"> PAGEREF _Toc56668357 \h </w:instrText>
        </w:r>
        <w:r w:rsidR="001F00C3">
          <w:rPr>
            <w:webHidden/>
          </w:rPr>
        </w:r>
        <w:r w:rsidR="001F00C3">
          <w:rPr>
            <w:webHidden/>
          </w:rPr>
          <w:fldChar w:fldCharType="separate"/>
        </w:r>
        <w:r w:rsidR="00DA3617">
          <w:rPr>
            <w:webHidden/>
          </w:rPr>
          <w:t>15</w:t>
        </w:r>
        <w:r w:rsidR="001F00C3">
          <w:rPr>
            <w:webHidden/>
          </w:rPr>
          <w:fldChar w:fldCharType="end"/>
        </w:r>
      </w:hyperlink>
    </w:p>
    <w:p w:rsidR="001F00C3" w:rsidRDefault="0091777A">
      <w:pPr>
        <w:pStyle w:val="TOC1"/>
        <w:rPr>
          <w:rFonts w:asciiTheme="minorHAnsi" w:eastAsiaTheme="minorEastAsia" w:hAnsiTheme="minorHAnsi"/>
          <w:noProof/>
          <w:szCs w:val="22"/>
        </w:rPr>
      </w:pPr>
      <w:hyperlink w:anchor="_Toc56668358" w:history="1">
        <w:r w:rsidR="001F00C3" w:rsidRPr="00143CC9">
          <w:rPr>
            <w:rStyle w:val="Hyperlink"/>
            <w:noProof/>
          </w:rPr>
          <w:t>BASE RENT AND SERIES 2020R CERTIFICATES PAYMENT SCHEDULE</w:t>
        </w:r>
        <w:r w:rsidR="001F00C3">
          <w:rPr>
            <w:noProof/>
            <w:webHidden/>
          </w:rPr>
          <w:tab/>
        </w:r>
        <w:r w:rsidR="001F00C3">
          <w:rPr>
            <w:noProof/>
            <w:webHidden/>
          </w:rPr>
          <w:fldChar w:fldCharType="begin"/>
        </w:r>
        <w:r w:rsidR="001F00C3">
          <w:rPr>
            <w:noProof/>
            <w:webHidden/>
          </w:rPr>
          <w:instrText xml:space="preserve"> PAGEREF _Toc56668358 \h </w:instrText>
        </w:r>
        <w:r w:rsidR="001F00C3">
          <w:rPr>
            <w:noProof/>
            <w:webHidden/>
          </w:rPr>
        </w:r>
        <w:r w:rsidR="001F00C3">
          <w:rPr>
            <w:noProof/>
            <w:webHidden/>
          </w:rPr>
          <w:fldChar w:fldCharType="separate"/>
        </w:r>
        <w:r w:rsidR="00DA3617">
          <w:rPr>
            <w:noProof/>
            <w:webHidden/>
          </w:rPr>
          <w:t>17</w:t>
        </w:r>
        <w:r w:rsidR="001F00C3">
          <w:rPr>
            <w:noProof/>
            <w:webHidden/>
          </w:rPr>
          <w:fldChar w:fldCharType="end"/>
        </w:r>
      </w:hyperlink>
    </w:p>
    <w:p w:rsidR="001F00C3" w:rsidRDefault="0091777A">
      <w:pPr>
        <w:pStyle w:val="TOC1"/>
        <w:rPr>
          <w:rFonts w:asciiTheme="minorHAnsi" w:eastAsiaTheme="minorEastAsia" w:hAnsiTheme="minorHAnsi"/>
          <w:noProof/>
          <w:szCs w:val="22"/>
        </w:rPr>
      </w:pPr>
      <w:hyperlink w:anchor="_Toc56668359" w:history="1">
        <w:r w:rsidR="001F00C3" w:rsidRPr="00143CC9">
          <w:rPr>
            <w:rStyle w:val="Hyperlink"/>
            <w:noProof/>
          </w:rPr>
          <w:t>SECURITY AND SOURCES OF PAYMENT</w:t>
        </w:r>
        <w:r w:rsidR="001F00C3">
          <w:rPr>
            <w:noProof/>
            <w:webHidden/>
          </w:rPr>
          <w:tab/>
        </w:r>
        <w:r w:rsidR="001F00C3">
          <w:rPr>
            <w:noProof/>
            <w:webHidden/>
          </w:rPr>
          <w:fldChar w:fldCharType="begin"/>
        </w:r>
        <w:r w:rsidR="001F00C3">
          <w:rPr>
            <w:noProof/>
            <w:webHidden/>
          </w:rPr>
          <w:instrText xml:space="preserve"> PAGEREF _Toc56668359 \h </w:instrText>
        </w:r>
        <w:r w:rsidR="001F00C3">
          <w:rPr>
            <w:noProof/>
            <w:webHidden/>
          </w:rPr>
        </w:r>
        <w:r w:rsidR="001F00C3">
          <w:rPr>
            <w:noProof/>
            <w:webHidden/>
          </w:rPr>
          <w:fldChar w:fldCharType="separate"/>
        </w:r>
        <w:r w:rsidR="00DA3617">
          <w:rPr>
            <w:noProof/>
            <w:webHidden/>
          </w:rPr>
          <w:t>18</w:t>
        </w:r>
        <w:r w:rsidR="001F00C3">
          <w:rPr>
            <w:noProof/>
            <w:webHidden/>
          </w:rPr>
          <w:fldChar w:fldCharType="end"/>
        </w:r>
      </w:hyperlink>
    </w:p>
    <w:p w:rsidR="001F00C3" w:rsidRDefault="0091777A">
      <w:pPr>
        <w:pStyle w:val="TOC2"/>
        <w:rPr>
          <w:rFonts w:asciiTheme="minorHAnsi" w:hAnsiTheme="minorHAnsi" w:cstheme="minorBidi"/>
          <w:szCs w:val="22"/>
        </w:rPr>
      </w:pPr>
      <w:hyperlink w:anchor="_Toc56668360" w:history="1">
        <w:r w:rsidR="001F00C3" w:rsidRPr="00143CC9">
          <w:rPr>
            <w:rStyle w:val="Hyperlink"/>
          </w:rPr>
          <w:t>Payments by the State</w:t>
        </w:r>
        <w:r w:rsidR="001F00C3">
          <w:rPr>
            <w:webHidden/>
          </w:rPr>
          <w:tab/>
        </w:r>
        <w:r w:rsidR="001F00C3">
          <w:rPr>
            <w:webHidden/>
          </w:rPr>
          <w:fldChar w:fldCharType="begin"/>
        </w:r>
        <w:r w:rsidR="001F00C3">
          <w:rPr>
            <w:webHidden/>
          </w:rPr>
          <w:instrText xml:space="preserve"> PAGEREF _Toc56668360 \h </w:instrText>
        </w:r>
        <w:r w:rsidR="001F00C3">
          <w:rPr>
            <w:webHidden/>
          </w:rPr>
        </w:r>
        <w:r w:rsidR="001F00C3">
          <w:rPr>
            <w:webHidden/>
          </w:rPr>
          <w:fldChar w:fldCharType="separate"/>
        </w:r>
        <w:r w:rsidR="00DA3617">
          <w:rPr>
            <w:webHidden/>
          </w:rPr>
          <w:t>18</w:t>
        </w:r>
        <w:r w:rsidR="001F00C3">
          <w:rPr>
            <w:webHidden/>
          </w:rPr>
          <w:fldChar w:fldCharType="end"/>
        </w:r>
      </w:hyperlink>
    </w:p>
    <w:p w:rsidR="001F00C3" w:rsidRDefault="0091777A">
      <w:pPr>
        <w:pStyle w:val="TOC2"/>
        <w:rPr>
          <w:rFonts w:asciiTheme="minorHAnsi" w:hAnsiTheme="minorHAnsi" w:cstheme="minorBidi"/>
          <w:szCs w:val="22"/>
        </w:rPr>
      </w:pPr>
      <w:hyperlink w:anchor="_Toc56668361" w:history="1">
        <w:r w:rsidR="001F00C3" w:rsidRPr="00143CC9">
          <w:rPr>
            <w:rStyle w:val="Hyperlink"/>
          </w:rPr>
          <w:t>Lease Term</w:t>
        </w:r>
        <w:r w:rsidR="001F00C3">
          <w:rPr>
            <w:webHidden/>
          </w:rPr>
          <w:tab/>
        </w:r>
        <w:r w:rsidR="001F00C3">
          <w:rPr>
            <w:webHidden/>
          </w:rPr>
          <w:fldChar w:fldCharType="begin"/>
        </w:r>
        <w:r w:rsidR="001F00C3">
          <w:rPr>
            <w:webHidden/>
          </w:rPr>
          <w:instrText xml:space="preserve"> PAGEREF _Toc56668361 \h </w:instrText>
        </w:r>
        <w:r w:rsidR="001F00C3">
          <w:rPr>
            <w:webHidden/>
          </w:rPr>
        </w:r>
        <w:r w:rsidR="001F00C3">
          <w:rPr>
            <w:webHidden/>
          </w:rPr>
          <w:fldChar w:fldCharType="separate"/>
        </w:r>
        <w:r w:rsidR="00DA3617">
          <w:rPr>
            <w:webHidden/>
          </w:rPr>
          <w:t>19</w:t>
        </w:r>
        <w:r w:rsidR="001F00C3">
          <w:rPr>
            <w:webHidden/>
          </w:rPr>
          <w:fldChar w:fldCharType="end"/>
        </w:r>
      </w:hyperlink>
    </w:p>
    <w:p w:rsidR="001F00C3" w:rsidRDefault="0091777A">
      <w:pPr>
        <w:pStyle w:val="TOC2"/>
        <w:rPr>
          <w:rFonts w:asciiTheme="minorHAnsi" w:hAnsiTheme="minorHAnsi" w:cstheme="minorBidi"/>
          <w:szCs w:val="22"/>
        </w:rPr>
      </w:pPr>
      <w:hyperlink w:anchor="_Toc56668362" w:history="1">
        <w:r w:rsidR="001F00C3" w:rsidRPr="00143CC9">
          <w:rPr>
            <w:rStyle w:val="Hyperlink"/>
          </w:rPr>
          <w:t>Nonrenewal of the Lease Term</w:t>
        </w:r>
        <w:r w:rsidR="001F00C3">
          <w:rPr>
            <w:webHidden/>
          </w:rPr>
          <w:tab/>
        </w:r>
        <w:r w:rsidR="001F00C3">
          <w:rPr>
            <w:webHidden/>
          </w:rPr>
          <w:fldChar w:fldCharType="begin"/>
        </w:r>
        <w:r w:rsidR="001F00C3">
          <w:rPr>
            <w:webHidden/>
          </w:rPr>
          <w:instrText xml:space="preserve"> PAGEREF _Toc56668362 \h </w:instrText>
        </w:r>
        <w:r w:rsidR="001F00C3">
          <w:rPr>
            <w:webHidden/>
          </w:rPr>
        </w:r>
        <w:r w:rsidR="001F00C3">
          <w:rPr>
            <w:webHidden/>
          </w:rPr>
          <w:fldChar w:fldCharType="separate"/>
        </w:r>
        <w:r w:rsidR="00DA3617">
          <w:rPr>
            <w:webHidden/>
          </w:rPr>
          <w:t>20</w:t>
        </w:r>
        <w:r w:rsidR="001F00C3">
          <w:rPr>
            <w:webHidden/>
          </w:rPr>
          <w:fldChar w:fldCharType="end"/>
        </w:r>
      </w:hyperlink>
    </w:p>
    <w:p w:rsidR="001F00C3" w:rsidRDefault="0091777A">
      <w:pPr>
        <w:pStyle w:val="TOC2"/>
        <w:rPr>
          <w:rFonts w:asciiTheme="minorHAnsi" w:hAnsiTheme="minorHAnsi" w:cstheme="minorBidi"/>
          <w:szCs w:val="22"/>
        </w:rPr>
      </w:pPr>
      <w:hyperlink w:anchor="_Toc56668363" w:history="1">
        <w:r w:rsidR="001F00C3" w:rsidRPr="00143CC9">
          <w:rPr>
            <w:rStyle w:val="Hyperlink"/>
          </w:rPr>
          <w:t>The Leased Property</w:t>
        </w:r>
        <w:r w:rsidR="001F00C3">
          <w:rPr>
            <w:webHidden/>
          </w:rPr>
          <w:tab/>
        </w:r>
        <w:r w:rsidR="001F00C3">
          <w:rPr>
            <w:webHidden/>
          </w:rPr>
          <w:fldChar w:fldCharType="begin"/>
        </w:r>
        <w:r w:rsidR="001F00C3">
          <w:rPr>
            <w:webHidden/>
          </w:rPr>
          <w:instrText xml:space="preserve"> PAGEREF _Toc56668363 \h </w:instrText>
        </w:r>
        <w:r w:rsidR="001F00C3">
          <w:rPr>
            <w:webHidden/>
          </w:rPr>
        </w:r>
        <w:r w:rsidR="001F00C3">
          <w:rPr>
            <w:webHidden/>
          </w:rPr>
          <w:fldChar w:fldCharType="separate"/>
        </w:r>
        <w:r w:rsidR="00DA3617">
          <w:rPr>
            <w:webHidden/>
          </w:rPr>
          <w:t>20</w:t>
        </w:r>
        <w:r w:rsidR="001F00C3">
          <w:rPr>
            <w:webHidden/>
          </w:rPr>
          <w:fldChar w:fldCharType="end"/>
        </w:r>
      </w:hyperlink>
    </w:p>
    <w:p w:rsidR="001F00C3" w:rsidRDefault="0091777A">
      <w:pPr>
        <w:pStyle w:val="TOC2"/>
        <w:rPr>
          <w:rFonts w:asciiTheme="minorHAnsi" w:hAnsiTheme="minorHAnsi" w:cstheme="minorBidi"/>
          <w:szCs w:val="22"/>
        </w:rPr>
      </w:pPr>
      <w:hyperlink w:anchor="_Toc56668364" w:history="1">
        <w:r w:rsidR="001F00C3" w:rsidRPr="00143CC9">
          <w:rPr>
            <w:rStyle w:val="Hyperlink"/>
          </w:rPr>
          <w:t>Federal Direct Payments</w:t>
        </w:r>
        <w:r w:rsidR="001F00C3">
          <w:rPr>
            <w:webHidden/>
          </w:rPr>
          <w:tab/>
        </w:r>
        <w:r w:rsidR="001F00C3">
          <w:rPr>
            <w:webHidden/>
          </w:rPr>
          <w:fldChar w:fldCharType="begin"/>
        </w:r>
        <w:r w:rsidR="001F00C3">
          <w:rPr>
            <w:webHidden/>
          </w:rPr>
          <w:instrText xml:space="preserve"> PAGEREF _Toc56668364 \h </w:instrText>
        </w:r>
        <w:r w:rsidR="001F00C3">
          <w:rPr>
            <w:webHidden/>
          </w:rPr>
        </w:r>
        <w:r w:rsidR="001F00C3">
          <w:rPr>
            <w:webHidden/>
          </w:rPr>
          <w:fldChar w:fldCharType="separate"/>
        </w:r>
        <w:r w:rsidR="00DA3617">
          <w:rPr>
            <w:webHidden/>
          </w:rPr>
          <w:t>24</w:t>
        </w:r>
        <w:r w:rsidR="001F00C3">
          <w:rPr>
            <w:webHidden/>
          </w:rPr>
          <w:fldChar w:fldCharType="end"/>
        </w:r>
      </w:hyperlink>
    </w:p>
    <w:p w:rsidR="001F00C3" w:rsidRDefault="0091777A">
      <w:pPr>
        <w:pStyle w:val="TOC2"/>
        <w:rPr>
          <w:rFonts w:asciiTheme="minorHAnsi" w:hAnsiTheme="minorHAnsi" w:cstheme="minorBidi"/>
          <w:szCs w:val="22"/>
        </w:rPr>
      </w:pPr>
      <w:hyperlink w:anchor="_Toc56668365" w:history="1">
        <w:r w:rsidR="001F00C3" w:rsidRPr="00143CC9">
          <w:rPr>
            <w:rStyle w:val="Hyperlink"/>
          </w:rPr>
          <w:t>Additional Series of Certificates</w:t>
        </w:r>
        <w:r w:rsidR="001F00C3">
          <w:rPr>
            <w:webHidden/>
          </w:rPr>
          <w:tab/>
        </w:r>
        <w:r w:rsidR="001F00C3">
          <w:rPr>
            <w:webHidden/>
          </w:rPr>
          <w:fldChar w:fldCharType="begin"/>
        </w:r>
        <w:r w:rsidR="001F00C3">
          <w:rPr>
            <w:webHidden/>
          </w:rPr>
          <w:instrText xml:space="preserve"> PAGEREF _Toc56668365 \h </w:instrText>
        </w:r>
        <w:r w:rsidR="001F00C3">
          <w:rPr>
            <w:webHidden/>
          </w:rPr>
        </w:r>
        <w:r w:rsidR="001F00C3">
          <w:rPr>
            <w:webHidden/>
          </w:rPr>
          <w:fldChar w:fldCharType="separate"/>
        </w:r>
        <w:r w:rsidR="00DA3617">
          <w:rPr>
            <w:webHidden/>
          </w:rPr>
          <w:t>24</w:t>
        </w:r>
        <w:r w:rsidR="001F00C3">
          <w:rPr>
            <w:webHidden/>
          </w:rPr>
          <w:fldChar w:fldCharType="end"/>
        </w:r>
      </w:hyperlink>
    </w:p>
    <w:p w:rsidR="001F00C3" w:rsidRDefault="0091777A">
      <w:pPr>
        <w:pStyle w:val="TOC1"/>
        <w:rPr>
          <w:rFonts w:asciiTheme="minorHAnsi" w:eastAsiaTheme="minorEastAsia" w:hAnsiTheme="minorHAnsi"/>
          <w:noProof/>
          <w:szCs w:val="22"/>
        </w:rPr>
      </w:pPr>
      <w:hyperlink w:anchor="_Toc56668366" w:history="1">
        <w:r w:rsidR="001F00C3" w:rsidRPr="00143CC9">
          <w:rPr>
            <w:rStyle w:val="Hyperlink"/>
            <w:noProof/>
          </w:rPr>
          <w:t>CERTAIN RISK FACTORS</w:t>
        </w:r>
        <w:r w:rsidR="001F00C3">
          <w:rPr>
            <w:noProof/>
            <w:webHidden/>
          </w:rPr>
          <w:tab/>
        </w:r>
        <w:r w:rsidR="001F00C3">
          <w:rPr>
            <w:noProof/>
            <w:webHidden/>
          </w:rPr>
          <w:fldChar w:fldCharType="begin"/>
        </w:r>
        <w:r w:rsidR="001F00C3">
          <w:rPr>
            <w:noProof/>
            <w:webHidden/>
          </w:rPr>
          <w:instrText xml:space="preserve"> PAGEREF _Toc56668366 \h </w:instrText>
        </w:r>
        <w:r w:rsidR="001F00C3">
          <w:rPr>
            <w:noProof/>
            <w:webHidden/>
          </w:rPr>
        </w:r>
        <w:r w:rsidR="001F00C3">
          <w:rPr>
            <w:noProof/>
            <w:webHidden/>
          </w:rPr>
          <w:fldChar w:fldCharType="separate"/>
        </w:r>
        <w:r w:rsidR="00DA3617">
          <w:rPr>
            <w:noProof/>
            <w:webHidden/>
          </w:rPr>
          <w:t>25</w:t>
        </w:r>
        <w:r w:rsidR="001F00C3">
          <w:rPr>
            <w:noProof/>
            <w:webHidden/>
          </w:rPr>
          <w:fldChar w:fldCharType="end"/>
        </w:r>
      </w:hyperlink>
    </w:p>
    <w:p w:rsidR="001F00C3" w:rsidRDefault="0091777A">
      <w:pPr>
        <w:pStyle w:val="TOC2"/>
        <w:rPr>
          <w:rFonts w:asciiTheme="minorHAnsi" w:hAnsiTheme="minorHAnsi" w:cstheme="minorBidi"/>
          <w:szCs w:val="22"/>
        </w:rPr>
      </w:pPr>
      <w:hyperlink w:anchor="_Toc56668367" w:history="1">
        <w:r w:rsidR="001F00C3" w:rsidRPr="00143CC9">
          <w:rPr>
            <w:rStyle w:val="Hyperlink"/>
          </w:rPr>
          <w:t>Option to Renew the Leases Annually</w:t>
        </w:r>
        <w:r w:rsidR="001F00C3">
          <w:rPr>
            <w:webHidden/>
          </w:rPr>
          <w:tab/>
        </w:r>
        <w:r w:rsidR="001F00C3">
          <w:rPr>
            <w:webHidden/>
          </w:rPr>
          <w:fldChar w:fldCharType="begin"/>
        </w:r>
        <w:r w:rsidR="001F00C3">
          <w:rPr>
            <w:webHidden/>
          </w:rPr>
          <w:instrText xml:space="preserve"> PAGEREF _Toc56668367 \h </w:instrText>
        </w:r>
        <w:r w:rsidR="001F00C3">
          <w:rPr>
            <w:webHidden/>
          </w:rPr>
        </w:r>
        <w:r w:rsidR="001F00C3">
          <w:rPr>
            <w:webHidden/>
          </w:rPr>
          <w:fldChar w:fldCharType="separate"/>
        </w:r>
        <w:r w:rsidR="00DA3617">
          <w:rPr>
            <w:webHidden/>
          </w:rPr>
          <w:t>26</w:t>
        </w:r>
        <w:r w:rsidR="001F00C3">
          <w:rPr>
            <w:webHidden/>
          </w:rPr>
          <w:fldChar w:fldCharType="end"/>
        </w:r>
      </w:hyperlink>
    </w:p>
    <w:p w:rsidR="001F00C3" w:rsidRDefault="0091777A">
      <w:pPr>
        <w:pStyle w:val="TOC2"/>
        <w:rPr>
          <w:rFonts w:asciiTheme="minorHAnsi" w:hAnsiTheme="minorHAnsi" w:cstheme="minorBidi"/>
          <w:szCs w:val="22"/>
        </w:rPr>
      </w:pPr>
      <w:hyperlink w:anchor="_Toc56668368" w:history="1">
        <w:r w:rsidR="001F00C3" w:rsidRPr="00143CC9">
          <w:rPr>
            <w:rStyle w:val="Hyperlink"/>
          </w:rPr>
          <w:t>Effect of a Nonrenewal of a Lease</w:t>
        </w:r>
        <w:r w:rsidR="001F00C3">
          <w:rPr>
            <w:webHidden/>
          </w:rPr>
          <w:tab/>
        </w:r>
        <w:r w:rsidR="001F00C3">
          <w:rPr>
            <w:webHidden/>
          </w:rPr>
          <w:fldChar w:fldCharType="begin"/>
        </w:r>
        <w:r w:rsidR="001F00C3">
          <w:rPr>
            <w:webHidden/>
          </w:rPr>
          <w:instrText xml:space="preserve"> PAGEREF _Toc56668368 \h </w:instrText>
        </w:r>
        <w:r w:rsidR="001F00C3">
          <w:rPr>
            <w:webHidden/>
          </w:rPr>
        </w:r>
        <w:r w:rsidR="001F00C3">
          <w:rPr>
            <w:webHidden/>
          </w:rPr>
          <w:fldChar w:fldCharType="separate"/>
        </w:r>
        <w:r w:rsidR="00DA3617">
          <w:rPr>
            <w:webHidden/>
          </w:rPr>
          <w:t>27</w:t>
        </w:r>
        <w:r w:rsidR="001F00C3">
          <w:rPr>
            <w:webHidden/>
          </w:rPr>
          <w:fldChar w:fldCharType="end"/>
        </w:r>
      </w:hyperlink>
    </w:p>
    <w:p w:rsidR="001F00C3" w:rsidRDefault="0091777A">
      <w:pPr>
        <w:pStyle w:val="TOC2"/>
        <w:rPr>
          <w:rFonts w:asciiTheme="minorHAnsi" w:hAnsiTheme="minorHAnsi" w:cstheme="minorBidi"/>
          <w:szCs w:val="22"/>
        </w:rPr>
      </w:pPr>
      <w:hyperlink w:anchor="_Toc56668369" w:history="1">
        <w:r w:rsidR="001F00C3" w:rsidRPr="00143CC9">
          <w:rPr>
            <w:rStyle w:val="Hyperlink"/>
          </w:rPr>
          <w:t>Federal Direct Payments</w:t>
        </w:r>
        <w:r w:rsidR="001F00C3">
          <w:rPr>
            <w:webHidden/>
          </w:rPr>
          <w:tab/>
        </w:r>
        <w:r w:rsidR="001F00C3">
          <w:rPr>
            <w:webHidden/>
          </w:rPr>
          <w:fldChar w:fldCharType="begin"/>
        </w:r>
        <w:r w:rsidR="001F00C3">
          <w:rPr>
            <w:webHidden/>
          </w:rPr>
          <w:instrText xml:space="preserve"> PAGEREF _Toc56668369 \h </w:instrText>
        </w:r>
        <w:r w:rsidR="001F00C3">
          <w:rPr>
            <w:webHidden/>
          </w:rPr>
        </w:r>
        <w:r w:rsidR="001F00C3">
          <w:rPr>
            <w:webHidden/>
          </w:rPr>
          <w:fldChar w:fldCharType="separate"/>
        </w:r>
        <w:r w:rsidR="00DA3617">
          <w:rPr>
            <w:webHidden/>
          </w:rPr>
          <w:t>28</w:t>
        </w:r>
        <w:r w:rsidR="001F00C3">
          <w:rPr>
            <w:webHidden/>
          </w:rPr>
          <w:fldChar w:fldCharType="end"/>
        </w:r>
      </w:hyperlink>
    </w:p>
    <w:p w:rsidR="001F00C3" w:rsidRDefault="0091777A">
      <w:pPr>
        <w:pStyle w:val="TOC2"/>
        <w:rPr>
          <w:rFonts w:asciiTheme="minorHAnsi" w:hAnsiTheme="minorHAnsi" w:cstheme="minorBidi"/>
          <w:szCs w:val="22"/>
        </w:rPr>
      </w:pPr>
      <w:hyperlink w:anchor="_Toc56668370" w:history="1">
        <w:r w:rsidR="001F00C3" w:rsidRPr="00143CC9">
          <w:rPr>
            <w:rStyle w:val="Hyperlink"/>
          </w:rPr>
          <w:t>Enforceability of Remedies</w:t>
        </w:r>
        <w:r w:rsidR="001F00C3">
          <w:rPr>
            <w:webHidden/>
          </w:rPr>
          <w:tab/>
        </w:r>
        <w:r w:rsidR="001F00C3">
          <w:rPr>
            <w:webHidden/>
          </w:rPr>
          <w:fldChar w:fldCharType="begin"/>
        </w:r>
        <w:r w:rsidR="001F00C3">
          <w:rPr>
            <w:webHidden/>
          </w:rPr>
          <w:instrText xml:space="preserve"> PAGEREF _Toc56668370 \h </w:instrText>
        </w:r>
        <w:r w:rsidR="001F00C3">
          <w:rPr>
            <w:webHidden/>
          </w:rPr>
        </w:r>
        <w:r w:rsidR="001F00C3">
          <w:rPr>
            <w:webHidden/>
          </w:rPr>
          <w:fldChar w:fldCharType="separate"/>
        </w:r>
        <w:r w:rsidR="00DA3617">
          <w:rPr>
            <w:webHidden/>
          </w:rPr>
          <w:t>29</w:t>
        </w:r>
        <w:r w:rsidR="001F00C3">
          <w:rPr>
            <w:webHidden/>
          </w:rPr>
          <w:fldChar w:fldCharType="end"/>
        </w:r>
      </w:hyperlink>
    </w:p>
    <w:p w:rsidR="001F00C3" w:rsidRDefault="0091777A">
      <w:pPr>
        <w:pStyle w:val="TOC2"/>
        <w:rPr>
          <w:rFonts w:asciiTheme="minorHAnsi" w:hAnsiTheme="minorHAnsi" w:cstheme="minorBidi"/>
          <w:szCs w:val="22"/>
        </w:rPr>
      </w:pPr>
      <w:hyperlink w:anchor="_Toc56668371" w:history="1">
        <w:r w:rsidR="001F00C3" w:rsidRPr="00143CC9">
          <w:rPr>
            <w:rStyle w:val="Hyperlink"/>
          </w:rPr>
          <w:t>Effects on the Series 2020R Certificates of a Nonrenewal Event</w:t>
        </w:r>
        <w:r w:rsidR="001F00C3">
          <w:rPr>
            <w:webHidden/>
          </w:rPr>
          <w:tab/>
        </w:r>
        <w:r w:rsidR="001F00C3">
          <w:rPr>
            <w:webHidden/>
          </w:rPr>
          <w:fldChar w:fldCharType="begin"/>
        </w:r>
        <w:r w:rsidR="001F00C3">
          <w:rPr>
            <w:webHidden/>
          </w:rPr>
          <w:instrText xml:space="preserve"> PAGEREF _Toc56668371 \h </w:instrText>
        </w:r>
        <w:r w:rsidR="001F00C3">
          <w:rPr>
            <w:webHidden/>
          </w:rPr>
        </w:r>
        <w:r w:rsidR="001F00C3">
          <w:rPr>
            <w:webHidden/>
          </w:rPr>
          <w:fldChar w:fldCharType="separate"/>
        </w:r>
        <w:r w:rsidR="00DA3617">
          <w:rPr>
            <w:webHidden/>
          </w:rPr>
          <w:t>29</w:t>
        </w:r>
        <w:r w:rsidR="001F00C3">
          <w:rPr>
            <w:webHidden/>
          </w:rPr>
          <w:fldChar w:fldCharType="end"/>
        </w:r>
      </w:hyperlink>
    </w:p>
    <w:p w:rsidR="001F00C3" w:rsidRDefault="0091777A">
      <w:pPr>
        <w:pStyle w:val="TOC2"/>
        <w:rPr>
          <w:rFonts w:asciiTheme="minorHAnsi" w:hAnsiTheme="minorHAnsi" w:cstheme="minorBidi"/>
          <w:szCs w:val="22"/>
        </w:rPr>
      </w:pPr>
      <w:hyperlink w:anchor="_Toc56668372" w:history="1">
        <w:r w:rsidR="001F00C3" w:rsidRPr="00143CC9">
          <w:rPr>
            <w:rStyle w:val="Hyperlink"/>
          </w:rPr>
          <w:t>Insurance of the Leased Property</w:t>
        </w:r>
        <w:r w:rsidR="001F00C3">
          <w:rPr>
            <w:webHidden/>
          </w:rPr>
          <w:tab/>
        </w:r>
        <w:r w:rsidR="001F00C3">
          <w:rPr>
            <w:webHidden/>
          </w:rPr>
          <w:fldChar w:fldCharType="begin"/>
        </w:r>
        <w:r w:rsidR="001F00C3">
          <w:rPr>
            <w:webHidden/>
          </w:rPr>
          <w:instrText xml:space="preserve"> PAGEREF _Toc56668372 \h </w:instrText>
        </w:r>
        <w:r w:rsidR="001F00C3">
          <w:rPr>
            <w:webHidden/>
          </w:rPr>
        </w:r>
        <w:r w:rsidR="001F00C3">
          <w:rPr>
            <w:webHidden/>
          </w:rPr>
          <w:fldChar w:fldCharType="separate"/>
        </w:r>
        <w:r w:rsidR="00DA3617">
          <w:rPr>
            <w:webHidden/>
          </w:rPr>
          <w:t>29</w:t>
        </w:r>
        <w:r w:rsidR="001F00C3">
          <w:rPr>
            <w:webHidden/>
          </w:rPr>
          <w:fldChar w:fldCharType="end"/>
        </w:r>
      </w:hyperlink>
    </w:p>
    <w:p w:rsidR="001F00C3" w:rsidRDefault="0091777A">
      <w:pPr>
        <w:pStyle w:val="TOC2"/>
        <w:rPr>
          <w:rFonts w:asciiTheme="minorHAnsi" w:hAnsiTheme="minorHAnsi" w:cstheme="minorBidi"/>
          <w:szCs w:val="22"/>
        </w:rPr>
      </w:pPr>
      <w:hyperlink w:anchor="_Toc56668373" w:history="1">
        <w:r w:rsidR="001F00C3" w:rsidRPr="00143CC9">
          <w:rPr>
            <w:rStyle w:val="Hyperlink"/>
          </w:rPr>
          <w:t>Actions under the Subleases</w:t>
        </w:r>
        <w:r w:rsidR="001F00C3">
          <w:rPr>
            <w:webHidden/>
          </w:rPr>
          <w:tab/>
        </w:r>
        <w:r w:rsidR="001F00C3">
          <w:rPr>
            <w:webHidden/>
          </w:rPr>
          <w:fldChar w:fldCharType="begin"/>
        </w:r>
        <w:r w:rsidR="001F00C3">
          <w:rPr>
            <w:webHidden/>
          </w:rPr>
          <w:instrText xml:space="preserve"> PAGEREF _Toc56668373 \h </w:instrText>
        </w:r>
        <w:r w:rsidR="001F00C3">
          <w:rPr>
            <w:webHidden/>
          </w:rPr>
        </w:r>
        <w:r w:rsidR="001F00C3">
          <w:rPr>
            <w:webHidden/>
          </w:rPr>
          <w:fldChar w:fldCharType="separate"/>
        </w:r>
        <w:r w:rsidR="00DA3617">
          <w:rPr>
            <w:webHidden/>
          </w:rPr>
          <w:t>30</w:t>
        </w:r>
        <w:r w:rsidR="001F00C3">
          <w:rPr>
            <w:webHidden/>
          </w:rPr>
          <w:fldChar w:fldCharType="end"/>
        </w:r>
      </w:hyperlink>
    </w:p>
    <w:p w:rsidR="001F00C3" w:rsidRDefault="0091777A">
      <w:pPr>
        <w:pStyle w:val="TOC2"/>
        <w:rPr>
          <w:rFonts w:asciiTheme="minorHAnsi" w:hAnsiTheme="minorHAnsi" w:cstheme="minorBidi"/>
          <w:szCs w:val="22"/>
        </w:rPr>
      </w:pPr>
      <w:hyperlink w:anchor="_Toc56668374" w:history="1">
        <w:r w:rsidR="001F00C3" w:rsidRPr="00143CC9">
          <w:rPr>
            <w:rStyle w:val="Hyperlink"/>
          </w:rPr>
          <w:t>State Budgets and Revenue Forecasts</w:t>
        </w:r>
        <w:r w:rsidR="001F00C3">
          <w:rPr>
            <w:webHidden/>
          </w:rPr>
          <w:tab/>
        </w:r>
        <w:r w:rsidR="001F00C3">
          <w:rPr>
            <w:webHidden/>
          </w:rPr>
          <w:fldChar w:fldCharType="begin"/>
        </w:r>
        <w:r w:rsidR="001F00C3">
          <w:rPr>
            <w:webHidden/>
          </w:rPr>
          <w:instrText xml:space="preserve"> PAGEREF _Toc56668374 \h </w:instrText>
        </w:r>
        <w:r w:rsidR="001F00C3">
          <w:rPr>
            <w:webHidden/>
          </w:rPr>
        </w:r>
        <w:r w:rsidR="001F00C3">
          <w:rPr>
            <w:webHidden/>
          </w:rPr>
          <w:fldChar w:fldCharType="separate"/>
        </w:r>
        <w:r w:rsidR="00DA3617">
          <w:rPr>
            <w:webHidden/>
          </w:rPr>
          <w:t>30</w:t>
        </w:r>
        <w:r w:rsidR="001F00C3">
          <w:rPr>
            <w:webHidden/>
          </w:rPr>
          <w:fldChar w:fldCharType="end"/>
        </w:r>
      </w:hyperlink>
    </w:p>
    <w:p w:rsidR="001F00C3" w:rsidRDefault="0091777A">
      <w:pPr>
        <w:pStyle w:val="TOC2"/>
        <w:rPr>
          <w:rFonts w:asciiTheme="minorHAnsi" w:hAnsiTheme="minorHAnsi" w:cstheme="minorBidi"/>
          <w:szCs w:val="22"/>
        </w:rPr>
      </w:pPr>
      <w:hyperlink w:anchor="_Toc56668375" w:history="1">
        <w:r w:rsidR="001F00C3" w:rsidRPr="00143CC9">
          <w:rPr>
            <w:rStyle w:val="Hyperlink"/>
          </w:rPr>
          <w:t>Potential Impact of COVID-19 (Coronavirus)</w:t>
        </w:r>
        <w:r w:rsidR="001F00C3">
          <w:rPr>
            <w:webHidden/>
          </w:rPr>
          <w:tab/>
        </w:r>
        <w:r w:rsidR="001F00C3">
          <w:rPr>
            <w:webHidden/>
          </w:rPr>
          <w:fldChar w:fldCharType="begin"/>
        </w:r>
        <w:r w:rsidR="001F00C3">
          <w:rPr>
            <w:webHidden/>
          </w:rPr>
          <w:instrText xml:space="preserve"> PAGEREF _Toc56668375 \h </w:instrText>
        </w:r>
        <w:r w:rsidR="001F00C3">
          <w:rPr>
            <w:webHidden/>
          </w:rPr>
        </w:r>
        <w:r w:rsidR="001F00C3">
          <w:rPr>
            <w:webHidden/>
          </w:rPr>
          <w:fldChar w:fldCharType="separate"/>
        </w:r>
        <w:r w:rsidR="00DA3617">
          <w:rPr>
            <w:webHidden/>
          </w:rPr>
          <w:t>31</w:t>
        </w:r>
        <w:r w:rsidR="001F00C3">
          <w:rPr>
            <w:webHidden/>
          </w:rPr>
          <w:fldChar w:fldCharType="end"/>
        </w:r>
      </w:hyperlink>
    </w:p>
    <w:p w:rsidR="001F00C3" w:rsidRDefault="0091777A">
      <w:pPr>
        <w:pStyle w:val="TOC2"/>
        <w:rPr>
          <w:rFonts w:asciiTheme="minorHAnsi" w:hAnsiTheme="minorHAnsi" w:cstheme="minorBidi"/>
          <w:szCs w:val="22"/>
        </w:rPr>
      </w:pPr>
      <w:hyperlink w:anchor="_Toc56668376" w:history="1">
        <w:r w:rsidR="001F00C3" w:rsidRPr="00143CC9">
          <w:rPr>
            <w:rStyle w:val="Hyperlink"/>
          </w:rPr>
          <w:t>Control of Remedies</w:t>
        </w:r>
        <w:r w:rsidR="001F00C3">
          <w:rPr>
            <w:webHidden/>
          </w:rPr>
          <w:tab/>
        </w:r>
        <w:r w:rsidR="001F00C3">
          <w:rPr>
            <w:webHidden/>
          </w:rPr>
          <w:fldChar w:fldCharType="begin"/>
        </w:r>
        <w:r w:rsidR="001F00C3">
          <w:rPr>
            <w:webHidden/>
          </w:rPr>
          <w:instrText xml:space="preserve"> PAGEREF _Toc56668376 \h </w:instrText>
        </w:r>
        <w:r w:rsidR="001F00C3">
          <w:rPr>
            <w:webHidden/>
          </w:rPr>
        </w:r>
        <w:r w:rsidR="001F00C3">
          <w:rPr>
            <w:webHidden/>
          </w:rPr>
          <w:fldChar w:fldCharType="separate"/>
        </w:r>
        <w:r w:rsidR="00DA3617">
          <w:rPr>
            <w:webHidden/>
          </w:rPr>
          <w:t>34</w:t>
        </w:r>
        <w:r w:rsidR="001F00C3">
          <w:rPr>
            <w:webHidden/>
          </w:rPr>
          <w:fldChar w:fldCharType="end"/>
        </w:r>
      </w:hyperlink>
    </w:p>
    <w:p w:rsidR="001F00C3" w:rsidRDefault="0091777A">
      <w:pPr>
        <w:pStyle w:val="TOC2"/>
        <w:rPr>
          <w:rFonts w:asciiTheme="minorHAnsi" w:hAnsiTheme="minorHAnsi" w:cstheme="minorBidi"/>
          <w:szCs w:val="22"/>
        </w:rPr>
      </w:pPr>
      <w:hyperlink w:anchor="_Toc56668377" w:history="1">
        <w:r w:rsidR="001F00C3" w:rsidRPr="00143CC9">
          <w:rPr>
            <w:rStyle w:val="Hyperlink"/>
          </w:rPr>
          <w:t>Future Changes in Laws and Future Initiatives</w:t>
        </w:r>
        <w:r w:rsidR="001F00C3">
          <w:rPr>
            <w:webHidden/>
          </w:rPr>
          <w:tab/>
        </w:r>
        <w:r w:rsidR="001F00C3">
          <w:rPr>
            <w:webHidden/>
          </w:rPr>
          <w:fldChar w:fldCharType="begin"/>
        </w:r>
        <w:r w:rsidR="001F00C3">
          <w:rPr>
            <w:webHidden/>
          </w:rPr>
          <w:instrText xml:space="preserve"> PAGEREF _Toc56668377 \h </w:instrText>
        </w:r>
        <w:r w:rsidR="001F00C3">
          <w:rPr>
            <w:webHidden/>
          </w:rPr>
        </w:r>
        <w:r w:rsidR="001F00C3">
          <w:rPr>
            <w:webHidden/>
          </w:rPr>
          <w:fldChar w:fldCharType="separate"/>
        </w:r>
        <w:r w:rsidR="00DA3617">
          <w:rPr>
            <w:webHidden/>
          </w:rPr>
          <w:t>34</w:t>
        </w:r>
        <w:r w:rsidR="001F00C3">
          <w:rPr>
            <w:webHidden/>
          </w:rPr>
          <w:fldChar w:fldCharType="end"/>
        </w:r>
      </w:hyperlink>
    </w:p>
    <w:p w:rsidR="001F00C3" w:rsidRDefault="0091777A">
      <w:pPr>
        <w:pStyle w:val="TOC2"/>
        <w:rPr>
          <w:rFonts w:asciiTheme="minorHAnsi" w:hAnsiTheme="minorHAnsi" w:cstheme="minorBidi"/>
          <w:szCs w:val="22"/>
        </w:rPr>
      </w:pPr>
      <w:hyperlink w:anchor="_Toc56668378" w:history="1">
        <w:r w:rsidR="001F00C3" w:rsidRPr="00143CC9">
          <w:rPr>
            <w:rStyle w:val="Hyperlink"/>
          </w:rPr>
          <w:t>Cyber Security Risks</w:t>
        </w:r>
        <w:r w:rsidR="001F00C3">
          <w:rPr>
            <w:webHidden/>
          </w:rPr>
          <w:tab/>
        </w:r>
        <w:r w:rsidR="001F00C3">
          <w:rPr>
            <w:webHidden/>
          </w:rPr>
          <w:fldChar w:fldCharType="begin"/>
        </w:r>
        <w:r w:rsidR="001F00C3">
          <w:rPr>
            <w:webHidden/>
          </w:rPr>
          <w:instrText xml:space="preserve"> PAGEREF _Toc56668378 \h </w:instrText>
        </w:r>
        <w:r w:rsidR="001F00C3">
          <w:rPr>
            <w:webHidden/>
          </w:rPr>
        </w:r>
        <w:r w:rsidR="001F00C3">
          <w:rPr>
            <w:webHidden/>
          </w:rPr>
          <w:fldChar w:fldCharType="separate"/>
        </w:r>
        <w:r w:rsidR="00DA3617">
          <w:rPr>
            <w:webHidden/>
          </w:rPr>
          <w:t>34</w:t>
        </w:r>
        <w:r w:rsidR="001F00C3">
          <w:rPr>
            <w:webHidden/>
          </w:rPr>
          <w:fldChar w:fldCharType="end"/>
        </w:r>
      </w:hyperlink>
    </w:p>
    <w:p w:rsidR="001F00C3" w:rsidRDefault="0091777A">
      <w:pPr>
        <w:pStyle w:val="TOC2"/>
        <w:rPr>
          <w:rFonts w:asciiTheme="minorHAnsi" w:hAnsiTheme="minorHAnsi" w:cstheme="minorBidi"/>
          <w:szCs w:val="22"/>
        </w:rPr>
      </w:pPr>
      <w:hyperlink w:anchor="_Toc56668379" w:history="1">
        <w:r w:rsidR="001F00C3" w:rsidRPr="00143CC9">
          <w:rPr>
            <w:rStyle w:val="Hyperlink"/>
          </w:rPr>
          <w:t>Secondary Market</w:t>
        </w:r>
        <w:r w:rsidR="001F00C3">
          <w:rPr>
            <w:webHidden/>
          </w:rPr>
          <w:tab/>
        </w:r>
        <w:r w:rsidR="001F00C3">
          <w:rPr>
            <w:webHidden/>
          </w:rPr>
          <w:fldChar w:fldCharType="begin"/>
        </w:r>
        <w:r w:rsidR="001F00C3">
          <w:rPr>
            <w:webHidden/>
          </w:rPr>
          <w:instrText xml:space="preserve"> PAGEREF _Toc56668379 \h </w:instrText>
        </w:r>
        <w:r w:rsidR="001F00C3">
          <w:rPr>
            <w:webHidden/>
          </w:rPr>
        </w:r>
        <w:r w:rsidR="001F00C3">
          <w:rPr>
            <w:webHidden/>
          </w:rPr>
          <w:fldChar w:fldCharType="separate"/>
        </w:r>
        <w:r w:rsidR="00DA3617">
          <w:rPr>
            <w:webHidden/>
          </w:rPr>
          <w:t>35</w:t>
        </w:r>
        <w:r w:rsidR="001F00C3">
          <w:rPr>
            <w:webHidden/>
          </w:rPr>
          <w:fldChar w:fldCharType="end"/>
        </w:r>
      </w:hyperlink>
    </w:p>
    <w:p w:rsidR="001F00C3" w:rsidRDefault="0091777A">
      <w:pPr>
        <w:pStyle w:val="TOC1"/>
        <w:rPr>
          <w:rFonts w:asciiTheme="minorHAnsi" w:eastAsiaTheme="minorEastAsia" w:hAnsiTheme="minorHAnsi"/>
          <w:noProof/>
          <w:szCs w:val="22"/>
        </w:rPr>
      </w:pPr>
      <w:hyperlink w:anchor="_Toc56668380" w:history="1">
        <w:r w:rsidR="001F00C3" w:rsidRPr="00143CC9">
          <w:rPr>
            <w:rStyle w:val="Hyperlink"/>
            <w:noProof/>
          </w:rPr>
          <w:t>THE STATE</w:t>
        </w:r>
        <w:r w:rsidR="001F00C3">
          <w:rPr>
            <w:noProof/>
            <w:webHidden/>
          </w:rPr>
          <w:tab/>
        </w:r>
        <w:r w:rsidR="001F00C3">
          <w:rPr>
            <w:noProof/>
            <w:webHidden/>
          </w:rPr>
          <w:fldChar w:fldCharType="begin"/>
        </w:r>
        <w:r w:rsidR="001F00C3">
          <w:rPr>
            <w:noProof/>
            <w:webHidden/>
          </w:rPr>
          <w:instrText xml:space="preserve"> PAGEREF _Toc56668380 \h </w:instrText>
        </w:r>
        <w:r w:rsidR="001F00C3">
          <w:rPr>
            <w:noProof/>
            <w:webHidden/>
          </w:rPr>
        </w:r>
        <w:r w:rsidR="001F00C3">
          <w:rPr>
            <w:noProof/>
            <w:webHidden/>
          </w:rPr>
          <w:fldChar w:fldCharType="separate"/>
        </w:r>
        <w:r w:rsidR="00DA3617">
          <w:rPr>
            <w:noProof/>
            <w:webHidden/>
          </w:rPr>
          <w:t>35</w:t>
        </w:r>
        <w:r w:rsidR="001F00C3">
          <w:rPr>
            <w:noProof/>
            <w:webHidden/>
          </w:rPr>
          <w:fldChar w:fldCharType="end"/>
        </w:r>
      </w:hyperlink>
    </w:p>
    <w:p w:rsidR="001F00C3" w:rsidRDefault="0091777A">
      <w:pPr>
        <w:pStyle w:val="TOC2"/>
        <w:rPr>
          <w:rFonts w:asciiTheme="minorHAnsi" w:hAnsiTheme="minorHAnsi" w:cstheme="minorBidi"/>
          <w:szCs w:val="22"/>
        </w:rPr>
      </w:pPr>
      <w:hyperlink w:anchor="_Toc56668381" w:history="1">
        <w:r w:rsidR="001F00C3" w:rsidRPr="00143CC9">
          <w:rPr>
            <w:rStyle w:val="Hyperlink"/>
          </w:rPr>
          <w:t>General Profile</w:t>
        </w:r>
        <w:r w:rsidR="001F00C3">
          <w:rPr>
            <w:webHidden/>
          </w:rPr>
          <w:tab/>
        </w:r>
        <w:r w:rsidR="001F00C3">
          <w:rPr>
            <w:webHidden/>
          </w:rPr>
          <w:fldChar w:fldCharType="begin"/>
        </w:r>
        <w:r w:rsidR="001F00C3">
          <w:rPr>
            <w:webHidden/>
          </w:rPr>
          <w:instrText xml:space="preserve"> PAGEREF _Toc56668381 \h </w:instrText>
        </w:r>
        <w:r w:rsidR="001F00C3">
          <w:rPr>
            <w:webHidden/>
          </w:rPr>
        </w:r>
        <w:r w:rsidR="001F00C3">
          <w:rPr>
            <w:webHidden/>
          </w:rPr>
          <w:fldChar w:fldCharType="separate"/>
        </w:r>
        <w:r w:rsidR="00DA3617">
          <w:rPr>
            <w:webHidden/>
          </w:rPr>
          <w:t>35</w:t>
        </w:r>
        <w:r w:rsidR="001F00C3">
          <w:rPr>
            <w:webHidden/>
          </w:rPr>
          <w:fldChar w:fldCharType="end"/>
        </w:r>
      </w:hyperlink>
    </w:p>
    <w:p w:rsidR="001F00C3" w:rsidRDefault="0091777A">
      <w:pPr>
        <w:pStyle w:val="TOC2"/>
        <w:rPr>
          <w:rFonts w:asciiTheme="minorHAnsi" w:hAnsiTheme="minorHAnsi" w:cstheme="minorBidi"/>
          <w:szCs w:val="22"/>
        </w:rPr>
      </w:pPr>
      <w:hyperlink w:anchor="_Toc56668382" w:history="1">
        <w:r w:rsidR="001F00C3" w:rsidRPr="00143CC9">
          <w:rPr>
            <w:rStyle w:val="Hyperlink"/>
          </w:rPr>
          <w:t>Organization</w:t>
        </w:r>
        <w:r w:rsidR="001F00C3">
          <w:rPr>
            <w:webHidden/>
          </w:rPr>
          <w:tab/>
        </w:r>
        <w:r w:rsidR="001F00C3">
          <w:rPr>
            <w:webHidden/>
          </w:rPr>
          <w:fldChar w:fldCharType="begin"/>
        </w:r>
        <w:r w:rsidR="001F00C3">
          <w:rPr>
            <w:webHidden/>
          </w:rPr>
          <w:instrText xml:space="preserve"> PAGEREF _Toc56668382 \h </w:instrText>
        </w:r>
        <w:r w:rsidR="001F00C3">
          <w:rPr>
            <w:webHidden/>
          </w:rPr>
        </w:r>
        <w:r w:rsidR="001F00C3">
          <w:rPr>
            <w:webHidden/>
          </w:rPr>
          <w:fldChar w:fldCharType="separate"/>
        </w:r>
        <w:r w:rsidR="00DA3617">
          <w:rPr>
            <w:webHidden/>
          </w:rPr>
          <w:t>35</w:t>
        </w:r>
        <w:r w:rsidR="001F00C3">
          <w:rPr>
            <w:webHidden/>
          </w:rPr>
          <w:fldChar w:fldCharType="end"/>
        </w:r>
      </w:hyperlink>
    </w:p>
    <w:p w:rsidR="001F00C3" w:rsidRDefault="0091777A">
      <w:pPr>
        <w:pStyle w:val="TOC1"/>
        <w:rPr>
          <w:rFonts w:asciiTheme="minorHAnsi" w:eastAsiaTheme="minorEastAsia" w:hAnsiTheme="minorHAnsi"/>
          <w:noProof/>
          <w:szCs w:val="22"/>
        </w:rPr>
      </w:pPr>
      <w:hyperlink w:anchor="_Toc56668383" w:history="1">
        <w:r w:rsidR="001F00C3" w:rsidRPr="00143CC9">
          <w:rPr>
            <w:rStyle w:val="Hyperlink"/>
            <w:noProof/>
          </w:rPr>
          <w:t>STATE FINANCIAL INFORMATION</w:t>
        </w:r>
        <w:r w:rsidR="001F00C3">
          <w:rPr>
            <w:noProof/>
            <w:webHidden/>
          </w:rPr>
          <w:tab/>
        </w:r>
        <w:r w:rsidR="001F00C3">
          <w:rPr>
            <w:noProof/>
            <w:webHidden/>
          </w:rPr>
          <w:fldChar w:fldCharType="begin"/>
        </w:r>
        <w:r w:rsidR="001F00C3">
          <w:rPr>
            <w:noProof/>
            <w:webHidden/>
          </w:rPr>
          <w:instrText xml:space="preserve"> PAGEREF _Toc56668383 \h </w:instrText>
        </w:r>
        <w:r w:rsidR="001F00C3">
          <w:rPr>
            <w:noProof/>
            <w:webHidden/>
          </w:rPr>
        </w:r>
        <w:r w:rsidR="001F00C3">
          <w:rPr>
            <w:noProof/>
            <w:webHidden/>
          </w:rPr>
          <w:fldChar w:fldCharType="separate"/>
        </w:r>
        <w:r w:rsidR="00DA3617">
          <w:rPr>
            <w:noProof/>
            <w:webHidden/>
          </w:rPr>
          <w:t>36</w:t>
        </w:r>
        <w:r w:rsidR="001F00C3">
          <w:rPr>
            <w:noProof/>
            <w:webHidden/>
          </w:rPr>
          <w:fldChar w:fldCharType="end"/>
        </w:r>
      </w:hyperlink>
    </w:p>
    <w:p w:rsidR="001F00C3" w:rsidRDefault="0091777A">
      <w:pPr>
        <w:pStyle w:val="TOC2"/>
        <w:rPr>
          <w:rFonts w:asciiTheme="minorHAnsi" w:hAnsiTheme="minorHAnsi" w:cstheme="minorBidi"/>
          <w:szCs w:val="22"/>
        </w:rPr>
      </w:pPr>
      <w:hyperlink w:anchor="_Toc56668384" w:history="1">
        <w:r w:rsidR="001F00C3" w:rsidRPr="00143CC9">
          <w:rPr>
            <w:rStyle w:val="Hyperlink"/>
          </w:rPr>
          <w:t>The State Treasurer</w:t>
        </w:r>
        <w:r w:rsidR="001F00C3">
          <w:rPr>
            <w:webHidden/>
          </w:rPr>
          <w:tab/>
        </w:r>
        <w:r w:rsidR="001F00C3">
          <w:rPr>
            <w:webHidden/>
          </w:rPr>
          <w:fldChar w:fldCharType="begin"/>
        </w:r>
        <w:r w:rsidR="001F00C3">
          <w:rPr>
            <w:webHidden/>
          </w:rPr>
          <w:instrText xml:space="preserve"> PAGEREF _Toc56668384 \h </w:instrText>
        </w:r>
        <w:r w:rsidR="001F00C3">
          <w:rPr>
            <w:webHidden/>
          </w:rPr>
        </w:r>
        <w:r w:rsidR="001F00C3">
          <w:rPr>
            <w:webHidden/>
          </w:rPr>
          <w:fldChar w:fldCharType="separate"/>
        </w:r>
        <w:r w:rsidR="00DA3617">
          <w:rPr>
            <w:webHidden/>
          </w:rPr>
          <w:t>36</w:t>
        </w:r>
        <w:r w:rsidR="001F00C3">
          <w:rPr>
            <w:webHidden/>
          </w:rPr>
          <w:fldChar w:fldCharType="end"/>
        </w:r>
      </w:hyperlink>
    </w:p>
    <w:p w:rsidR="001F00C3" w:rsidRDefault="0091777A">
      <w:pPr>
        <w:pStyle w:val="TOC2"/>
        <w:rPr>
          <w:rFonts w:asciiTheme="minorHAnsi" w:hAnsiTheme="minorHAnsi" w:cstheme="minorBidi"/>
          <w:szCs w:val="22"/>
        </w:rPr>
      </w:pPr>
      <w:hyperlink w:anchor="_Toc56668385" w:history="1">
        <w:r w:rsidR="001F00C3" w:rsidRPr="00143CC9">
          <w:rPr>
            <w:rStyle w:val="Hyperlink"/>
          </w:rPr>
          <w:t>Taxpayer’s Bill of Rights</w:t>
        </w:r>
        <w:r w:rsidR="001F00C3">
          <w:rPr>
            <w:webHidden/>
          </w:rPr>
          <w:tab/>
        </w:r>
        <w:r w:rsidR="001F00C3">
          <w:rPr>
            <w:webHidden/>
          </w:rPr>
          <w:fldChar w:fldCharType="begin"/>
        </w:r>
        <w:r w:rsidR="001F00C3">
          <w:rPr>
            <w:webHidden/>
          </w:rPr>
          <w:instrText xml:space="preserve"> PAGEREF _Toc56668385 \h </w:instrText>
        </w:r>
        <w:r w:rsidR="001F00C3">
          <w:rPr>
            <w:webHidden/>
          </w:rPr>
        </w:r>
        <w:r w:rsidR="001F00C3">
          <w:rPr>
            <w:webHidden/>
          </w:rPr>
          <w:fldChar w:fldCharType="separate"/>
        </w:r>
        <w:r w:rsidR="00DA3617">
          <w:rPr>
            <w:webHidden/>
          </w:rPr>
          <w:t>36</w:t>
        </w:r>
        <w:r w:rsidR="001F00C3">
          <w:rPr>
            <w:webHidden/>
          </w:rPr>
          <w:fldChar w:fldCharType="end"/>
        </w:r>
      </w:hyperlink>
    </w:p>
    <w:p w:rsidR="001F00C3" w:rsidRDefault="0091777A">
      <w:pPr>
        <w:pStyle w:val="TOC2"/>
        <w:rPr>
          <w:rFonts w:asciiTheme="minorHAnsi" w:hAnsiTheme="minorHAnsi" w:cstheme="minorBidi"/>
          <w:szCs w:val="22"/>
        </w:rPr>
      </w:pPr>
      <w:hyperlink w:anchor="_Toc56668386" w:history="1">
        <w:r w:rsidR="001F00C3" w:rsidRPr="00143CC9">
          <w:rPr>
            <w:rStyle w:val="Hyperlink"/>
          </w:rPr>
          <w:t>State Funds</w:t>
        </w:r>
        <w:r w:rsidR="001F00C3">
          <w:rPr>
            <w:webHidden/>
          </w:rPr>
          <w:tab/>
        </w:r>
        <w:r w:rsidR="001F00C3">
          <w:rPr>
            <w:webHidden/>
          </w:rPr>
          <w:fldChar w:fldCharType="begin"/>
        </w:r>
        <w:r w:rsidR="001F00C3">
          <w:rPr>
            <w:webHidden/>
          </w:rPr>
          <w:instrText xml:space="preserve"> PAGEREF _Toc56668386 \h </w:instrText>
        </w:r>
        <w:r w:rsidR="001F00C3">
          <w:rPr>
            <w:webHidden/>
          </w:rPr>
        </w:r>
        <w:r w:rsidR="001F00C3">
          <w:rPr>
            <w:webHidden/>
          </w:rPr>
          <w:fldChar w:fldCharType="separate"/>
        </w:r>
        <w:r w:rsidR="00DA3617">
          <w:rPr>
            <w:webHidden/>
          </w:rPr>
          <w:t>39</w:t>
        </w:r>
        <w:r w:rsidR="001F00C3">
          <w:rPr>
            <w:webHidden/>
          </w:rPr>
          <w:fldChar w:fldCharType="end"/>
        </w:r>
      </w:hyperlink>
    </w:p>
    <w:p w:rsidR="001F00C3" w:rsidRDefault="0091777A">
      <w:pPr>
        <w:pStyle w:val="TOC2"/>
        <w:rPr>
          <w:rFonts w:asciiTheme="minorHAnsi" w:hAnsiTheme="minorHAnsi" w:cstheme="minorBidi"/>
          <w:szCs w:val="22"/>
        </w:rPr>
      </w:pPr>
      <w:hyperlink w:anchor="_Toc56668387" w:history="1">
        <w:r w:rsidR="001F00C3" w:rsidRPr="00143CC9">
          <w:rPr>
            <w:rStyle w:val="Hyperlink"/>
          </w:rPr>
          <w:t>Budget Process and Other Considerations</w:t>
        </w:r>
        <w:r w:rsidR="001F00C3">
          <w:rPr>
            <w:webHidden/>
          </w:rPr>
          <w:tab/>
        </w:r>
        <w:r w:rsidR="001F00C3">
          <w:rPr>
            <w:webHidden/>
          </w:rPr>
          <w:fldChar w:fldCharType="begin"/>
        </w:r>
        <w:r w:rsidR="001F00C3">
          <w:rPr>
            <w:webHidden/>
          </w:rPr>
          <w:instrText xml:space="preserve"> PAGEREF _Toc56668387 \h </w:instrText>
        </w:r>
        <w:r w:rsidR="001F00C3">
          <w:rPr>
            <w:webHidden/>
          </w:rPr>
        </w:r>
        <w:r w:rsidR="001F00C3">
          <w:rPr>
            <w:webHidden/>
          </w:rPr>
          <w:fldChar w:fldCharType="separate"/>
        </w:r>
        <w:r w:rsidR="00DA3617">
          <w:rPr>
            <w:webHidden/>
          </w:rPr>
          <w:t>39</w:t>
        </w:r>
        <w:r w:rsidR="001F00C3">
          <w:rPr>
            <w:webHidden/>
          </w:rPr>
          <w:fldChar w:fldCharType="end"/>
        </w:r>
      </w:hyperlink>
    </w:p>
    <w:p w:rsidR="001F00C3" w:rsidRDefault="0091777A">
      <w:pPr>
        <w:pStyle w:val="TOC2"/>
        <w:rPr>
          <w:rFonts w:asciiTheme="minorHAnsi" w:hAnsiTheme="minorHAnsi" w:cstheme="minorBidi"/>
          <w:szCs w:val="22"/>
        </w:rPr>
      </w:pPr>
      <w:hyperlink w:anchor="_Toc56668388" w:history="1">
        <w:r w:rsidR="001F00C3" w:rsidRPr="00143CC9">
          <w:rPr>
            <w:rStyle w:val="Hyperlink"/>
          </w:rPr>
          <w:t>Fiscal Controls and Financial Reporting</w:t>
        </w:r>
        <w:r w:rsidR="001F00C3">
          <w:rPr>
            <w:webHidden/>
          </w:rPr>
          <w:tab/>
        </w:r>
        <w:r w:rsidR="001F00C3">
          <w:rPr>
            <w:webHidden/>
          </w:rPr>
          <w:fldChar w:fldCharType="begin"/>
        </w:r>
        <w:r w:rsidR="001F00C3">
          <w:rPr>
            <w:webHidden/>
          </w:rPr>
          <w:instrText xml:space="preserve"> PAGEREF _Toc56668388 \h </w:instrText>
        </w:r>
        <w:r w:rsidR="001F00C3">
          <w:rPr>
            <w:webHidden/>
          </w:rPr>
        </w:r>
        <w:r w:rsidR="001F00C3">
          <w:rPr>
            <w:webHidden/>
          </w:rPr>
          <w:fldChar w:fldCharType="separate"/>
        </w:r>
        <w:r w:rsidR="00DA3617">
          <w:rPr>
            <w:webHidden/>
          </w:rPr>
          <w:t>41</w:t>
        </w:r>
        <w:r w:rsidR="001F00C3">
          <w:rPr>
            <w:webHidden/>
          </w:rPr>
          <w:fldChar w:fldCharType="end"/>
        </w:r>
      </w:hyperlink>
    </w:p>
    <w:p w:rsidR="001F00C3" w:rsidRDefault="0091777A">
      <w:pPr>
        <w:pStyle w:val="TOC2"/>
        <w:rPr>
          <w:rFonts w:asciiTheme="minorHAnsi" w:hAnsiTheme="minorHAnsi" w:cstheme="minorBidi"/>
          <w:szCs w:val="22"/>
        </w:rPr>
      </w:pPr>
      <w:hyperlink w:anchor="_Toc56668389" w:history="1">
        <w:r w:rsidR="001F00C3" w:rsidRPr="00143CC9">
          <w:rPr>
            <w:rStyle w:val="Hyperlink"/>
          </w:rPr>
          <w:t>Basis of Accounting</w:t>
        </w:r>
        <w:r w:rsidR="001F00C3">
          <w:rPr>
            <w:webHidden/>
          </w:rPr>
          <w:tab/>
        </w:r>
        <w:r w:rsidR="001F00C3">
          <w:rPr>
            <w:webHidden/>
          </w:rPr>
          <w:fldChar w:fldCharType="begin"/>
        </w:r>
        <w:r w:rsidR="001F00C3">
          <w:rPr>
            <w:webHidden/>
          </w:rPr>
          <w:instrText xml:space="preserve"> PAGEREF _Toc56668389 \h </w:instrText>
        </w:r>
        <w:r w:rsidR="001F00C3">
          <w:rPr>
            <w:webHidden/>
          </w:rPr>
        </w:r>
        <w:r w:rsidR="001F00C3">
          <w:rPr>
            <w:webHidden/>
          </w:rPr>
          <w:fldChar w:fldCharType="separate"/>
        </w:r>
        <w:r w:rsidR="00DA3617">
          <w:rPr>
            <w:webHidden/>
          </w:rPr>
          <w:t>41</w:t>
        </w:r>
        <w:r w:rsidR="001F00C3">
          <w:rPr>
            <w:webHidden/>
          </w:rPr>
          <w:fldChar w:fldCharType="end"/>
        </w:r>
      </w:hyperlink>
    </w:p>
    <w:p w:rsidR="001F00C3" w:rsidRDefault="0091777A">
      <w:pPr>
        <w:pStyle w:val="TOC2"/>
        <w:rPr>
          <w:rFonts w:asciiTheme="minorHAnsi" w:hAnsiTheme="minorHAnsi" w:cstheme="minorBidi"/>
          <w:szCs w:val="22"/>
        </w:rPr>
      </w:pPr>
      <w:hyperlink w:anchor="_Toc56668390" w:history="1">
        <w:r w:rsidR="001F00C3" w:rsidRPr="00143CC9">
          <w:rPr>
            <w:rStyle w:val="Hyperlink"/>
          </w:rPr>
          <w:t>Basis of Presentation of Financial Results and Estimates</w:t>
        </w:r>
        <w:r w:rsidR="001F00C3">
          <w:rPr>
            <w:webHidden/>
          </w:rPr>
          <w:tab/>
        </w:r>
        <w:r w:rsidR="001F00C3">
          <w:rPr>
            <w:webHidden/>
          </w:rPr>
          <w:fldChar w:fldCharType="begin"/>
        </w:r>
        <w:r w:rsidR="001F00C3">
          <w:rPr>
            <w:webHidden/>
          </w:rPr>
          <w:instrText xml:space="preserve"> PAGEREF _Toc56668390 \h </w:instrText>
        </w:r>
        <w:r w:rsidR="001F00C3">
          <w:rPr>
            <w:webHidden/>
          </w:rPr>
        </w:r>
        <w:r w:rsidR="001F00C3">
          <w:rPr>
            <w:webHidden/>
          </w:rPr>
          <w:fldChar w:fldCharType="separate"/>
        </w:r>
        <w:r w:rsidR="00DA3617">
          <w:rPr>
            <w:webHidden/>
          </w:rPr>
          <w:t>41</w:t>
        </w:r>
        <w:r w:rsidR="001F00C3">
          <w:rPr>
            <w:webHidden/>
          </w:rPr>
          <w:fldChar w:fldCharType="end"/>
        </w:r>
      </w:hyperlink>
    </w:p>
    <w:p w:rsidR="001F00C3" w:rsidRDefault="0091777A">
      <w:pPr>
        <w:pStyle w:val="TOC2"/>
        <w:rPr>
          <w:rFonts w:asciiTheme="minorHAnsi" w:hAnsiTheme="minorHAnsi" w:cstheme="minorBidi"/>
          <w:szCs w:val="22"/>
        </w:rPr>
      </w:pPr>
      <w:hyperlink w:anchor="_Toc56668391" w:history="1">
        <w:r w:rsidR="001F00C3" w:rsidRPr="00143CC9">
          <w:rPr>
            <w:rStyle w:val="Hyperlink"/>
          </w:rPr>
          <w:t>Financial Audits</w:t>
        </w:r>
        <w:r w:rsidR="001F00C3">
          <w:rPr>
            <w:webHidden/>
          </w:rPr>
          <w:tab/>
        </w:r>
        <w:r w:rsidR="001F00C3">
          <w:rPr>
            <w:webHidden/>
          </w:rPr>
          <w:fldChar w:fldCharType="begin"/>
        </w:r>
        <w:r w:rsidR="001F00C3">
          <w:rPr>
            <w:webHidden/>
          </w:rPr>
          <w:instrText xml:space="preserve"> PAGEREF _Toc56668391 \h </w:instrText>
        </w:r>
        <w:r w:rsidR="001F00C3">
          <w:rPr>
            <w:webHidden/>
          </w:rPr>
        </w:r>
        <w:r w:rsidR="001F00C3">
          <w:rPr>
            <w:webHidden/>
          </w:rPr>
          <w:fldChar w:fldCharType="separate"/>
        </w:r>
        <w:r w:rsidR="00DA3617">
          <w:rPr>
            <w:webHidden/>
          </w:rPr>
          <w:t>42</w:t>
        </w:r>
        <w:r w:rsidR="001F00C3">
          <w:rPr>
            <w:webHidden/>
          </w:rPr>
          <w:fldChar w:fldCharType="end"/>
        </w:r>
      </w:hyperlink>
    </w:p>
    <w:p w:rsidR="001F00C3" w:rsidRDefault="0091777A">
      <w:pPr>
        <w:pStyle w:val="TOC2"/>
        <w:rPr>
          <w:rFonts w:asciiTheme="minorHAnsi" w:hAnsiTheme="minorHAnsi" w:cstheme="minorBidi"/>
          <w:szCs w:val="22"/>
        </w:rPr>
      </w:pPr>
      <w:hyperlink w:anchor="_Toc56668392" w:history="1">
        <w:r w:rsidR="001F00C3" w:rsidRPr="00143CC9">
          <w:rPr>
            <w:rStyle w:val="Hyperlink"/>
          </w:rPr>
          <w:t>Investment and Deposit of State Funds</w:t>
        </w:r>
        <w:r w:rsidR="001F00C3">
          <w:rPr>
            <w:webHidden/>
          </w:rPr>
          <w:tab/>
        </w:r>
        <w:r w:rsidR="001F00C3">
          <w:rPr>
            <w:webHidden/>
          </w:rPr>
          <w:fldChar w:fldCharType="begin"/>
        </w:r>
        <w:r w:rsidR="001F00C3">
          <w:rPr>
            <w:webHidden/>
          </w:rPr>
          <w:instrText xml:space="preserve"> PAGEREF _Toc56668392 \h </w:instrText>
        </w:r>
        <w:r w:rsidR="001F00C3">
          <w:rPr>
            <w:webHidden/>
          </w:rPr>
        </w:r>
        <w:r w:rsidR="001F00C3">
          <w:rPr>
            <w:webHidden/>
          </w:rPr>
          <w:fldChar w:fldCharType="separate"/>
        </w:r>
        <w:r w:rsidR="00DA3617">
          <w:rPr>
            <w:webHidden/>
          </w:rPr>
          <w:t>42</w:t>
        </w:r>
        <w:r w:rsidR="001F00C3">
          <w:rPr>
            <w:webHidden/>
          </w:rPr>
          <w:fldChar w:fldCharType="end"/>
        </w:r>
      </w:hyperlink>
    </w:p>
    <w:p w:rsidR="001F00C3" w:rsidRDefault="0091777A">
      <w:pPr>
        <w:pStyle w:val="TOC2"/>
        <w:rPr>
          <w:rFonts w:asciiTheme="minorHAnsi" w:hAnsiTheme="minorHAnsi" w:cstheme="minorBidi"/>
          <w:szCs w:val="22"/>
        </w:rPr>
      </w:pPr>
      <w:hyperlink w:anchor="_Toc56668393" w:history="1">
        <w:r w:rsidR="001F00C3" w:rsidRPr="00143CC9">
          <w:rPr>
            <w:rStyle w:val="Hyperlink"/>
          </w:rPr>
          <w:t>The State General Fund</w:t>
        </w:r>
        <w:r w:rsidR="001F00C3">
          <w:rPr>
            <w:webHidden/>
          </w:rPr>
          <w:tab/>
        </w:r>
        <w:r w:rsidR="001F00C3">
          <w:rPr>
            <w:webHidden/>
          </w:rPr>
          <w:fldChar w:fldCharType="begin"/>
        </w:r>
        <w:r w:rsidR="001F00C3">
          <w:rPr>
            <w:webHidden/>
          </w:rPr>
          <w:instrText xml:space="preserve"> PAGEREF _Toc56668393 \h </w:instrText>
        </w:r>
        <w:r w:rsidR="001F00C3">
          <w:rPr>
            <w:webHidden/>
          </w:rPr>
        </w:r>
        <w:r w:rsidR="001F00C3">
          <w:rPr>
            <w:webHidden/>
          </w:rPr>
          <w:fldChar w:fldCharType="separate"/>
        </w:r>
        <w:r w:rsidR="00DA3617">
          <w:rPr>
            <w:webHidden/>
          </w:rPr>
          <w:t>43</w:t>
        </w:r>
        <w:r w:rsidR="001F00C3">
          <w:rPr>
            <w:webHidden/>
          </w:rPr>
          <w:fldChar w:fldCharType="end"/>
        </w:r>
      </w:hyperlink>
    </w:p>
    <w:p w:rsidR="001F00C3" w:rsidRDefault="0091777A">
      <w:pPr>
        <w:pStyle w:val="TOC1"/>
        <w:rPr>
          <w:rFonts w:asciiTheme="minorHAnsi" w:eastAsiaTheme="minorEastAsia" w:hAnsiTheme="minorHAnsi"/>
          <w:noProof/>
          <w:szCs w:val="22"/>
        </w:rPr>
      </w:pPr>
      <w:hyperlink w:anchor="_Toc56668394" w:history="1">
        <w:r w:rsidR="001F00C3" w:rsidRPr="00143CC9">
          <w:rPr>
            <w:rStyle w:val="Hyperlink"/>
            <w:noProof/>
          </w:rPr>
          <w:t>DEBT AND CERTAIN OTHER FINANCIAL OBLIGATIONS</w:t>
        </w:r>
        <w:r w:rsidR="001F00C3">
          <w:rPr>
            <w:noProof/>
            <w:webHidden/>
          </w:rPr>
          <w:tab/>
        </w:r>
        <w:r w:rsidR="001F00C3">
          <w:rPr>
            <w:noProof/>
            <w:webHidden/>
          </w:rPr>
          <w:fldChar w:fldCharType="begin"/>
        </w:r>
        <w:r w:rsidR="001F00C3">
          <w:rPr>
            <w:noProof/>
            <w:webHidden/>
          </w:rPr>
          <w:instrText xml:space="preserve"> PAGEREF _Toc56668394 \h </w:instrText>
        </w:r>
        <w:r w:rsidR="001F00C3">
          <w:rPr>
            <w:noProof/>
            <w:webHidden/>
          </w:rPr>
        </w:r>
        <w:r w:rsidR="001F00C3">
          <w:rPr>
            <w:noProof/>
            <w:webHidden/>
          </w:rPr>
          <w:fldChar w:fldCharType="separate"/>
        </w:r>
        <w:r w:rsidR="00DA3617">
          <w:rPr>
            <w:noProof/>
            <w:webHidden/>
          </w:rPr>
          <w:t>43</w:t>
        </w:r>
        <w:r w:rsidR="001F00C3">
          <w:rPr>
            <w:noProof/>
            <w:webHidden/>
          </w:rPr>
          <w:fldChar w:fldCharType="end"/>
        </w:r>
      </w:hyperlink>
    </w:p>
    <w:p w:rsidR="001F00C3" w:rsidRDefault="0091777A">
      <w:pPr>
        <w:pStyle w:val="TOC2"/>
        <w:rPr>
          <w:rFonts w:asciiTheme="minorHAnsi" w:hAnsiTheme="minorHAnsi" w:cstheme="minorBidi"/>
          <w:szCs w:val="22"/>
        </w:rPr>
      </w:pPr>
      <w:hyperlink w:anchor="_Toc56668395" w:history="1">
        <w:r w:rsidR="001F00C3" w:rsidRPr="00143CC9">
          <w:rPr>
            <w:rStyle w:val="Hyperlink"/>
          </w:rPr>
          <w:t>The State, State Departments and Agencies</w:t>
        </w:r>
        <w:r w:rsidR="001F00C3">
          <w:rPr>
            <w:webHidden/>
          </w:rPr>
          <w:tab/>
        </w:r>
        <w:r w:rsidR="001F00C3">
          <w:rPr>
            <w:webHidden/>
          </w:rPr>
          <w:fldChar w:fldCharType="begin"/>
        </w:r>
        <w:r w:rsidR="001F00C3">
          <w:rPr>
            <w:webHidden/>
          </w:rPr>
          <w:instrText xml:space="preserve"> PAGEREF _Toc56668395 \h </w:instrText>
        </w:r>
        <w:r w:rsidR="001F00C3">
          <w:rPr>
            <w:webHidden/>
          </w:rPr>
        </w:r>
        <w:r w:rsidR="001F00C3">
          <w:rPr>
            <w:webHidden/>
          </w:rPr>
          <w:fldChar w:fldCharType="separate"/>
        </w:r>
        <w:r w:rsidR="00DA3617">
          <w:rPr>
            <w:webHidden/>
          </w:rPr>
          <w:t>43</w:t>
        </w:r>
        <w:r w:rsidR="001F00C3">
          <w:rPr>
            <w:webHidden/>
          </w:rPr>
          <w:fldChar w:fldCharType="end"/>
        </w:r>
      </w:hyperlink>
    </w:p>
    <w:p w:rsidR="001F00C3" w:rsidRDefault="0091777A">
      <w:pPr>
        <w:pStyle w:val="TOC2"/>
        <w:rPr>
          <w:rFonts w:asciiTheme="minorHAnsi" w:hAnsiTheme="minorHAnsi" w:cstheme="minorBidi"/>
          <w:szCs w:val="22"/>
        </w:rPr>
      </w:pPr>
      <w:hyperlink w:anchor="_Toc56668396" w:history="1">
        <w:r w:rsidR="001F00C3" w:rsidRPr="00143CC9">
          <w:rPr>
            <w:rStyle w:val="Hyperlink"/>
          </w:rPr>
          <w:t>State Tax and Revenue Anticipation Notes</w:t>
        </w:r>
        <w:r w:rsidR="001F00C3">
          <w:rPr>
            <w:webHidden/>
          </w:rPr>
          <w:tab/>
        </w:r>
        <w:r w:rsidR="001F00C3">
          <w:rPr>
            <w:webHidden/>
          </w:rPr>
          <w:fldChar w:fldCharType="begin"/>
        </w:r>
        <w:r w:rsidR="001F00C3">
          <w:rPr>
            <w:webHidden/>
          </w:rPr>
          <w:instrText xml:space="preserve"> PAGEREF _Toc56668396 \h </w:instrText>
        </w:r>
        <w:r w:rsidR="001F00C3">
          <w:rPr>
            <w:webHidden/>
          </w:rPr>
        </w:r>
        <w:r w:rsidR="001F00C3">
          <w:rPr>
            <w:webHidden/>
          </w:rPr>
          <w:fldChar w:fldCharType="separate"/>
        </w:r>
        <w:r w:rsidR="00DA3617">
          <w:rPr>
            <w:webHidden/>
          </w:rPr>
          <w:t>44</w:t>
        </w:r>
        <w:r w:rsidR="001F00C3">
          <w:rPr>
            <w:webHidden/>
          </w:rPr>
          <w:fldChar w:fldCharType="end"/>
        </w:r>
      </w:hyperlink>
    </w:p>
    <w:p w:rsidR="001F00C3" w:rsidRDefault="0091777A">
      <w:pPr>
        <w:pStyle w:val="TOC2"/>
        <w:rPr>
          <w:rFonts w:asciiTheme="minorHAnsi" w:hAnsiTheme="minorHAnsi" w:cstheme="minorBidi"/>
          <w:szCs w:val="22"/>
        </w:rPr>
      </w:pPr>
      <w:hyperlink w:anchor="_Toc56668397" w:history="1">
        <w:r w:rsidR="001F00C3" w:rsidRPr="00143CC9">
          <w:rPr>
            <w:rStyle w:val="Hyperlink"/>
          </w:rPr>
          <w:t>State Authorities</w:t>
        </w:r>
        <w:r w:rsidR="001F00C3">
          <w:rPr>
            <w:webHidden/>
          </w:rPr>
          <w:tab/>
        </w:r>
        <w:r w:rsidR="001F00C3">
          <w:rPr>
            <w:webHidden/>
          </w:rPr>
          <w:fldChar w:fldCharType="begin"/>
        </w:r>
        <w:r w:rsidR="001F00C3">
          <w:rPr>
            <w:webHidden/>
          </w:rPr>
          <w:instrText xml:space="preserve"> PAGEREF _Toc56668397 \h </w:instrText>
        </w:r>
        <w:r w:rsidR="001F00C3">
          <w:rPr>
            <w:webHidden/>
          </w:rPr>
        </w:r>
        <w:r w:rsidR="001F00C3">
          <w:rPr>
            <w:webHidden/>
          </w:rPr>
          <w:fldChar w:fldCharType="separate"/>
        </w:r>
        <w:r w:rsidR="00DA3617">
          <w:rPr>
            <w:webHidden/>
          </w:rPr>
          <w:t>44</w:t>
        </w:r>
        <w:r w:rsidR="001F00C3">
          <w:rPr>
            <w:webHidden/>
          </w:rPr>
          <w:fldChar w:fldCharType="end"/>
        </w:r>
      </w:hyperlink>
    </w:p>
    <w:p w:rsidR="001F00C3" w:rsidRDefault="0091777A">
      <w:pPr>
        <w:pStyle w:val="TOC2"/>
        <w:rPr>
          <w:rFonts w:asciiTheme="minorHAnsi" w:hAnsiTheme="minorHAnsi" w:cstheme="minorBidi"/>
          <w:szCs w:val="22"/>
        </w:rPr>
      </w:pPr>
      <w:hyperlink w:anchor="_Toc56668398" w:history="1">
        <w:r w:rsidR="001F00C3" w:rsidRPr="00143CC9">
          <w:rPr>
            <w:rStyle w:val="Hyperlink"/>
          </w:rPr>
          <w:t>Pension and Post-Employment Benefits</w:t>
        </w:r>
        <w:r w:rsidR="001F00C3">
          <w:rPr>
            <w:webHidden/>
          </w:rPr>
          <w:tab/>
        </w:r>
        <w:r w:rsidR="001F00C3">
          <w:rPr>
            <w:webHidden/>
          </w:rPr>
          <w:fldChar w:fldCharType="begin"/>
        </w:r>
        <w:r w:rsidR="001F00C3">
          <w:rPr>
            <w:webHidden/>
          </w:rPr>
          <w:instrText xml:space="preserve"> PAGEREF _Toc56668398 \h </w:instrText>
        </w:r>
        <w:r w:rsidR="001F00C3">
          <w:rPr>
            <w:webHidden/>
          </w:rPr>
        </w:r>
        <w:r w:rsidR="001F00C3">
          <w:rPr>
            <w:webHidden/>
          </w:rPr>
          <w:fldChar w:fldCharType="separate"/>
        </w:r>
        <w:r w:rsidR="00DA3617">
          <w:rPr>
            <w:webHidden/>
          </w:rPr>
          <w:t>45</w:t>
        </w:r>
        <w:r w:rsidR="001F00C3">
          <w:rPr>
            <w:webHidden/>
          </w:rPr>
          <w:fldChar w:fldCharType="end"/>
        </w:r>
      </w:hyperlink>
    </w:p>
    <w:p w:rsidR="001F00C3" w:rsidRDefault="0091777A">
      <w:pPr>
        <w:pStyle w:val="TOC1"/>
        <w:rPr>
          <w:rFonts w:asciiTheme="minorHAnsi" w:eastAsiaTheme="minorEastAsia" w:hAnsiTheme="minorHAnsi"/>
          <w:noProof/>
          <w:szCs w:val="22"/>
        </w:rPr>
      </w:pPr>
      <w:hyperlink w:anchor="_Toc56668399" w:history="1">
        <w:r w:rsidR="001F00C3" w:rsidRPr="00143CC9">
          <w:rPr>
            <w:rStyle w:val="Hyperlink"/>
            <w:noProof/>
          </w:rPr>
          <w:t>LITIGATION, GOVERNMENTAL IMMUNITY AND SELF INSURANCE</w:t>
        </w:r>
        <w:r w:rsidR="001F00C3">
          <w:rPr>
            <w:noProof/>
            <w:webHidden/>
          </w:rPr>
          <w:tab/>
        </w:r>
        <w:r w:rsidR="001F00C3">
          <w:rPr>
            <w:noProof/>
            <w:webHidden/>
          </w:rPr>
          <w:fldChar w:fldCharType="begin"/>
        </w:r>
        <w:r w:rsidR="001F00C3">
          <w:rPr>
            <w:noProof/>
            <w:webHidden/>
          </w:rPr>
          <w:instrText xml:space="preserve"> PAGEREF _Toc56668399 \h </w:instrText>
        </w:r>
        <w:r w:rsidR="001F00C3">
          <w:rPr>
            <w:noProof/>
            <w:webHidden/>
          </w:rPr>
        </w:r>
        <w:r w:rsidR="001F00C3">
          <w:rPr>
            <w:noProof/>
            <w:webHidden/>
          </w:rPr>
          <w:fldChar w:fldCharType="separate"/>
        </w:r>
        <w:r w:rsidR="00DA3617">
          <w:rPr>
            <w:noProof/>
            <w:webHidden/>
          </w:rPr>
          <w:t>47</w:t>
        </w:r>
        <w:r w:rsidR="001F00C3">
          <w:rPr>
            <w:noProof/>
            <w:webHidden/>
          </w:rPr>
          <w:fldChar w:fldCharType="end"/>
        </w:r>
      </w:hyperlink>
    </w:p>
    <w:p w:rsidR="001F00C3" w:rsidRDefault="0091777A">
      <w:pPr>
        <w:pStyle w:val="TOC2"/>
        <w:rPr>
          <w:rFonts w:asciiTheme="minorHAnsi" w:hAnsiTheme="minorHAnsi" w:cstheme="minorBidi"/>
          <w:szCs w:val="22"/>
        </w:rPr>
      </w:pPr>
      <w:hyperlink w:anchor="_Toc56668400" w:history="1">
        <w:r w:rsidR="001F00C3" w:rsidRPr="00143CC9">
          <w:rPr>
            <w:rStyle w:val="Hyperlink"/>
          </w:rPr>
          <w:t>No Litigation Affecting the Series 2020R Certificates</w:t>
        </w:r>
        <w:r w:rsidR="001F00C3">
          <w:rPr>
            <w:webHidden/>
          </w:rPr>
          <w:tab/>
        </w:r>
        <w:r w:rsidR="001F00C3">
          <w:rPr>
            <w:webHidden/>
          </w:rPr>
          <w:fldChar w:fldCharType="begin"/>
        </w:r>
        <w:r w:rsidR="001F00C3">
          <w:rPr>
            <w:webHidden/>
          </w:rPr>
          <w:instrText xml:space="preserve"> PAGEREF _Toc56668400 \h </w:instrText>
        </w:r>
        <w:r w:rsidR="001F00C3">
          <w:rPr>
            <w:webHidden/>
          </w:rPr>
        </w:r>
        <w:r w:rsidR="001F00C3">
          <w:rPr>
            <w:webHidden/>
          </w:rPr>
          <w:fldChar w:fldCharType="separate"/>
        </w:r>
        <w:r w:rsidR="00DA3617">
          <w:rPr>
            <w:webHidden/>
          </w:rPr>
          <w:t>47</w:t>
        </w:r>
        <w:r w:rsidR="001F00C3">
          <w:rPr>
            <w:webHidden/>
          </w:rPr>
          <w:fldChar w:fldCharType="end"/>
        </w:r>
      </w:hyperlink>
    </w:p>
    <w:p w:rsidR="001F00C3" w:rsidRDefault="0091777A">
      <w:pPr>
        <w:pStyle w:val="TOC2"/>
        <w:rPr>
          <w:rFonts w:asciiTheme="minorHAnsi" w:hAnsiTheme="minorHAnsi" w:cstheme="minorBidi"/>
          <w:szCs w:val="22"/>
        </w:rPr>
      </w:pPr>
      <w:hyperlink w:anchor="_Toc56668401" w:history="1">
        <w:r w:rsidR="001F00C3" w:rsidRPr="00143CC9">
          <w:rPr>
            <w:rStyle w:val="Hyperlink"/>
          </w:rPr>
          <w:t>Governmental Immunity</w:t>
        </w:r>
        <w:r w:rsidR="001F00C3">
          <w:rPr>
            <w:webHidden/>
          </w:rPr>
          <w:tab/>
        </w:r>
        <w:r w:rsidR="001F00C3">
          <w:rPr>
            <w:webHidden/>
          </w:rPr>
          <w:fldChar w:fldCharType="begin"/>
        </w:r>
        <w:r w:rsidR="001F00C3">
          <w:rPr>
            <w:webHidden/>
          </w:rPr>
          <w:instrText xml:space="preserve"> PAGEREF _Toc56668401 \h </w:instrText>
        </w:r>
        <w:r w:rsidR="001F00C3">
          <w:rPr>
            <w:webHidden/>
          </w:rPr>
        </w:r>
        <w:r w:rsidR="001F00C3">
          <w:rPr>
            <w:webHidden/>
          </w:rPr>
          <w:fldChar w:fldCharType="separate"/>
        </w:r>
        <w:r w:rsidR="00DA3617">
          <w:rPr>
            <w:webHidden/>
          </w:rPr>
          <w:t>47</w:t>
        </w:r>
        <w:r w:rsidR="001F00C3">
          <w:rPr>
            <w:webHidden/>
          </w:rPr>
          <w:fldChar w:fldCharType="end"/>
        </w:r>
      </w:hyperlink>
    </w:p>
    <w:p w:rsidR="001F00C3" w:rsidRDefault="0091777A">
      <w:pPr>
        <w:pStyle w:val="TOC2"/>
        <w:rPr>
          <w:rFonts w:asciiTheme="minorHAnsi" w:hAnsiTheme="minorHAnsi" w:cstheme="minorBidi"/>
          <w:szCs w:val="22"/>
        </w:rPr>
      </w:pPr>
      <w:hyperlink w:anchor="_Toc56668402" w:history="1">
        <w:r w:rsidR="001F00C3" w:rsidRPr="00143CC9">
          <w:rPr>
            <w:rStyle w:val="Hyperlink"/>
          </w:rPr>
          <w:t>Self-Insurance</w:t>
        </w:r>
        <w:r w:rsidR="001F00C3">
          <w:rPr>
            <w:webHidden/>
          </w:rPr>
          <w:tab/>
        </w:r>
        <w:r w:rsidR="001F00C3">
          <w:rPr>
            <w:webHidden/>
          </w:rPr>
          <w:fldChar w:fldCharType="begin"/>
        </w:r>
        <w:r w:rsidR="001F00C3">
          <w:rPr>
            <w:webHidden/>
          </w:rPr>
          <w:instrText xml:space="preserve"> PAGEREF _Toc56668402 \h </w:instrText>
        </w:r>
        <w:r w:rsidR="001F00C3">
          <w:rPr>
            <w:webHidden/>
          </w:rPr>
        </w:r>
        <w:r w:rsidR="001F00C3">
          <w:rPr>
            <w:webHidden/>
          </w:rPr>
          <w:fldChar w:fldCharType="separate"/>
        </w:r>
        <w:r w:rsidR="00DA3617">
          <w:rPr>
            <w:webHidden/>
          </w:rPr>
          <w:t>48</w:t>
        </w:r>
        <w:r w:rsidR="001F00C3">
          <w:rPr>
            <w:webHidden/>
          </w:rPr>
          <w:fldChar w:fldCharType="end"/>
        </w:r>
      </w:hyperlink>
    </w:p>
    <w:p w:rsidR="001F00C3" w:rsidRDefault="0091777A">
      <w:pPr>
        <w:pStyle w:val="TOC1"/>
        <w:rPr>
          <w:rFonts w:asciiTheme="minorHAnsi" w:eastAsiaTheme="minorEastAsia" w:hAnsiTheme="minorHAnsi"/>
          <w:noProof/>
          <w:szCs w:val="22"/>
        </w:rPr>
      </w:pPr>
      <w:hyperlink w:anchor="_Toc56668403" w:history="1">
        <w:r w:rsidR="001F00C3" w:rsidRPr="00143CC9">
          <w:rPr>
            <w:rStyle w:val="Hyperlink"/>
            <w:noProof/>
          </w:rPr>
          <w:t>LEGAL MATTERS</w:t>
        </w:r>
        <w:r w:rsidR="001F00C3">
          <w:rPr>
            <w:noProof/>
            <w:webHidden/>
          </w:rPr>
          <w:tab/>
        </w:r>
        <w:r w:rsidR="001F00C3">
          <w:rPr>
            <w:noProof/>
            <w:webHidden/>
          </w:rPr>
          <w:fldChar w:fldCharType="begin"/>
        </w:r>
        <w:r w:rsidR="001F00C3">
          <w:rPr>
            <w:noProof/>
            <w:webHidden/>
          </w:rPr>
          <w:instrText xml:space="preserve"> PAGEREF _Toc56668403 \h </w:instrText>
        </w:r>
        <w:r w:rsidR="001F00C3">
          <w:rPr>
            <w:noProof/>
            <w:webHidden/>
          </w:rPr>
        </w:r>
        <w:r w:rsidR="001F00C3">
          <w:rPr>
            <w:noProof/>
            <w:webHidden/>
          </w:rPr>
          <w:fldChar w:fldCharType="separate"/>
        </w:r>
        <w:r w:rsidR="00DA3617">
          <w:rPr>
            <w:noProof/>
            <w:webHidden/>
          </w:rPr>
          <w:t>48</w:t>
        </w:r>
        <w:r w:rsidR="001F00C3">
          <w:rPr>
            <w:noProof/>
            <w:webHidden/>
          </w:rPr>
          <w:fldChar w:fldCharType="end"/>
        </w:r>
      </w:hyperlink>
    </w:p>
    <w:p w:rsidR="001F00C3" w:rsidRDefault="0091777A">
      <w:pPr>
        <w:pStyle w:val="TOC1"/>
        <w:rPr>
          <w:rFonts w:asciiTheme="minorHAnsi" w:eastAsiaTheme="minorEastAsia" w:hAnsiTheme="minorHAnsi"/>
          <w:noProof/>
          <w:szCs w:val="22"/>
        </w:rPr>
      </w:pPr>
      <w:hyperlink w:anchor="_Toc56668404" w:history="1">
        <w:r w:rsidR="001F00C3" w:rsidRPr="00143CC9">
          <w:rPr>
            <w:rStyle w:val="Hyperlink"/>
            <w:noProof/>
          </w:rPr>
          <w:t>TAX MATTERS</w:t>
        </w:r>
        <w:r w:rsidR="001F00C3">
          <w:rPr>
            <w:noProof/>
            <w:webHidden/>
          </w:rPr>
          <w:tab/>
        </w:r>
        <w:r w:rsidR="001F00C3">
          <w:rPr>
            <w:noProof/>
            <w:webHidden/>
          </w:rPr>
          <w:fldChar w:fldCharType="begin"/>
        </w:r>
        <w:r w:rsidR="001F00C3">
          <w:rPr>
            <w:noProof/>
            <w:webHidden/>
          </w:rPr>
          <w:instrText xml:space="preserve"> PAGEREF _Toc56668404 \h </w:instrText>
        </w:r>
        <w:r w:rsidR="001F00C3">
          <w:rPr>
            <w:noProof/>
            <w:webHidden/>
          </w:rPr>
        </w:r>
        <w:r w:rsidR="001F00C3">
          <w:rPr>
            <w:noProof/>
            <w:webHidden/>
          </w:rPr>
          <w:fldChar w:fldCharType="separate"/>
        </w:r>
        <w:r w:rsidR="00DA3617">
          <w:rPr>
            <w:noProof/>
            <w:webHidden/>
          </w:rPr>
          <w:t>48</w:t>
        </w:r>
        <w:r w:rsidR="001F00C3">
          <w:rPr>
            <w:noProof/>
            <w:webHidden/>
          </w:rPr>
          <w:fldChar w:fldCharType="end"/>
        </w:r>
      </w:hyperlink>
    </w:p>
    <w:p w:rsidR="001F00C3" w:rsidRDefault="0091777A">
      <w:pPr>
        <w:pStyle w:val="TOC2"/>
        <w:rPr>
          <w:rFonts w:asciiTheme="minorHAnsi" w:hAnsiTheme="minorHAnsi" w:cstheme="minorBidi"/>
          <w:szCs w:val="22"/>
        </w:rPr>
      </w:pPr>
      <w:hyperlink w:anchor="_Toc56668405" w:history="1">
        <w:r w:rsidR="001F00C3" w:rsidRPr="00143CC9">
          <w:rPr>
            <w:rStyle w:val="Hyperlink"/>
          </w:rPr>
          <w:t>In General</w:t>
        </w:r>
        <w:r w:rsidR="001F00C3">
          <w:rPr>
            <w:webHidden/>
          </w:rPr>
          <w:tab/>
        </w:r>
        <w:r w:rsidR="001F00C3">
          <w:rPr>
            <w:webHidden/>
          </w:rPr>
          <w:fldChar w:fldCharType="begin"/>
        </w:r>
        <w:r w:rsidR="001F00C3">
          <w:rPr>
            <w:webHidden/>
          </w:rPr>
          <w:instrText xml:space="preserve"> PAGEREF _Toc56668405 \h </w:instrText>
        </w:r>
        <w:r w:rsidR="001F00C3">
          <w:rPr>
            <w:webHidden/>
          </w:rPr>
        </w:r>
        <w:r w:rsidR="001F00C3">
          <w:rPr>
            <w:webHidden/>
          </w:rPr>
          <w:fldChar w:fldCharType="separate"/>
        </w:r>
        <w:r w:rsidR="00DA3617">
          <w:rPr>
            <w:webHidden/>
          </w:rPr>
          <w:t>48</w:t>
        </w:r>
        <w:r w:rsidR="001F00C3">
          <w:rPr>
            <w:webHidden/>
          </w:rPr>
          <w:fldChar w:fldCharType="end"/>
        </w:r>
      </w:hyperlink>
    </w:p>
    <w:p w:rsidR="001F00C3" w:rsidRDefault="0091777A">
      <w:pPr>
        <w:pStyle w:val="TOC2"/>
        <w:rPr>
          <w:rFonts w:asciiTheme="minorHAnsi" w:hAnsiTheme="minorHAnsi" w:cstheme="minorBidi"/>
          <w:szCs w:val="22"/>
        </w:rPr>
      </w:pPr>
      <w:hyperlink w:anchor="_Toc56668406" w:history="1">
        <w:r w:rsidR="001F00C3" w:rsidRPr="00143CC9">
          <w:rPr>
            <w:rStyle w:val="Hyperlink"/>
          </w:rPr>
          <w:t>Original Issue Premium</w:t>
        </w:r>
        <w:r w:rsidR="001F00C3">
          <w:rPr>
            <w:webHidden/>
          </w:rPr>
          <w:tab/>
        </w:r>
        <w:r w:rsidR="001F00C3">
          <w:rPr>
            <w:webHidden/>
          </w:rPr>
          <w:fldChar w:fldCharType="begin"/>
        </w:r>
        <w:r w:rsidR="001F00C3">
          <w:rPr>
            <w:webHidden/>
          </w:rPr>
          <w:instrText xml:space="preserve"> PAGEREF _Toc56668406 \h </w:instrText>
        </w:r>
        <w:r w:rsidR="001F00C3">
          <w:rPr>
            <w:webHidden/>
          </w:rPr>
        </w:r>
        <w:r w:rsidR="001F00C3">
          <w:rPr>
            <w:webHidden/>
          </w:rPr>
          <w:fldChar w:fldCharType="separate"/>
        </w:r>
        <w:r w:rsidR="00DA3617">
          <w:rPr>
            <w:webHidden/>
          </w:rPr>
          <w:t>49</w:t>
        </w:r>
        <w:r w:rsidR="001F00C3">
          <w:rPr>
            <w:webHidden/>
          </w:rPr>
          <w:fldChar w:fldCharType="end"/>
        </w:r>
      </w:hyperlink>
    </w:p>
    <w:p w:rsidR="001F00C3" w:rsidRDefault="0091777A">
      <w:pPr>
        <w:pStyle w:val="TOC2"/>
        <w:rPr>
          <w:rFonts w:asciiTheme="minorHAnsi" w:hAnsiTheme="minorHAnsi" w:cstheme="minorBidi"/>
          <w:szCs w:val="22"/>
        </w:rPr>
      </w:pPr>
      <w:hyperlink w:anchor="_Toc56668407" w:history="1">
        <w:r w:rsidR="001F00C3" w:rsidRPr="00143CC9">
          <w:rPr>
            <w:rStyle w:val="Hyperlink"/>
          </w:rPr>
          <w:t>Recognition of Income Generally</w:t>
        </w:r>
        <w:r w:rsidR="001F00C3">
          <w:rPr>
            <w:webHidden/>
          </w:rPr>
          <w:tab/>
        </w:r>
        <w:r w:rsidR="001F00C3">
          <w:rPr>
            <w:webHidden/>
          </w:rPr>
          <w:fldChar w:fldCharType="begin"/>
        </w:r>
        <w:r w:rsidR="001F00C3">
          <w:rPr>
            <w:webHidden/>
          </w:rPr>
          <w:instrText xml:space="preserve"> PAGEREF _Toc56668407 \h </w:instrText>
        </w:r>
        <w:r w:rsidR="001F00C3">
          <w:rPr>
            <w:webHidden/>
          </w:rPr>
        </w:r>
        <w:r w:rsidR="001F00C3">
          <w:rPr>
            <w:webHidden/>
          </w:rPr>
          <w:fldChar w:fldCharType="separate"/>
        </w:r>
        <w:r w:rsidR="00DA3617">
          <w:rPr>
            <w:webHidden/>
          </w:rPr>
          <w:t>49</w:t>
        </w:r>
        <w:r w:rsidR="001F00C3">
          <w:rPr>
            <w:webHidden/>
          </w:rPr>
          <w:fldChar w:fldCharType="end"/>
        </w:r>
      </w:hyperlink>
    </w:p>
    <w:p w:rsidR="001F00C3" w:rsidRDefault="0091777A">
      <w:pPr>
        <w:pStyle w:val="TOC2"/>
        <w:rPr>
          <w:rFonts w:asciiTheme="minorHAnsi" w:hAnsiTheme="minorHAnsi" w:cstheme="minorBidi"/>
          <w:szCs w:val="22"/>
        </w:rPr>
      </w:pPr>
      <w:hyperlink w:anchor="_Toc56668408" w:history="1">
        <w:r w:rsidR="001F00C3" w:rsidRPr="00143CC9">
          <w:rPr>
            <w:rStyle w:val="Hyperlink"/>
          </w:rPr>
          <w:t>Backup Withholding</w:t>
        </w:r>
        <w:r w:rsidR="001F00C3">
          <w:rPr>
            <w:webHidden/>
          </w:rPr>
          <w:tab/>
        </w:r>
        <w:r w:rsidR="001F00C3">
          <w:rPr>
            <w:webHidden/>
          </w:rPr>
          <w:fldChar w:fldCharType="begin"/>
        </w:r>
        <w:r w:rsidR="001F00C3">
          <w:rPr>
            <w:webHidden/>
          </w:rPr>
          <w:instrText xml:space="preserve"> PAGEREF _Toc56668408 \h </w:instrText>
        </w:r>
        <w:r w:rsidR="001F00C3">
          <w:rPr>
            <w:webHidden/>
          </w:rPr>
        </w:r>
        <w:r w:rsidR="001F00C3">
          <w:rPr>
            <w:webHidden/>
          </w:rPr>
          <w:fldChar w:fldCharType="separate"/>
        </w:r>
        <w:r w:rsidR="00DA3617">
          <w:rPr>
            <w:webHidden/>
          </w:rPr>
          <w:t>50</w:t>
        </w:r>
        <w:r w:rsidR="001F00C3">
          <w:rPr>
            <w:webHidden/>
          </w:rPr>
          <w:fldChar w:fldCharType="end"/>
        </w:r>
      </w:hyperlink>
    </w:p>
    <w:p w:rsidR="001F00C3" w:rsidRDefault="0091777A">
      <w:pPr>
        <w:pStyle w:val="TOC2"/>
        <w:rPr>
          <w:rFonts w:asciiTheme="minorHAnsi" w:hAnsiTheme="minorHAnsi" w:cstheme="minorBidi"/>
          <w:szCs w:val="22"/>
        </w:rPr>
      </w:pPr>
      <w:hyperlink w:anchor="_Toc56668409" w:history="1">
        <w:r w:rsidR="001F00C3" w:rsidRPr="00143CC9">
          <w:rPr>
            <w:rStyle w:val="Hyperlink"/>
          </w:rPr>
          <w:t>Exemption Under State Tax Law</w:t>
        </w:r>
        <w:r w:rsidR="001F00C3">
          <w:rPr>
            <w:webHidden/>
          </w:rPr>
          <w:tab/>
        </w:r>
        <w:r w:rsidR="001F00C3">
          <w:rPr>
            <w:webHidden/>
          </w:rPr>
          <w:fldChar w:fldCharType="begin"/>
        </w:r>
        <w:r w:rsidR="001F00C3">
          <w:rPr>
            <w:webHidden/>
          </w:rPr>
          <w:instrText xml:space="preserve"> PAGEREF _Toc56668409 \h </w:instrText>
        </w:r>
        <w:r w:rsidR="001F00C3">
          <w:rPr>
            <w:webHidden/>
          </w:rPr>
        </w:r>
        <w:r w:rsidR="001F00C3">
          <w:rPr>
            <w:webHidden/>
          </w:rPr>
          <w:fldChar w:fldCharType="separate"/>
        </w:r>
        <w:r w:rsidR="00DA3617">
          <w:rPr>
            <w:webHidden/>
          </w:rPr>
          <w:t>50</w:t>
        </w:r>
        <w:r w:rsidR="001F00C3">
          <w:rPr>
            <w:webHidden/>
          </w:rPr>
          <w:fldChar w:fldCharType="end"/>
        </w:r>
      </w:hyperlink>
    </w:p>
    <w:p w:rsidR="001F00C3" w:rsidRDefault="0091777A">
      <w:pPr>
        <w:pStyle w:val="TOC2"/>
        <w:rPr>
          <w:rFonts w:asciiTheme="minorHAnsi" w:hAnsiTheme="minorHAnsi" w:cstheme="minorBidi"/>
          <w:szCs w:val="22"/>
        </w:rPr>
      </w:pPr>
      <w:hyperlink w:anchor="_Toc56668410" w:history="1">
        <w:r w:rsidR="001F00C3" w:rsidRPr="00143CC9">
          <w:rPr>
            <w:rStyle w:val="Hyperlink"/>
          </w:rPr>
          <w:t>Changes in Federal and State Tax Law</w:t>
        </w:r>
        <w:r w:rsidR="001F00C3">
          <w:rPr>
            <w:webHidden/>
          </w:rPr>
          <w:tab/>
        </w:r>
        <w:r w:rsidR="001F00C3">
          <w:rPr>
            <w:webHidden/>
          </w:rPr>
          <w:fldChar w:fldCharType="begin"/>
        </w:r>
        <w:r w:rsidR="001F00C3">
          <w:rPr>
            <w:webHidden/>
          </w:rPr>
          <w:instrText xml:space="preserve"> PAGEREF _Toc56668410 \h </w:instrText>
        </w:r>
        <w:r w:rsidR="001F00C3">
          <w:rPr>
            <w:webHidden/>
          </w:rPr>
        </w:r>
        <w:r w:rsidR="001F00C3">
          <w:rPr>
            <w:webHidden/>
          </w:rPr>
          <w:fldChar w:fldCharType="separate"/>
        </w:r>
        <w:r w:rsidR="00DA3617">
          <w:rPr>
            <w:webHidden/>
          </w:rPr>
          <w:t>50</w:t>
        </w:r>
        <w:r w:rsidR="001F00C3">
          <w:rPr>
            <w:webHidden/>
          </w:rPr>
          <w:fldChar w:fldCharType="end"/>
        </w:r>
      </w:hyperlink>
    </w:p>
    <w:p w:rsidR="001F00C3" w:rsidRDefault="0091777A">
      <w:pPr>
        <w:pStyle w:val="TOC1"/>
        <w:rPr>
          <w:rFonts w:asciiTheme="minorHAnsi" w:eastAsiaTheme="minorEastAsia" w:hAnsiTheme="minorHAnsi"/>
          <w:noProof/>
          <w:szCs w:val="22"/>
        </w:rPr>
      </w:pPr>
      <w:hyperlink w:anchor="_Toc56668411" w:history="1">
        <w:r w:rsidR="001F00C3" w:rsidRPr="00143CC9">
          <w:rPr>
            <w:rStyle w:val="Hyperlink"/>
            <w:noProof/>
          </w:rPr>
          <w:t>UNDERWRITING</w:t>
        </w:r>
        <w:r w:rsidR="001F00C3">
          <w:rPr>
            <w:noProof/>
            <w:webHidden/>
          </w:rPr>
          <w:tab/>
        </w:r>
        <w:r w:rsidR="001F00C3">
          <w:rPr>
            <w:noProof/>
            <w:webHidden/>
          </w:rPr>
          <w:fldChar w:fldCharType="begin"/>
        </w:r>
        <w:r w:rsidR="001F00C3">
          <w:rPr>
            <w:noProof/>
            <w:webHidden/>
          </w:rPr>
          <w:instrText xml:space="preserve"> PAGEREF _Toc56668411 \h </w:instrText>
        </w:r>
        <w:r w:rsidR="001F00C3">
          <w:rPr>
            <w:noProof/>
            <w:webHidden/>
          </w:rPr>
        </w:r>
        <w:r w:rsidR="001F00C3">
          <w:rPr>
            <w:noProof/>
            <w:webHidden/>
          </w:rPr>
          <w:fldChar w:fldCharType="separate"/>
        </w:r>
        <w:r w:rsidR="00DA3617">
          <w:rPr>
            <w:noProof/>
            <w:webHidden/>
          </w:rPr>
          <w:t>50</w:t>
        </w:r>
        <w:r w:rsidR="001F00C3">
          <w:rPr>
            <w:noProof/>
            <w:webHidden/>
          </w:rPr>
          <w:fldChar w:fldCharType="end"/>
        </w:r>
      </w:hyperlink>
    </w:p>
    <w:p w:rsidR="001F00C3" w:rsidRDefault="0091777A">
      <w:pPr>
        <w:pStyle w:val="TOC1"/>
        <w:rPr>
          <w:rFonts w:asciiTheme="minorHAnsi" w:eastAsiaTheme="minorEastAsia" w:hAnsiTheme="minorHAnsi"/>
          <w:noProof/>
          <w:szCs w:val="22"/>
        </w:rPr>
      </w:pPr>
      <w:hyperlink w:anchor="_Toc56668412" w:history="1">
        <w:r w:rsidR="001F00C3" w:rsidRPr="00143CC9">
          <w:rPr>
            <w:rStyle w:val="Hyperlink"/>
            <w:noProof/>
          </w:rPr>
          <w:t>RATINGS</w:t>
        </w:r>
        <w:r w:rsidR="001F00C3">
          <w:rPr>
            <w:noProof/>
            <w:webHidden/>
          </w:rPr>
          <w:tab/>
        </w:r>
        <w:r w:rsidR="001F00C3">
          <w:rPr>
            <w:noProof/>
            <w:webHidden/>
          </w:rPr>
          <w:fldChar w:fldCharType="begin"/>
        </w:r>
        <w:r w:rsidR="001F00C3">
          <w:rPr>
            <w:noProof/>
            <w:webHidden/>
          </w:rPr>
          <w:instrText xml:space="preserve"> PAGEREF _Toc56668412 \h </w:instrText>
        </w:r>
        <w:r w:rsidR="001F00C3">
          <w:rPr>
            <w:noProof/>
            <w:webHidden/>
          </w:rPr>
        </w:r>
        <w:r w:rsidR="001F00C3">
          <w:rPr>
            <w:noProof/>
            <w:webHidden/>
          </w:rPr>
          <w:fldChar w:fldCharType="separate"/>
        </w:r>
        <w:r w:rsidR="00DA3617">
          <w:rPr>
            <w:noProof/>
            <w:webHidden/>
          </w:rPr>
          <w:t>51</w:t>
        </w:r>
        <w:r w:rsidR="001F00C3">
          <w:rPr>
            <w:noProof/>
            <w:webHidden/>
          </w:rPr>
          <w:fldChar w:fldCharType="end"/>
        </w:r>
      </w:hyperlink>
    </w:p>
    <w:p w:rsidR="001F00C3" w:rsidRDefault="0091777A">
      <w:pPr>
        <w:pStyle w:val="TOC1"/>
        <w:rPr>
          <w:rFonts w:asciiTheme="minorHAnsi" w:eastAsiaTheme="minorEastAsia" w:hAnsiTheme="minorHAnsi"/>
          <w:noProof/>
          <w:szCs w:val="22"/>
        </w:rPr>
      </w:pPr>
      <w:hyperlink w:anchor="_Toc56668413" w:history="1">
        <w:r w:rsidR="001F00C3" w:rsidRPr="00143CC9">
          <w:rPr>
            <w:rStyle w:val="Hyperlink"/>
            <w:noProof/>
          </w:rPr>
          <w:t>MUNICIPAL ADVISOR</w:t>
        </w:r>
        <w:r w:rsidR="001F00C3">
          <w:rPr>
            <w:noProof/>
            <w:webHidden/>
          </w:rPr>
          <w:tab/>
        </w:r>
        <w:r w:rsidR="001F00C3">
          <w:rPr>
            <w:noProof/>
            <w:webHidden/>
          </w:rPr>
          <w:fldChar w:fldCharType="begin"/>
        </w:r>
        <w:r w:rsidR="001F00C3">
          <w:rPr>
            <w:noProof/>
            <w:webHidden/>
          </w:rPr>
          <w:instrText xml:space="preserve"> PAGEREF _Toc56668413 \h </w:instrText>
        </w:r>
        <w:r w:rsidR="001F00C3">
          <w:rPr>
            <w:noProof/>
            <w:webHidden/>
          </w:rPr>
        </w:r>
        <w:r w:rsidR="001F00C3">
          <w:rPr>
            <w:noProof/>
            <w:webHidden/>
          </w:rPr>
          <w:fldChar w:fldCharType="separate"/>
        </w:r>
        <w:r w:rsidR="00DA3617">
          <w:rPr>
            <w:noProof/>
            <w:webHidden/>
          </w:rPr>
          <w:t>51</w:t>
        </w:r>
        <w:r w:rsidR="001F00C3">
          <w:rPr>
            <w:noProof/>
            <w:webHidden/>
          </w:rPr>
          <w:fldChar w:fldCharType="end"/>
        </w:r>
      </w:hyperlink>
    </w:p>
    <w:p w:rsidR="001F00C3" w:rsidRDefault="0091777A">
      <w:pPr>
        <w:pStyle w:val="TOC1"/>
        <w:rPr>
          <w:rFonts w:asciiTheme="minorHAnsi" w:eastAsiaTheme="minorEastAsia" w:hAnsiTheme="minorHAnsi"/>
          <w:noProof/>
          <w:szCs w:val="22"/>
        </w:rPr>
      </w:pPr>
      <w:hyperlink w:anchor="_Toc56668414" w:history="1">
        <w:r w:rsidR="001F00C3" w:rsidRPr="00143CC9">
          <w:rPr>
            <w:rStyle w:val="Hyperlink"/>
            <w:noProof/>
          </w:rPr>
          <w:t>CONTINUING DISCLOSURE</w:t>
        </w:r>
        <w:r w:rsidR="001F00C3">
          <w:rPr>
            <w:noProof/>
            <w:webHidden/>
          </w:rPr>
          <w:tab/>
        </w:r>
        <w:r w:rsidR="001F00C3">
          <w:rPr>
            <w:noProof/>
            <w:webHidden/>
          </w:rPr>
          <w:fldChar w:fldCharType="begin"/>
        </w:r>
        <w:r w:rsidR="001F00C3">
          <w:rPr>
            <w:noProof/>
            <w:webHidden/>
          </w:rPr>
          <w:instrText xml:space="preserve"> PAGEREF _Toc56668414 \h </w:instrText>
        </w:r>
        <w:r w:rsidR="001F00C3">
          <w:rPr>
            <w:noProof/>
            <w:webHidden/>
          </w:rPr>
        </w:r>
        <w:r w:rsidR="001F00C3">
          <w:rPr>
            <w:noProof/>
            <w:webHidden/>
          </w:rPr>
          <w:fldChar w:fldCharType="separate"/>
        </w:r>
        <w:r w:rsidR="00DA3617">
          <w:rPr>
            <w:noProof/>
            <w:webHidden/>
          </w:rPr>
          <w:t>52</w:t>
        </w:r>
        <w:r w:rsidR="001F00C3">
          <w:rPr>
            <w:noProof/>
            <w:webHidden/>
          </w:rPr>
          <w:fldChar w:fldCharType="end"/>
        </w:r>
      </w:hyperlink>
    </w:p>
    <w:p w:rsidR="001F00C3" w:rsidRDefault="0091777A">
      <w:pPr>
        <w:pStyle w:val="TOC2"/>
        <w:rPr>
          <w:rFonts w:asciiTheme="minorHAnsi" w:hAnsiTheme="minorHAnsi" w:cstheme="minorBidi"/>
          <w:szCs w:val="22"/>
        </w:rPr>
      </w:pPr>
      <w:hyperlink w:anchor="_Toc56668415" w:history="1">
        <w:r w:rsidR="001F00C3" w:rsidRPr="00143CC9">
          <w:rPr>
            <w:rStyle w:val="Hyperlink"/>
          </w:rPr>
          <w:t>Compliance with Other Continuing Disclosure Undertakings</w:t>
        </w:r>
        <w:r w:rsidR="001F00C3">
          <w:rPr>
            <w:webHidden/>
          </w:rPr>
          <w:tab/>
        </w:r>
        <w:r w:rsidR="001F00C3">
          <w:rPr>
            <w:webHidden/>
          </w:rPr>
          <w:fldChar w:fldCharType="begin"/>
        </w:r>
        <w:r w:rsidR="001F00C3">
          <w:rPr>
            <w:webHidden/>
          </w:rPr>
          <w:instrText xml:space="preserve"> PAGEREF _Toc56668415 \h </w:instrText>
        </w:r>
        <w:r w:rsidR="001F00C3">
          <w:rPr>
            <w:webHidden/>
          </w:rPr>
        </w:r>
        <w:r w:rsidR="001F00C3">
          <w:rPr>
            <w:webHidden/>
          </w:rPr>
          <w:fldChar w:fldCharType="separate"/>
        </w:r>
        <w:r w:rsidR="00DA3617">
          <w:rPr>
            <w:webHidden/>
          </w:rPr>
          <w:t>52</w:t>
        </w:r>
        <w:r w:rsidR="001F00C3">
          <w:rPr>
            <w:webHidden/>
          </w:rPr>
          <w:fldChar w:fldCharType="end"/>
        </w:r>
      </w:hyperlink>
    </w:p>
    <w:p w:rsidR="001F00C3" w:rsidRDefault="0091777A">
      <w:pPr>
        <w:pStyle w:val="TOC2"/>
        <w:rPr>
          <w:rFonts w:asciiTheme="minorHAnsi" w:hAnsiTheme="minorHAnsi" w:cstheme="minorBidi"/>
          <w:szCs w:val="22"/>
        </w:rPr>
      </w:pPr>
      <w:hyperlink w:anchor="_Toc56668416" w:history="1">
        <w:r w:rsidR="001F00C3" w:rsidRPr="00143CC9">
          <w:rPr>
            <w:rStyle w:val="Hyperlink"/>
          </w:rPr>
          <w:t>MCDC Settlement Order with Securities and Exchange Commission</w:t>
        </w:r>
        <w:r w:rsidR="001F00C3">
          <w:rPr>
            <w:webHidden/>
          </w:rPr>
          <w:tab/>
        </w:r>
        <w:r w:rsidR="001F00C3">
          <w:rPr>
            <w:webHidden/>
          </w:rPr>
          <w:fldChar w:fldCharType="begin"/>
        </w:r>
        <w:r w:rsidR="001F00C3">
          <w:rPr>
            <w:webHidden/>
          </w:rPr>
          <w:instrText xml:space="preserve"> PAGEREF _Toc56668416 \h </w:instrText>
        </w:r>
        <w:r w:rsidR="001F00C3">
          <w:rPr>
            <w:webHidden/>
          </w:rPr>
        </w:r>
        <w:r w:rsidR="001F00C3">
          <w:rPr>
            <w:webHidden/>
          </w:rPr>
          <w:fldChar w:fldCharType="separate"/>
        </w:r>
        <w:r w:rsidR="00DA3617">
          <w:rPr>
            <w:webHidden/>
          </w:rPr>
          <w:t>53</w:t>
        </w:r>
        <w:r w:rsidR="001F00C3">
          <w:rPr>
            <w:webHidden/>
          </w:rPr>
          <w:fldChar w:fldCharType="end"/>
        </w:r>
      </w:hyperlink>
    </w:p>
    <w:p w:rsidR="001F00C3" w:rsidRDefault="0091777A">
      <w:pPr>
        <w:pStyle w:val="TOC2"/>
        <w:rPr>
          <w:rFonts w:asciiTheme="minorHAnsi" w:hAnsiTheme="minorHAnsi" w:cstheme="minorBidi"/>
          <w:szCs w:val="22"/>
        </w:rPr>
      </w:pPr>
      <w:hyperlink w:anchor="_Toc56668417" w:history="1">
        <w:r w:rsidR="001F00C3" w:rsidRPr="00143CC9">
          <w:rPr>
            <w:rStyle w:val="Hyperlink"/>
          </w:rPr>
          <w:t>Additional Information</w:t>
        </w:r>
        <w:r w:rsidR="001F00C3">
          <w:rPr>
            <w:webHidden/>
          </w:rPr>
          <w:tab/>
        </w:r>
        <w:r w:rsidR="001F00C3">
          <w:rPr>
            <w:webHidden/>
          </w:rPr>
          <w:fldChar w:fldCharType="begin"/>
        </w:r>
        <w:r w:rsidR="001F00C3">
          <w:rPr>
            <w:webHidden/>
          </w:rPr>
          <w:instrText xml:space="preserve"> PAGEREF _Toc56668417 \h </w:instrText>
        </w:r>
        <w:r w:rsidR="001F00C3">
          <w:rPr>
            <w:webHidden/>
          </w:rPr>
        </w:r>
        <w:r w:rsidR="001F00C3">
          <w:rPr>
            <w:webHidden/>
          </w:rPr>
          <w:fldChar w:fldCharType="separate"/>
        </w:r>
        <w:r w:rsidR="00DA3617">
          <w:rPr>
            <w:webHidden/>
          </w:rPr>
          <w:t>54</w:t>
        </w:r>
        <w:r w:rsidR="001F00C3">
          <w:rPr>
            <w:webHidden/>
          </w:rPr>
          <w:fldChar w:fldCharType="end"/>
        </w:r>
      </w:hyperlink>
    </w:p>
    <w:p w:rsidR="001F00C3" w:rsidRDefault="0091777A">
      <w:pPr>
        <w:pStyle w:val="TOC1"/>
        <w:rPr>
          <w:rFonts w:asciiTheme="minorHAnsi" w:eastAsiaTheme="minorEastAsia" w:hAnsiTheme="minorHAnsi"/>
          <w:noProof/>
          <w:szCs w:val="22"/>
        </w:rPr>
      </w:pPr>
      <w:hyperlink w:anchor="_Toc56668418" w:history="1">
        <w:r w:rsidR="001F00C3" w:rsidRPr="00143CC9">
          <w:rPr>
            <w:rStyle w:val="Hyperlink"/>
            <w:noProof/>
          </w:rPr>
          <w:t>MISCELLANEOUS</w:t>
        </w:r>
        <w:r w:rsidR="001F00C3">
          <w:rPr>
            <w:noProof/>
            <w:webHidden/>
          </w:rPr>
          <w:tab/>
        </w:r>
        <w:r w:rsidR="001F00C3">
          <w:rPr>
            <w:noProof/>
            <w:webHidden/>
          </w:rPr>
          <w:fldChar w:fldCharType="begin"/>
        </w:r>
        <w:r w:rsidR="001F00C3">
          <w:rPr>
            <w:noProof/>
            <w:webHidden/>
          </w:rPr>
          <w:instrText xml:space="preserve"> PAGEREF _Toc56668418 \h </w:instrText>
        </w:r>
        <w:r w:rsidR="001F00C3">
          <w:rPr>
            <w:noProof/>
            <w:webHidden/>
          </w:rPr>
        </w:r>
        <w:r w:rsidR="001F00C3">
          <w:rPr>
            <w:noProof/>
            <w:webHidden/>
          </w:rPr>
          <w:fldChar w:fldCharType="separate"/>
        </w:r>
        <w:r w:rsidR="00DA3617">
          <w:rPr>
            <w:noProof/>
            <w:webHidden/>
          </w:rPr>
          <w:t>55</w:t>
        </w:r>
        <w:r w:rsidR="001F00C3">
          <w:rPr>
            <w:noProof/>
            <w:webHidden/>
          </w:rPr>
          <w:fldChar w:fldCharType="end"/>
        </w:r>
      </w:hyperlink>
    </w:p>
    <w:p w:rsidR="001F00C3" w:rsidRDefault="0091777A">
      <w:pPr>
        <w:pStyle w:val="TOC1"/>
        <w:rPr>
          <w:rFonts w:asciiTheme="minorHAnsi" w:eastAsiaTheme="minorEastAsia" w:hAnsiTheme="minorHAnsi"/>
          <w:noProof/>
          <w:szCs w:val="22"/>
        </w:rPr>
      </w:pPr>
      <w:hyperlink w:anchor="_Toc56668419" w:history="1">
        <w:r w:rsidR="001F00C3" w:rsidRPr="00143CC9">
          <w:rPr>
            <w:rStyle w:val="Hyperlink"/>
            <w:noProof/>
          </w:rPr>
          <w:t>OFFICIAL STATEMENT CERTIFICATION</w:t>
        </w:r>
        <w:r w:rsidR="001F00C3">
          <w:rPr>
            <w:noProof/>
            <w:webHidden/>
          </w:rPr>
          <w:tab/>
        </w:r>
        <w:r w:rsidR="001F00C3">
          <w:rPr>
            <w:noProof/>
            <w:webHidden/>
          </w:rPr>
          <w:fldChar w:fldCharType="begin"/>
        </w:r>
        <w:r w:rsidR="001F00C3">
          <w:rPr>
            <w:noProof/>
            <w:webHidden/>
          </w:rPr>
          <w:instrText xml:space="preserve"> PAGEREF _Toc56668419 \h </w:instrText>
        </w:r>
        <w:r w:rsidR="001F00C3">
          <w:rPr>
            <w:noProof/>
            <w:webHidden/>
          </w:rPr>
        </w:r>
        <w:r w:rsidR="001F00C3">
          <w:rPr>
            <w:noProof/>
            <w:webHidden/>
          </w:rPr>
          <w:fldChar w:fldCharType="separate"/>
        </w:r>
        <w:r w:rsidR="00DA3617">
          <w:rPr>
            <w:noProof/>
            <w:webHidden/>
          </w:rPr>
          <w:t>56</w:t>
        </w:r>
        <w:r w:rsidR="001F00C3">
          <w:rPr>
            <w:noProof/>
            <w:webHidden/>
          </w:rPr>
          <w:fldChar w:fldCharType="end"/>
        </w:r>
      </w:hyperlink>
    </w:p>
    <w:p w:rsidR="00243289" w:rsidRDefault="00AB07F2" w:rsidP="00243289">
      <w:pPr>
        <w:jc w:val="left"/>
      </w:pPr>
      <w:r>
        <w:fldChar w:fldCharType="end"/>
      </w:r>
    </w:p>
    <w:p w:rsidR="00AB07F2" w:rsidRDefault="00AB07F2" w:rsidP="00243289">
      <w:pPr>
        <w:jc w:val="left"/>
      </w:pPr>
    </w:p>
    <w:p w:rsidR="006123A1" w:rsidRDefault="009E3B52" w:rsidP="009E3B52">
      <w:pPr>
        <w:jc w:val="center"/>
        <w:rPr>
          <w:b/>
        </w:rPr>
      </w:pPr>
      <w:r w:rsidRPr="009E3B52">
        <w:rPr>
          <w:b/>
        </w:rPr>
        <w:t>APPENDICES</w:t>
      </w:r>
    </w:p>
    <w:p w:rsidR="009E3B52" w:rsidRPr="009E3B52" w:rsidRDefault="009E3B52" w:rsidP="009E3B52">
      <w:pPr>
        <w:jc w:val="center"/>
        <w:rPr>
          <w:b/>
        </w:rPr>
      </w:pPr>
    </w:p>
    <w:p w:rsidR="006123A1" w:rsidRDefault="009E3B52" w:rsidP="0084465D">
      <w:pPr>
        <w:tabs>
          <w:tab w:val="left" w:pos="450"/>
          <w:tab w:val="right" w:leader="dot" w:pos="9270"/>
        </w:tabs>
        <w:spacing w:after="120"/>
        <w:ind w:left="1267" w:hanging="1267"/>
      </w:pPr>
      <w:r>
        <w:t xml:space="preserve">Appendix </w:t>
      </w:r>
      <w:r w:rsidR="006123A1">
        <w:t>A</w:t>
      </w:r>
      <w:r>
        <w:t xml:space="preserve"> -</w:t>
      </w:r>
      <w:r w:rsidR="0028599E">
        <w:t xml:space="preserve"> </w:t>
      </w:r>
      <w:r w:rsidR="006123A1">
        <w:t>STATE OF COLORADO COMPREHENSIVE ANNUAL FINANCIAL REPORT FOR THE FISCAL YEAR ENDED JUNE 30, 201</w:t>
      </w:r>
      <w:r w:rsidR="009B293F">
        <w:t>9</w:t>
      </w:r>
      <w:r w:rsidR="007B6F29">
        <w:t xml:space="preserve"> </w:t>
      </w:r>
      <w:r w:rsidR="007B6F29" w:rsidRPr="007C235C">
        <w:t>AND STATE OF COLORADO UNAUDITED BASIC FINANCIAL STATEMENTS FOR THE</w:t>
      </w:r>
      <w:r w:rsidR="009B293F">
        <w:t xml:space="preserve"> FISCAL YEAR ENDED JUNE 30, 2020</w:t>
      </w:r>
      <w:r>
        <w:tab/>
        <w:t>A-1</w:t>
      </w:r>
    </w:p>
    <w:p w:rsidR="006123A1" w:rsidRDefault="009E3B52" w:rsidP="0084465D">
      <w:pPr>
        <w:tabs>
          <w:tab w:val="right" w:leader="dot" w:pos="9270"/>
        </w:tabs>
        <w:spacing w:after="120"/>
        <w:ind w:left="1267" w:hanging="1267"/>
      </w:pPr>
      <w:r>
        <w:t xml:space="preserve">Appendix </w:t>
      </w:r>
      <w:r w:rsidR="006123A1">
        <w:t>B</w:t>
      </w:r>
      <w:r w:rsidR="00C11453">
        <w:t xml:space="preserve"> - </w:t>
      </w:r>
      <w:r w:rsidR="006123A1">
        <w:t xml:space="preserve">FORMS OF THE MASTER INDENTURE, THE </w:t>
      </w:r>
      <w:r w:rsidR="00480C95">
        <w:t>2020R</w:t>
      </w:r>
      <w:r w:rsidR="006123A1">
        <w:t xml:space="preserve"> SUPPLEMENTAL INDENTURE, THE </w:t>
      </w:r>
      <w:r w:rsidR="00480C95">
        <w:t>2020R</w:t>
      </w:r>
      <w:r w:rsidR="006123A1">
        <w:t xml:space="preserve"> LEASE, THE </w:t>
      </w:r>
      <w:r w:rsidR="00480C95">
        <w:t>2020R</w:t>
      </w:r>
      <w:r w:rsidR="006123A1">
        <w:t xml:space="preserve"> SITE LEASE AND THE </w:t>
      </w:r>
      <w:r w:rsidR="00480C95">
        <w:t>2020R</w:t>
      </w:r>
      <w:r w:rsidR="006123A1">
        <w:t xml:space="preserve"> SUBLEASE </w:t>
      </w:r>
      <w:r>
        <w:tab/>
        <w:t>B-1</w:t>
      </w:r>
    </w:p>
    <w:p w:rsidR="006123A1" w:rsidRDefault="009E3B52" w:rsidP="0084465D">
      <w:pPr>
        <w:tabs>
          <w:tab w:val="left" w:pos="450"/>
          <w:tab w:val="right" w:leader="dot" w:pos="9270"/>
        </w:tabs>
        <w:spacing w:after="120"/>
      </w:pPr>
      <w:r>
        <w:t xml:space="preserve">Appendix </w:t>
      </w:r>
      <w:r w:rsidR="006123A1">
        <w:t>C</w:t>
      </w:r>
      <w:r w:rsidR="005F2BAE">
        <w:t xml:space="preserve"> </w:t>
      </w:r>
      <w:r>
        <w:t xml:space="preserve">- </w:t>
      </w:r>
      <w:r w:rsidR="006123A1">
        <w:t>FORM OF CONTINUING DISCLOSURE UNDERTAKING</w:t>
      </w:r>
      <w:r>
        <w:tab/>
        <w:t>C-1</w:t>
      </w:r>
    </w:p>
    <w:p w:rsidR="006123A1" w:rsidRDefault="009E3B52" w:rsidP="0084465D">
      <w:pPr>
        <w:tabs>
          <w:tab w:val="left" w:pos="450"/>
          <w:tab w:val="right" w:leader="dot" w:pos="9270"/>
        </w:tabs>
        <w:spacing w:after="120"/>
      </w:pPr>
      <w:r>
        <w:t xml:space="preserve">Appendix </w:t>
      </w:r>
      <w:r w:rsidR="006123A1">
        <w:t>D</w:t>
      </w:r>
      <w:r w:rsidR="005F2BAE">
        <w:t xml:space="preserve"> </w:t>
      </w:r>
      <w:r w:rsidR="006123A1">
        <w:t>-</w:t>
      </w:r>
      <w:r>
        <w:t xml:space="preserve"> </w:t>
      </w:r>
      <w:r w:rsidR="006123A1">
        <w:t>FORM OF BOND COUNSEL</w:t>
      </w:r>
      <w:r w:rsidR="007B6F29">
        <w:t xml:space="preserve"> OPINION</w:t>
      </w:r>
      <w:r>
        <w:tab/>
        <w:t>D-1</w:t>
      </w:r>
    </w:p>
    <w:p w:rsidR="006123A1" w:rsidRDefault="009E3B52" w:rsidP="0084465D">
      <w:pPr>
        <w:tabs>
          <w:tab w:val="left" w:pos="450"/>
          <w:tab w:val="right" w:leader="dot" w:pos="9270"/>
        </w:tabs>
        <w:spacing w:after="120"/>
        <w:jc w:val="left"/>
      </w:pPr>
      <w:r>
        <w:t xml:space="preserve">Appendix </w:t>
      </w:r>
      <w:r w:rsidR="006123A1">
        <w:t>E</w:t>
      </w:r>
      <w:r w:rsidR="005F2BAE">
        <w:t xml:space="preserve"> </w:t>
      </w:r>
      <w:r w:rsidR="006123A1">
        <w:t>-</w:t>
      </w:r>
      <w:r>
        <w:t xml:space="preserve"> </w:t>
      </w:r>
      <w:r w:rsidR="006123A1">
        <w:t>THE STATE GENERAL FUND</w:t>
      </w:r>
      <w:r>
        <w:tab/>
        <w:t>E-1</w:t>
      </w:r>
    </w:p>
    <w:p w:rsidR="006123A1" w:rsidRDefault="009E3B52" w:rsidP="0084465D">
      <w:pPr>
        <w:tabs>
          <w:tab w:val="left" w:pos="450"/>
          <w:tab w:val="right" w:leader="dot" w:pos="9270"/>
        </w:tabs>
        <w:spacing w:after="120"/>
      </w:pPr>
      <w:r>
        <w:t xml:space="preserve">Appendix </w:t>
      </w:r>
      <w:r w:rsidR="006123A1">
        <w:t>F</w:t>
      </w:r>
      <w:r w:rsidR="005F2BAE">
        <w:t xml:space="preserve"> </w:t>
      </w:r>
      <w:r w:rsidR="006123A1">
        <w:t>-</w:t>
      </w:r>
      <w:r>
        <w:t xml:space="preserve"> </w:t>
      </w:r>
      <w:r w:rsidR="009B293F">
        <w:t>OSPB SEPTEMBER 2020</w:t>
      </w:r>
      <w:r w:rsidR="006123A1">
        <w:t xml:space="preserve"> REVENUE FORECAST</w:t>
      </w:r>
      <w:r>
        <w:tab/>
        <w:t>F-1</w:t>
      </w:r>
    </w:p>
    <w:p w:rsidR="006123A1" w:rsidRDefault="009E3B52" w:rsidP="0084465D">
      <w:pPr>
        <w:tabs>
          <w:tab w:val="left" w:pos="450"/>
          <w:tab w:val="right" w:leader="dot" w:pos="9270"/>
        </w:tabs>
        <w:spacing w:after="120"/>
      </w:pPr>
      <w:r>
        <w:t xml:space="preserve">Appendix </w:t>
      </w:r>
      <w:r w:rsidR="006123A1">
        <w:t>G</w:t>
      </w:r>
      <w:r w:rsidR="005F2BAE">
        <w:t xml:space="preserve"> </w:t>
      </w:r>
      <w:r w:rsidR="0084465D">
        <w:t xml:space="preserve">- </w:t>
      </w:r>
      <w:r w:rsidR="006123A1">
        <w:t>PUBLIC SCHOOL CAPITAL CONSTRUCTION ASSISTANCE FUND</w:t>
      </w:r>
      <w:r w:rsidR="0084465D">
        <w:tab/>
        <w:t>G-1</w:t>
      </w:r>
    </w:p>
    <w:p w:rsidR="006123A1" w:rsidRDefault="009E3B52" w:rsidP="0084465D">
      <w:pPr>
        <w:tabs>
          <w:tab w:val="left" w:pos="450"/>
          <w:tab w:val="right" w:leader="dot" w:pos="9270"/>
        </w:tabs>
        <w:spacing w:after="120"/>
      </w:pPr>
      <w:r>
        <w:t xml:space="preserve">Appendix </w:t>
      </w:r>
      <w:r w:rsidR="006123A1">
        <w:t>H</w:t>
      </w:r>
      <w:r w:rsidR="005F2BAE">
        <w:t xml:space="preserve"> </w:t>
      </w:r>
      <w:r w:rsidR="0084465D">
        <w:t xml:space="preserve">- </w:t>
      </w:r>
      <w:r w:rsidR="006123A1">
        <w:t xml:space="preserve">LEASED PROPERTY RELATING TO THE </w:t>
      </w:r>
      <w:r w:rsidR="00AF20F6">
        <w:t>PRIOR</w:t>
      </w:r>
      <w:r w:rsidR="006123A1">
        <w:t xml:space="preserve"> CERTIFICATES</w:t>
      </w:r>
      <w:r w:rsidR="0084465D">
        <w:tab/>
        <w:t>H-1</w:t>
      </w:r>
    </w:p>
    <w:p w:rsidR="006123A1" w:rsidRDefault="009E3B52" w:rsidP="0084465D">
      <w:pPr>
        <w:tabs>
          <w:tab w:val="left" w:pos="450"/>
          <w:tab w:val="right" w:leader="dot" w:pos="9270"/>
        </w:tabs>
        <w:spacing w:after="120"/>
      </w:pPr>
      <w:r>
        <w:t xml:space="preserve">Appendix </w:t>
      </w:r>
      <w:r w:rsidR="006123A1">
        <w:t>I</w:t>
      </w:r>
      <w:r w:rsidR="005F2BAE">
        <w:t xml:space="preserve"> </w:t>
      </w:r>
      <w:r w:rsidR="0084465D">
        <w:t xml:space="preserve">- </w:t>
      </w:r>
      <w:r w:rsidR="006123A1">
        <w:t>CERTAIN STATE ECONOMIC AND DEMOGRAPHIC INFORMATION</w:t>
      </w:r>
      <w:r w:rsidR="0084465D">
        <w:tab/>
        <w:t>I-1</w:t>
      </w:r>
    </w:p>
    <w:p w:rsidR="006123A1" w:rsidRDefault="009E3B52" w:rsidP="0084465D">
      <w:pPr>
        <w:tabs>
          <w:tab w:val="left" w:pos="450"/>
          <w:tab w:val="right" w:leader="dot" w:pos="9270"/>
        </w:tabs>
        <w:spacing w:after="120"/>
      </w:pPr>
      <w:r>
        <w:t xml:space="preserve">Appendix </w:t>
      </w:r>
      <w:r w:rsidR="006123A1">
        <w:t>J</w:t>
      </w:r>
      <w:r w:rsidR="005F2BAE">
        <w:t xml:space="preserve"> </w:t>
      </w:r>
      <w:r w:rsidR="0084465D">
        <w:t xml:space="preserve">- </w:t>
      </w:r>
      <w:r w:rsidR="006123A1">
        <w:t>STATE PENSION SYSTEM</w:t>
      </w:r>
      <w:r w:rsidR="0084465D">
        <w:tab/>
        <w:t>J-1</w:t>
      </w:r>
    </w:p>
    <w:p w:rsidR="006123A1" w:rsidRDefault="009E3B52" w:rsidP="0084465D">
      <w:pPr>
        <w:tabs>
          <w:tab w:val="left" w:pos="450"/>
          <w:tab w:val="right" w:leader="dot" w:pos="9270"/>
        </w:tabs>
        <w:spacing w:after="120"/>
      </w:pPr>
      <w:r>
        <w:t xml:space="preserve">Appendix </w:t>
      </w:r>
      <w:r w:rsidR="006123A1">
        <w:t>K</w:t>
      </w:r>
      <w:r w:rsidR="005F2BAE">
        <w:t xml:space="preserve"> </w:t>
      </w:r>
      <w:r w:rsidR="006123A1">
        <w:t>-</w:t>
      </w:r>
      <w:r w:rsidRPr="009E3B52">
        <w:t xml:space="preserve"> </w:t>
      </w:r>
      <w:r>
        <w:t>DTC BOOK-ENTRY SYSTEM</w:t>
      </w:r>
      <w:r w:rsidR="006123A1">
        <w:tab/>
      </w:r>
      <w:r>
        <w:t>K-1</w:t>
      </w:r>
    </w:p>
    <w:p w:rsidR="006123A1" w:rsidRDefault="006123A1" w:rsidP="006123A1">
      <w:r>
        <w:t xml:space="preserve"> </w:t>
      </w:r>
    </w:p>
    <w:p w:rsidR="006123A1" w:rsidRDefault="006123A1" w:rsidP="006123A1"/>
    <w:p w:rsidR="006123A1" w:rsidRDefault="006123A1" w:rsidP="005F2BAE">
      <w:pPr>
        <w:jc w:val="center"/>
      </w:pPr>
      <w:r>
        <w:t>*  *  *</w:t>
      </w:r>
    </w:p>
    <w:p w:rsidR="005F2BAE" w:rsidRDefault="005F2BAE">
      <w:pPr>
        <w:spacing w:after="160" w:line="259" w:lineRule="auto"/>
        <w:jc w:val="left"/>
      </w:pPr>
      <w:r>
        <w:br w:type="page"/>
      </w:r>
    </w:p>
    <w:p w:rsidR="005F2BAE" w:rsidRDefault="005F2BAE" w:rsidP="005F2BAE">
      <w:pPr>
        <w:jc w:val="center"/>
      </w:pPr>
    </w:p>
    <w:p w:rsidR="005F2BAE" w:rsidRDefault="005F2BAE" w:rsidP="005F2BAE">
      <w:pPr>
        <w:jc w:val="center"/>
      </w:pPr>
    </w:p>
    <w:p w:rsidR="005F2BAE" w:rsidRDefault="005F2BAE" w:rsidP="005F2BAE">
      <w:pPr>
        <w:jc w:val="center"/>
      </w:pPr>
    </w:p>
    <w:p w:rsidR="005F2BAE" w:rsidRDefault="005F2BAE" w:rsidP="005F2BAE">
      <w:pPr>
        <w:jc w:val="center"/>
      </w:pPr>
    </w:p>
    <w:p w:rsidR="005F2BAE" w:rsidRDefault="005F2BAE" w:rsidP="005F2BAE">
      <w:pPr>
        <w:jc w:val="center"/>
      </w:pPr>
    </w:p>
    <w:p w:rsidR="005F2BAE" w:rsidRDefault="005F2BAE" w:rsidP="005F2BAE">
      <w:pPr>
        <w:jc w:val="center"/>
      </w:pPr>
    </w:p>
    <w:p w:rsidR="005F2BAE" w:rsidRDefault="005F2BAE" w:rsidP="005F2BAE">
      <w:pPr>
        <w:jc w:val="center"/>
      </w:pPr>
    </w:p>
    <w:p w:rsidR="005F2BAE" w:rsidRDefault="005F2BAE" w:rsidP="005F2BAE">
      <w:pPr>
        <w:jc w:val="center"/>
      </w:pPr>
    </w:p>
    <w:p w:rsidR="005F2BAE" w:rsidRDefault="005F2BAE" w:rsidP="005F2BAE">
      <w:pPr>
        <w:jc w:val="center"/>
      </w:pPr>
    </w:p>
    <w:p w:rsidR="005F2BAE" w:rsidRDefault="005F2BAE" w:rsidP="005F2BAE">
      <w:pPr>
        <w:jc w:val="center"/>
      </w:pPr>
    </w:p>
    <w:p w:rsidR="005F2BAE" w:rsidRDefault="005F2BAE" w:rsidP="005F2BAE">
      <w:pPr>
        <w:jc w:val="center"/>
      </w:pPr>
    </w:p>
    <w:p w:rsidR="005F2BAE" w:rsidRDefault="005F2BAE" w:rsidP="005F2BAE">
      <w:pPr>
        <w:jc w:val="center"/>
      </w:pPr>
    </w:p>
    <w:p w:rsidR="005F2BAE" w:rsidRDefault="005F2BAE" w:rsidP="005F2BAE">
      <w:pPr>
        <w:jc w:val="center"/>
      </w:pPr>
    </w:p>
    <w:p w:rsidR="005F2BAE" w:rsidRDefault="005F2BAE" w:rsidP="005F2BAE">
      <w:pPr>
        <w:jc w:val="center"/>
      </w:pPr>
    </w:p>
    <w:p w:rsidR="005F2BAE" w:rsidRDefault="005F2BAE" w:rsidP="005F2BAE">
      <w:pPr>
        <w:jc w:val="center"/>
      </w:pPr>
    </w:p>
    <w:p w:rsidR="005F2BAE" w:rsidRDefault="005F2BAE" w:rsidP="005F2BAE">
      <w:pPr>
        <w:jc w:val="center"/>
      </w:pPr>
    </w:p>
    <w:p w:rsidR="005F2BAE" w:rsidRDefault="005F2BAE" w:rsidP="005F2BAE">
      <w:pPr>
        <w:jc w:val="center"/>
      </w:pPr>
    </w:p>
    <w:p w:rsidR="005F2BAE" w:rsidRDefault="005F2BAE" w:rsidP="005F2BAE">
      <w:pPr>
        <w:jc w:val="center"/>
      </w:pPr>
    </w:p>
    <w:p w:rsidR="005F2BAE" w:rsidRDefault="005F2BAE" w:rsidP="005F2BAE">
      <w:pPr>
        <w:jc w:val="center"/>
      </w:pPr>
    </w:p>
    <w:p w:rsidR="005F2BAE" w:rsidRDefault="005F2BAE" w:rsidP="005F2BAE">
      <w:pPr>
        <w:jc w:val="center"/>
      </w:pPr>
    </w:p>
    <w:p w:rsidR="005F2BAE" w:rsidRDefault="005F2BAE" w:rsidP="005F2BAE">
      <w:pPr>
        <w:jc w:val="center"/>
      </w:pPr>
    </w:p>
    <w:p w:rsidR="005F2BAE" w:rsidRDefault="005F2BAE" w:rsidP="005F2BAE">
      <w:pPr>
        <w:jc w:val="center"/>
      </w:pPr>
    </w:p>
    <w:p w:rsidR="005F2BAE" w:rsidRDefault="005F2BAE" w:rsidP="005F2BAE">
      <w:pPr>
        <w:jc w:val="center"/>
      </w:pPr>
    </w:p>
    <w:p w:rsidR="005F2BAE" w:rsidRDefault="005F2BAE" w:rsidP="005F2BAE">
      <w:pPr>
        <w:jc w:val="center"/>
      </w:pPr>
    </w:p>
    <w:p w:rsidR="005F2BAE" w:rsidRDefault="006123A1" w:rsidP="005F2BAE">
      <w:pPr>
        <w:jc w:val="center"/>
      </w:pPr>
      <w:r>
        <w:t>[This page intentionally left blank]</w:t>
      </w:r>
    </w:p>
    <w:p w:rsidR="0051705E" w:rsidRDefault="0051705E">
      <w:pPr>
        <w:spacing w:after="160" w:line="259" w:lineRule="auto"/>
        <w:jc w:val="left"/>
        <w:sectPr w:rsidR="0051705E" w:rsidSect="009F07A3">
          <w:footerReference w:type="default" r:id="rId17"/>
          <w:headerReference w:type="first" r:id="rId18"/>
          <w:footerReference w:type="first" r:id="rId19"/>
          <w:footnotePr>
            <w:numRestart w:val="eachPage"/>
          </w:footnotePr>
          <w:pgSz w:w="12240" w:h="15840"/>
          <w:pgMar w:top="1440" w:right="1440" w:bottom="1440" w:left="1440" w:header="720" w:footer="720" w:gutter="0"/>
          <w:pgNumType w:fmt="lowerRoman" w:start="1"/>
          <w:cols w:space="720"/>
          <w:titlePg/>
          <w:docGrid w:linePitch="360"/>
        </w:sectPr>
      </w:pPr>
    </w:p>
    <w:p w:rsidR="006123A1" w:rsidRPr="005F2BAE" w:rsidRDefault="006123A1" w:rsidP="005F2BAE">
      <w:pPr>
        <w:jc w:val="center"/>
        <w:rPr>
          <w:b/>
        </w:rPr>
      </w:pPr>
      <w:r w:rsidRPr="005F2BAE">
        <w:rPr>
          <w:b/>
        </w:rPr>
        <w:t>OFFICIAL STATEMENT</w:t>
      </w:r>
    </w:p>
    <w:p w:rsidR="005F2BAE" w:rsidRPr="005F2BAE" w:rsidRDefault="005F2BAE" w:rsidP="005F2BAE">
      <w:pPr>
        <w:jc w:val="center"/>
        <w:rPr>
          <w:b/>
        </w:rPr>
      </w:pPr>
    </w:p>
    <w:p w:rsidR="006123A1" w:rsidRPr="005F2BAE" w:rsidRDefault="006123A1" w:rsidP="005F2BAE">
      <w:pPr>
        <w:jc w:val="center"/>
        <w:rPr>
          <w:b/>
        </w:rPr>
      </w:pPr>
      <w:r w:rsidRPr="005F2BAE">
        <w:rPr>
          <w:b/>
        </w:rPr>
        <w:t>Relating to</w:t>
      </w:r>
    </w:p>
    <w:p w:rsidR="005F2BAE" w:rsidRDefault="005F2BAE" w:rsidP="006123A1"/>
    <w:p w:rsidR="00561636" w:rsidRDefault="009E72FC" w:rsidP="005F2BAE">
      <w:pPr>
        <w:jc w:val="center"/>
        <w:rPr>
          <w:b/>
          <w:szCs w:val="22"/>
        </w:rPr>
      </w:pPr>
      <w:r>
        <w:rPr>
          <w:b/>
          <w:szCs w:val="22"/>
        </w:rPr>
        <w:t>$98,030,000</w:t>
      </w:r>
    </w:p>
    <w:p w:rsidR="005F2BAE" w:rsidRPr="0042662F" w:rsidRDefault="005F2BAE" w:rsidP="005F2BAE">
      <w:pPr>
        <w:jc w:val="center"/>
        <w:rPr>
          <w:b/>
          <w:szCs w:val="22"/>
        </w:rPr>
      </w:pPr>
      <w:r w:rsidRPr="0042662F">
        <w:rPr>
          <w:b/>
          <w:szCs w:val="22"/>
        </w:rPr>
        <w:t>STATE OF COLORADO</w:t>
      </w:r>
    </w:p>
    <w:p w:rsidR="005F2BAE" w:rsidRPr="0042662F" w:rsidRDefault="005F2BAE" w:rsidP="005F2BAE">
      <w:pPr>
        <w:jc w:val="center"/>
        <w:rPr>
          <w:b/>
          <w:szCs w:val="22"/>
        </w:rPr>
      </w:pPr>
      <w:r w:rsidRPr="0042662F">
        <w:rPr>
          <w:b/>
          <w:szCs w:val="22"/>
        </w:rPr>
        <w:t>BUILDING EXCELLENT SCHOOLS TODAY</w:t>
      </w:r>
    </w:p>
    <w:p w:rsidR="005F2BAE" w:rsidRDefault="005F2BAE" w:rsidP="005F2BAE">
      <w:pPr>
        <w:jc w:val="center"/>
        <w:rPr>
          <w:b/>
          <w:szCs w:val="22"/>
        </w:rPr>
      </w:pPr>
      <w:r w:rsidRPr="0042662F">
        <w:rPr>
          <w:b/>
          <w:szCs w:val="22"/>
        </w:rPr>
        <w:t>CERTIFICATES OF PARTICIPATION</w:t>
      </w:r>
    </w:p>
    <w:p w:rsidR="00561636" w:rsidRDefault="00561636" w:rsidP="005F2BAE">
      <w:pPr>
        <w:jc w:val="center"/>
        <w:rPr>
          <w:b/>
          <w:szCs w:val="22"/>
        </w:rPr>
      </w:pPr>
      <w:r>
        <w:rPr>
          <w:b/>
          <w:szCs w:val="22"/>
        </w:rPr>
        <w:t xml:space="preserve">TAX-EXEMPT SERIES </w:t>
      </w:r>
      <w:r w:rsidR="00480C95">
        <w:rPr>
          <w:b/>
          <w:szCs w:val="22"/>
        </w:rPr>
        <w:t>2020R</w:t>
      </w:r>
    </w:p>
    <w:p w:rsidR="005F2BAE" w:rsidRDefault="005F2BAE" w:rsidP="006123A1"/>
    <w:p w:rsidR="006123A1" w:rsidRDefault="006123A1" w:rsidP="00E9473A">
      <w:pPr>
        <w:pStyle w:val="Heading1"/>
      </w:pPr>
      <w:bookmarkStart w:id="1" w:name="_Toc56668334"/>
      <w:r>
        <w:t>INTRODUCTION</w:t>
      </w:r>
      <w:bookmarkEnd w:id="1"/>
    </w:p>
    <w:p w:rsidR="006123A1" w:rsidRDefault="006123A1" w:rsidP="005F2BAE">
      <w:pPr>
        <w:pStyle w:val="BodyText1"/>
      </w:pPr>
      <w:r>
        <w:t>This Official Statement, including the cover page, inside front cover</w:t>
      </w:r>
      <w:r w:rsidR="00561636">
        <w:t xml:space="preserve"> </w:t>
      </w:r>
      <w:r>
        <w:t xml:space="preserve">and appendices, provides information in connection with the offering and sale of the State of Colorado Building Excellent Schools Today Certificates of Participation, Tax-Exempt Series </w:t>
      </w:r>
      <w:r w:rsidR="00480C95">
        <w:t>2020R</w:t>
      </w:r>
      <w:r>
        <w:t xml:space="preserve"> (the </w:t>
      </w:r>
      <w:r w:rsidR="00A06786">
        <w:t>“</w:t>
      </w:r>
      <w:r>
        <w:t xml:space="preserve">Series </w:t>
      </w:r>
      <w:r w:rsidR="00480C95">
        <w:t>2020R</w:t>
      </w:r>
      <w:r>
        <w:t xml:space="preserve"> Certificates</w:t>
      </w:r>
      <w:r w:rsidR="00A06786">
        <w:t>”</w:t>
      </w:r>
      <w:r>
        <w:t>)</w:t>
      </w:r>
      <w:r w:rsidR="00561636">
        <w:t xml:space="preserve">. </w:t>
      </w:r>
      <w:r>
        <w:t xml:space="preserve"> Capitalized terms used herein and not otherwise defined have the meanings assigned to them in the Gl</w:t>
      </w:r>
      <w:r w:rsidR="007A5DD4">
        <w:t>ossary in the form</w:t>
      </w:r>
      <w:r>
        <w:t xml:space="preserve"> of the hereinafter defined </w:t>
      </w:r>
      <w:r w:rsidR="00480C95">
        <w:t>2020R</w:t>
      </w:r>
      <w:r>
        <w:t xml:space="preserve"> Supplemental Indenture appended to this Official Statement.</w:t>
      </w:r>
    </w:p>
    <w:p w:rsidR="006123A1" w:rsidRDefault="006123A1" w:rsidP="005F2BAE">
      <w:pPr>
        <w:pStyle w:val="BodyText1"/>
        <w:rPr>
          <w:i/>
        </w:rPr>
      </w:pPr>
      <w:r w:rsidRPr="005F2BAE">
        <w:rPr>
          <w:i/>
        </w:rPr>
        <w:t xml:space="preserve">This Introduction is not a summary of this Official Statement.  It is only a summary description of and guide to, and is qualified by, more complete and detailed information contained in the entire Official Statement, including the cover page and appendices hereto, and the documents summarized or described herein.  A full review should be made of the entire Official Statement.  The offering of Series </w:t>
      </w:r>
      <w:r w:rsidR="00480C95">
        <w:rPr>
          <w:i/>
        </w:rPr>
        <w:t>2020R</w:t>
      </w:r>
      <w:r w:rsidRPr="005F2BAE">
        <w:rPr>
          <w:i/>
        </w:rPr>
        <w:t xml:space="preserve"> Certificates to potential investors is made only by means of the entire Official Statement.</w:t>
      </w:r>
    </w:p>
    <w:p w:rsidR="007C46CD" w:rsidRDefault="007C46CD" w:rsidP="007C46CD">
      <w:pPr>
        <w:pStyle w:val="Heading2"/>
      </w:pPr>
      <w:bookmarkStart w:id="2" w:name="_Toc56668335"/>
      <w:r w:rsidRPr="007C46CD">
        <w:t>COVID-19 (Coronavirus)</w:t>
      </w:r>
      <w:bookmarkEnd w:id="2"/>
    </w:p>
    <w:p w:rsidR="00CC2B63" w:rsidRPr="0053530E" w:rsidRDefault="00CC2B63" w:rsidP="00CC2B63">
      <w:pPr>
        <w:pStyle w:val="BodyText1"/>
        <w:rPr>
          <w:b/>
          <w:sz w:val="20"/>
        </w:rPr>
      </w:pPr>
      <w:r>
        <w:t xml:space="preserve">The spread of a novel strain of coronavirus called COVID-19 is currently altering the behavior of businesses and people in a manner that is having significant negative effects on global, national, state, and local economies.  </w:t>
      </w:r>
      <w:r w:rsidR="0053530E">
        <w:t>On October 30</w:t>
      </w:r>
      <w:r w:rsidRPr="007D1163">
        <w:t xml:space="preserve">, 2020, the Colorado Department of Public Health and Environment (“CDPHE”) released a new modeling report indicating an increase in hospitalizations and in the estimated number of Coloradans who currently are infectious.  The report indicates that if Colorado remains on the current trajectory of its epidemic curve, state epidemiologists predict continued growth in cases and increased demand on hospitals.  Further, the report evaluates what might happen with increased social contact beginning the Friday before Thanksgiving and lasting through the </w:t>
      </w:r>
      <w:r>
        <w:t>end of 2020 and continuing into 2021</w:t>
      </w:r>
      <w:r w:rsidRPr="007D1163">
        <w:t>.</w:t>
      </w:r>
      <w:r>
        <w:t xml:space="preserve">  As further described under “CERTAIN RISK FACTORS</w:t>
      </w:r>
      <w:r w:rsidR="002F54D9">
        <w:t>—Potential Impact of COVID-19</w:t>
      </w:r>
      <w:r w:rsidR="0028401F">
        <w:t xml:space="preserve"> (Coronavirus)</w:t>
      </w:r>
      <w:r w:rsidR="002F54D9">
        <w:t>,” the</w:t>
      </w:r>
      <w:r>
        <w:t xml:space="preserve"> Governo</w:t>
      </w:r>
      <w:r w:rsidR="002F54D9">
        <w:t>r</w:t>
      </w:r>
      <w:r>
        <w:t xml:space="preserve"> issued </w:t>
      </w:r>
      <w:r w:rsidR="002F54D9">
        <w:t xml:space="preserve">an executive order on </w:t>
      </w:r>
      <w:r>
        <w:t>October 30, 2020, and expiring November 30,</w:t>
      </w:r>
      <w:r w:rsidR="002F54D9">
        <w:t xml:space="preserve"> 2020, consolidating</w:t>
      </w:r>
      <w:r>
        <w:t xml:space="preserve"> numerous prior orders which imposed various restrictions upon Colorado residents and busin</w:t>
      </w:r>
      <w:r w:rsidR="002F54D9">
        <w:t>esses.  The order</w:t>
      </w:r>
      <w:r>
        <w:t xml:space="preserve"> recognizes unique local circumstances and uses a five-lev</w:t>
      </w:r>
      <w:r w:rsidR="00901E07">
        <w:t>el dial to visualize a county</w:t>
      </w:r>
      <w:r>
        <w:t xml:space="preserve">’s success in containing the spread of COVID-19.  On November 2, 2020, CDPHE issued </w:t>
      </w:r>
      <w:r w:rsidR="002F54D9">
        <w:t>a public health order</w:t>
      </w:r>
      <w:r>
        <w:t>, which sets forth the requirements for the implem</w:t>
      </w:r>
      <w:r w:rsidR="002F54D9">
        <w:t>entation of the Governor’s October 30</w:t>
      </w:r>
      <w:r w:rsidR="002F54D9" w:rsidRPr="002F54D9">
        <w:rPr>
          <w:vertAlign w:val="superscript"/>
        </w:rPr>
        <w:t>th</w:t>
      </w:r>
      <w:r w:rsidR="002F54D9">
        <w:t xml:space="preserve"> order</w:t>
      </w:r>
      <w:r>
        <w:t xml:space="preserve">.  </w:t>
      </w:r>
    </w:p>
    <w:p w:rsidR="00CC2B63" w:rsidRPr="00B61598" w:rsidRDefault="00CC2B63" w:rsidP="00CC2B63">
      <w:pPr>
        <w:pStyle w:val="BodyText1"/>
        <w:rPr>
          <w:bCs/>
        </w:rPr>
      </w:pPr>
      <w:r>
        <w:t xml:space="preserve"> COVID-19 has resulted in a substantial reduction of revenues historically available to the State, as well as requiring significant public hea</w:t>
      </w:r>
      <w:r w:rsidR="00CE3B6E">
        <w:t>lth emergency response costs.  However, t</w:t>
      </w:r>
      <w:r w:rsidRPr="0072207A">
        <w:t>he OSPB Sep</w:t>
      </w:r>
      <w:r w:rsidR="00901E07">
        <w:t>tember 2020 Revenue Forecast forecasted</w:t>
      </w:r>
      <w:r w:rsidRPr="0072207A">
        <w:t xml:space="preserve"> revenues to the State General Fund greater than those forecast in the OSPB May 2020 Revenue Forecast.  The combined effect of the State’s budget reduction measures and the increased General Fund Revenues forecast in the OSPB September 2020 Revenue Forecast will likely result in the State having revenues in excess of those in the fiscal year 2020-2021 budget that by law, will roll</w:t>
      </w:r>
      <w:r>
        <w:t xml:space="preserve"> </w:t>
      </w:r>
      <w:r w:rsidRPr="0072207A">
        <w:t>forward to successive budget years.</w:t>
      </w:r>
      <w:r>
        <w:t xml:space="preserve">  </w:t>
      </w:r>
      <w:r>
        <w:rPr>
          <w:b/>
        </w:rPr>
        <w:t xml:space="preserve">Investors should review information regarding the COVID-19 pandemic in “CERTAIN RISK FACTORS – Potential Impact of COVID-19 (Coronavirus)” and </w:t>
      </w:r>
      <w:r w:rsidRPr="007C12F5">
        <w:rPr>
          <w:b/>
        </w:rPr>
        <w:t>Appendices E</w:t>
      </w:r>
      <w:r>
        <w:rPr>
          <w:b/>
        </w:rPr>
        <w:t xml:space="preserve"> and </w:t>
      </w:r>
      <w:r w:rsidRPr="00B61598">
        <w:rPr>
          <w:b/>
        </w:rPr>
        <w:t>F.</w:t>
      </w:r>
      <w:r>
        <w:rPr>
          <w:b/>
        </w:rPr>
        <w:t xml:space="preserve">  As discussed herein, COVID-19 has materially adversely impacted the finances of the State beginning in Fiscal Year 2020.  </w:t>
      </w:r>
      <w:r w:rsidRPr="00B61598">
        <w:rPr>
          <w:bCs/>
        </w:rPr>
        <w:t>Unless, otherwise noted, historical, financial, economic, and demographic data contained herein does not reflect the impact of COVID-19.</w:t>
      </w:r>
    </w:p>
    <w:p w:rsidR="006123A1" w:rsidRDefault="006123A1" w:rsidP="003A3DD0">
      <w:pPr>
        <w:pStyle w:val="Heading2"/>
      </w:pPr>
      <w:bookmarkStart w:id="3" w:name="_Toc56668336"/>
      <w:r>
        <w:t>The Indenture, the Prior Certificates and the Leases</w:t>
      </w:r>
      <w:bookmarkEnd w:id="3"/>
    </w:p>
    <w:p w:rsidR="006123A1" w:rsidRDefault="006123A1" w:rsidP="005F2BAE">
      <w:pPr>
        <w:pStyle w:val="BodyText1"/>
      </w:pPr>
      <w:r w:rsidRPr="005F2BAE">
        <w:rPr>
          <w:b/>
          <w:i/>
        </w:rPr>
        <w:t>The Indenture</w:t>
      </w:r>
      <w:r>
        <w:t xml:space="preserve">.  The Series </w:t>
      </w:r>
      <w:r w:rsidR="00480C95">
        <w:t>2020R</w:t>
      </w:r>
      <w:r>
        <w:t xml:space="preserve"> Certificates are being executed and delivered by </w:t>
      </w:r>
      <w:r w:rsidR="00561636">
        <w:t>Zions Bancorporation</w:t>
      </w:r>
      <w:r>
        <w:t xml:space="preserve">, National Association, Denver, Colorado, as trustee (the </w:t>
      </w:r>
      <w:r w:rsidR="00A06786">
        <w:t>“</w:t>
      </w:r>
      <w:r>
        <w:t>Trustee</w:t>
      </w:r>
      <w:r w:rsidR="00A06786">
        <w:t>”</w:t>
      </w:r>
      <w:r>
        <w:t xml:space="preserve">), pursuant to the State of Colorado Building Excellent Schools Today Master Trust Indenture, dated August 12, 2009 (the </w:t>
      </w:r>
      <w:r w:rsidR="00A06786">
        <w:t>“</w:t>
      </w:r>
      <w:r>
        <w:t>Master Indenture</w:t>
      </w:r>
      <w:r w:rsidR="00A06786">
        <w:t>”</w:t>
      </w:r>
      <w:r>
        <w:t xml:space="preserve">), as previously amended and supplemented by supplemental indentures related to the several series of certificates of participation </w:t>
      </w:r>
      <w:r w:rsidR="007B6F29">
        <w:t xml:space="preserve">previously </w:t>
      </w:r>
      <w:r>
        <w:t xml:space="preserve">executed and delivered pursuant thereto and as amended and supplemented by the Series </w:t>
      </w:r>
      <w:r w:rsidR="00480C95">
        <w:t>2020R</w:t>
      </w:r>
      <w:r>
        <w:t xml:space="preserve"> Supplemental Trust Indenture (the </w:t>
      </w:r>
      <w:r w:rsidR="00A06786">
        <w:t>“</w:t>
      </w:r>
      <w:r w:rsidR="00480C95">
        <w:t>2020R</w:t>
      </w:r>
      <w:r>
        <w:t xml:space="preserve"> Supplemental Indenture</w:t>
      </w:r>
      <w:r w:rsidR="00A06786">
        <w:t>”</w:t>
      </w:r>
      <w:r>
        <w:t xml:space="preserve">) to be dated as of the date of delivery of the Series </w:t>
      </w:r>
      <w:r w:rsidR="00480C95">
        <w:t>2020R</w:t>
      </w:r>
      <w:r>
        <w:t xml:space="preserve"> Certificates (the </w:t>
      </w:r>
      <w:r w:rsidR="00A06786">
        <w:t>“</w:t>
      </w:r>
      <w:r>
        <w:t>Closing Date</w:t>
      </w:r>
      <w:r w:rsidR="00A06786">
        <w:t>”</w:t>
      </w:r>
      <w:r>
        <w:t xml:space="preserve">), in connection with the execution and delivery of the Series </w:t>
      </w:r>
      <w:r w:rsidR="00480C95">
        <w:t>2020R</w:t>
      </w:r>
      <w:r w:rsidR="00561636">
        <w:t xml:space="preserve"> Certificates</w:t>
      </w:r>
      <w:r>
        <w:t xml:space="preserve">.  The Master Indenture, as  amended and supplemented to the Closing Date and as may be further amended and supplemented from time to time, is referred to herein collectively as the </w:t>
      </w:r>
      <w:r w:rsidR="00A06786">
        <w:t>“</w:t>
      </w:r>
      <w:r>
        <w:t>Indenture.</w:t>
      </w:r>
      <w:r w:rsidR="00A06786">
        <w:t>”</w:t>
      </w:r>
    </w:p>
    <w:p w:rsidR="006123A1" w:rsidRDefault="006123A1" w:rsidP="005F2BAE">
      <w:pPr>
        <w:pStyle w:val="BodyText1"/>
      </w:pPr>
      <w:r w:rsidRPr="005F2BAE">
        <w:rPr>
          <w:b/>
          <w:i/>
        </w:rPr>
        <w:t>The Prior Certificates</w:t>
      </w:r>
      <w:r>
        <w:t>.  Other certificates of participation have been executed and delivered pursuant to the Indenture</w:t>
      </w:r>
      <w:r w:rsidR="00AF20F6">
        <w:t xml:space="preserve"> (collectively, the </w:t>
      </w:r>
      <w:r w:rsidR="00A06786">
        <w:t>“</w:t>
      </w:r>
      <w:r w:rsidR="00AF20F6">
        <w:t>Prior Certificates</w:t>
      </w:r>
      <w:r w:rsidR="00A06786">
        <w:t>”</w:t>
      </w:r>
      <w:r w:rsidR="00AF20F6">
        <w:t>)</w:t>
      </w:r>
      <w:r>
        <w:t xml:space="preserve"> in addition to the Series </w:t>
      </w:r>
      <w:r w:rsidR="00480C95">
        <w:t>2020R</w:t>
      </w:r>
      <w:r>
        <w:t xml:space="preserve"> Certificates (each series of which is referred to herein as a </w:t>
      </w:r>
      <w:r w:rsidR="00A06786">
        <w:t>“</w:t>
      </w:r>
      <w:r>
        <w:t>Series</w:t>
      </w:r>
      <w:r w:rsidR="00A06786">
        <w:t>”</w:t>
      </w:r>
      <w:r>
        <w:t xml:space="preserve"> and collectively</w:t>
      </w:r>
      <w:r w:rsidR="00AF20F6">
        <w:t xml:space="preserve">, with the Series </w:t>
      </w:r>
      <w:r w:rsidR="00480C95">
        <w:t>2020R</w:t>
      </w:r>
      <w:r w:rsidR="00AF20F6">
        <w:t xml:space="preserve"> Certificates,</w:t>
      </w:r>
      <w:r>
        <w:t xml:space="preserve"> as the </w:t>
      </w:r>
      <w:r w:rsidR="00A06786">
        <w:t>“</w:t>
      </w:r>
      <w:r>
        <w:t>Certificates</w:t>
      </w:r>
      <w:r w:rsidR="00A06786">
        <w:t>”</w:t>
      </w:r>
      <w:r>
        <w:t xml:space="preserve">).  Upon the execution and delivery of the Series </w:t>
      </w:r>
      <w:r w:rsidR="00480C95">
        <w:t>2020R</w:t>
      </w:r>
      <w:r>
        <w:t xml:space="preserve"> Certificates, the following certificates of participation that have previously been executed and delivered pursuant to the Indenture will also be outstanding in the aggregate principal amount of $</w:t>
      </w:r>
      <w:r w:rsidR="003C7F5F">
        <w:t>1,242,810,000</w:t>
      </w:r>
      <w:r w:rsidR="00C71AC6">
        <w:t>.</w:t>
      </w:r>
      <w:r>
        <w:t xml:space="preserve">  See </w:t>
      </w:r>
      <w:r w:rsidR="00A06786">
        <w:t>“</w:t>
      </w:r>
      <w:r>
        <w:t>PLAN OF FINANCING – The Program.</w:t>
      </w:r>
      <w:r w:rsidR="00A06786">
        <w:t>”</w:t>
      </w:r>
    </w:p>
    <w:p w:rsidR="00D658F7" w:rsidRDefault="006123A1" w:rsidP="00D658F7">
      <w:pPr>
        <w:pStyle w:val="ListParagraph"/>
        <w:numPr>
          <w:ilvl w:val="0"/>
          <w:numId w:val="4"/>
        </w:numPr>
        <w:ind w:left="900" w:hanging="540"/>
      </w:pPr>
      <w:r>
        <w:t>State of Colorado Building Excellent Schools Today Certificates of Participation, Qualified School Construction Series 2009A</w:t>
      </w:r>
      <w:r w:rsidR="00DD756D">
        <w:t xml:space="preserve"> (the “Series 2009A Certificates”)</w:t>
      </w:r>
      <w:r>
        <w:t xml:space="preserve">, </w:t>
      </w:r>
      <w:r w:rsidR="00DD756D">
        <w:t xml:space="preserve">delivered </w:t>
      </w:r>
      <w:r>
        <w:t>in the original aggregate princ</w:t>
      </w:r>
      <w:r w:rsidR="00DD756D">
        <w:t>ipal amount of $87,145,000</w:t>
      </w:r>
      <w:r w:rsidR="00D658F7" w:rsidRPr="00D658F7">
        <w:t xml:space="preserve"> </w:t>
      </w:r>
      <w:r w:rsidR="00D658F7">
        <w:t>and to be outstanding on the Closing Date in the aggregate p</w:t>
      </w:r>
      <w:r w:rsidR="003C7F5F">
        <w:t>rincipal amount of $87,145,000</w:t>
      </w:r>
      <w:r w:rsidR="00BE0446">
        <w:rPr>
          <w:rStyle w:val="FootnoteReference"/>
        </w:rPr>
        <w:footnoteReference w:id="2"/>
      </w:r>
      <w:r w:rsidR="00D658F7">
        <w:t>;</w:t>
      </w:r>
    </w:p>
    <w:p w:rsidR="006123A1" w:rsidRDefault="006123A1" w:rsidP="00935E4E">
      <w:pPr>
        <w:pStyle w:val="ListParagraph"/>
        <w:numPr>
          <w:ilvl w:val="0"/>
          <w:numId w:val="4"/>
        </w:numPr>
        <w:ind w:left="900" w:hanging="540"/>
      </w:pPr>
      <w:r>
        <w:t>State of Colorado Building Excellent Schools Today Certificates of Participation, Taxable Qualified School Construction Series 2010D</w:t>
      </w:r>
      <w:r w:rsidR="00DD756D">
        <w:t xml:space="preserve"> (the “Series 2010D Certificates”)</w:t>
      </w:r>
      <w:r>
        <w:t xml:space="preserve">, </w:t>
      </w:r>
      <w:r w:rsidR="00DD756D">
        <w:t xml:space="preserve">delivered </w:t>
      </w:r>
      <w:r>
        <w:t>in the original aggregate principa</w:t>
      </w:r>
      <w:r w:rsidR="00DD756D">
        <w:t xml:space="preserve">l of amount of $95,690,000 </w:t>
      </w:r>
      <w:r w:rsidR="00D658F7" w:rsidRPr="00D658F7">
        <w:t xml:space="preserve"> </w:t>
      </w:r>
      <w:r w:rsidR="00D658F7">
        <w:t>and to be outstanding on the Closing Date in the aggregate p</w:t>
      </w:r>
      <w:r w:rsidR="003C7F5F">
        <w:t>rincipal amount of $95,690,000</w:t>
      </w:r>
      <w:r w:rsidR="00AB304F" w:rsidRPr="00AB304F">
        <w:rPr>
          <w:vertAlign w:val="superscript"/>
        </w:rPr>
        <w:t>1</w:t>
      </w:r>
      <w:r>
        <w:t>;</w:t>
      </w:r>
    </w:p>
    <w:p w:rsidR="006123A1" w:rsidRDefault="006123A1" w:rsidP="00935E4E">
      <w:pPr>
        <w:pStyle w:val="ListParagraph"/>
        <w:numPr>
          <w:ilvl w:val="0"/>
          <w:numId w:val="4"/>
        </w:numPr>
        <w:ind w:left="900" w:hanging="540"/>
      </w:pPr>
      <w:r>
        <w:t>State of Colorado Building Excellent Schools Today Certificates of Participation, Tax Exempt Series 2012H</w:t>
      </w:r>
      <w:r w:rsidR="00DD756D">
        <w:t xml:space="preserve"> (the “Series 2012H Certificates”)</w:t>
      </w:r>
      <w:r>
        <w:t xml:space="preserve">, </w:t>
      </w:r>
      <w:r w:rsidR="00DD756D">
        <w:t xml:space="preserve">delivered </w:t>
      </w:r>
      <w:r>
        <w:t>in the original aggregate princi</w:t>
      </w:r>
      <w:r w:rsidR="00DD756D">
        <w:t>pal amount of $195,965,000</w:t>
      </w:r>
      <w:r w:rsidR="00D658F7" w:rsidRPr="00D658F7">
        <w:t xml:space="preserve"> </w:t>
      </w:r>
      <w:r w:rsidR="00D658F7">
        <w:t>and to be outstanding on the Closing Date in the aggregate p</w:t>
      </w:r>
      <w:r w:rsidR="003C7F5F">
        <w:t>rincipal amount of $21,680,000</w:t>
      </w:r>
      <w:r>
        <w:t xml:space="preserve">; </w:t>
      </w:r>
    </w:p>
    <w:p w:rsidR="006123A1" w:rsidRDefault="006123A1" w:rsidP="00935E4E">
      <w:pPr>
        <w:pStyle w:val="ListParagraph"/>
        <w:numPr>
          <w:ilvl w:val="0"/>
          <w:numId w:val="4"/>
        </w:numPr>
        <w:ind w:left="900" w:hanging="540"/>
      </w:pPr>
      <w:r>
        <w:t>State of Colorado Building Excellent Schools Today Certificates of Participation, Tax Exempt Series 2013I</w:t>
      </w:r>
      <w:r w:rsidR="00DD756D">
        <w:t xml:space="preserve"> (the “Series 2013I Certificates”)</w:t>
      </w:r>
      <w:r>
        <w:t>,</w:t>
      </w:r>
      <w:r w:rsidR="00DD756D">
        <w:t xml:space="preserve"> delivered</w:t>
      </w:r>
      <w:r>
        <w:t xml:space="preserve"> in the original aggregate principal amount o</w:t>
      </w:r>
      <w:r w:rsidR="00DD756D">
        <w:t>f $89,510,000</w:t>
      </w:r>
      <w:r w:rsidR="00D658F7" w:rsidRPr="00D658F7">
        <w:t xml:space="preserve"> </w:t>
      </w:r>
      <w:r w:rsidR="00D658F7">
        <w:t>and to be outstanding on the Closing Date in the aggregate p</w:t>
      </w:r>
      <w:r w:rsidR="003C7F5F">
        <w:t>rincipal amount of $15,810,000</w:t>
      </w:r>
      <w:r>
        <w:t xml:space="preserve">; </w:t>
      </w:r>
    </w:p>
    <w:p w:rsidR="006123A1" w:rsidRDefault="006123A1" w:rsidP="00935E4E">
      <w:pPr>
        <w:pStyle w:val="ListParagraph"/>
        <w:numPr>
          <w:ilvl w:val="0"/>
          <w:numId w:val="4"/>
        </w:numPr>
        <w:ind w:left="900" w:hanging="540"/>
      </w:pPr>
      <w:r>
        <w:t>State of Colorado Building Excellent Schools Today Certificates of Participation, Tax Exempt Series 2017J</w:t>
      </w:r>
      <w:r w:rsidR="00DD756D">
        <w:t xml:space="preserve"> (the “Series 2017J Certificates”)</w:t>
      </w:r>
      <w:r>
        <w:t>,</w:t>
      </w:r>
      <w:r w:rsidR="00DD756D">
        <w:t xml:space="preserve"> delivered</w:t>
      </w:r>
      <w:r>
        <w:t xml:space="preserve"> in the original aggregate princi</w:t>
      </w:r>
      <w:r w:rsidR="00DD756D">
        <w:t>pal amount of $156,305,000</w:t>
      </w:r>
      <w:r w:rsidR="00D658F7" w:rsidRPr="00D658F7">
        <w:t xml:space="preserve"> </w:t>
      </w:r>
      <w:r w:rsidR="00D658F7">
        <w:t>and to be outstanding on the Closing Date in the aggregate p</w:t>
      </w:r>
      <w:r w:rsidR="003C7F5F">
        <w:t>rincipal amount of $156,305,000</w:t>
      </w:r>
      <w:r>
        <w:t xml:space="preserve">; </w:t>
      </w:r>
    </w:p>
    <w:p w:rsidR="006123A1" w:rsidRDefault="006123A1" w:rsidP="00935E4E">
      <w:pPr>
        <w:pStyle w:val="ListParagraph"/>
        <w:numPr>
          <w:ilvl w:val="0"/>
          <w:numId w:val="4"/>
        </w:numPr>
        <w:ind w:left="900" w:hanging="540"/>
      </w:pPr>
      <w:r>
        <w:t xml:space="preserve">State of Colorado Building Excellent Schools Today </w:t>
      </w:r>
      <w:r w:rsidR="000A6530">
        <w:t xml:space="preserve">Refunding </w:t>
      </w:r>
      <w:r>
        <w:t>Certificates of Participation, Tax Exempt Series 2017K</w:t>
      </w:r>
      <w:r w:rsidR="00DD756D">
        <w:t xml:space="preserve"> (the “Series 2017K Certificates”)</w:t>
      </w:r>
      <w:r>
        <w:t xml:space="preserve">, </w:t>
      </w:r>
      <w:r w:rsidR="00DD756D">
        <w:t xml:space="preserve">delivered </w:t>
      </w:r>
      <w:r>
        <w:t>in the original aggregate princi</w:t>
      </w:r>
      <w:r w:rsidR="00DD756D">
        <w:t>pal amount of $115,790,000</w:t>
      </w:r>
      <w:r w:rsidR="00C670D8" w:rsidRPr="00C670D8">
        <w:t xml:space="preserve"> </w:t>
      </w:r>
      <w:r w:rsidR="00C670D8">
        <w:t>and to be outstanding on the Closing Date in the aggregate p</w:t>
      </w:r>
      <w:r w:rsidR="003C7F5F">
        <w:t>rincipal amount of $85,105,000</w:t>
      </w:r>
      <w:r w:rsidR="00561636">
        <w:t>;</w:t>
      </w:r>
    </w:p>
    <w:p w:rsidR="00561636" w:rsidRDefault="00561636" w:rsidP="00935E4E">
      <w:pPr>
        <w:pStyle w:val="ListParagraph"/>
        <w:numPr>
          <w:ilvl w:val="0"/>
          <w:numId w:val="4"/>
        </w:numPr>
        <w:ind w:left="900" w:hanging="540"/>
      </w:pPr>
      <w:r>
        <w:t xml:space="preserve">State of Colorado Building Excellent Schools Today </w:t>
      </w:r>
      <w:r w:rsidR="000A6530">
        <w:t xml:space="preserve">Refunding </w:t>
      </w:r>
      <w:r>
        <w:t>Certificates of Participation, Tax-Exempt Series 2018L</w:t>
      </w:r>
      <w:r w:rsidR="00DD756D">
        <w:t xml:space="preserve"> </w:t>
      </w:r>
      <w:r w:rsidR="00FD7E4E">
        <w:t>(the “Series 2018L Certificates”)</w:t>
      </w:r>
      <w:r>
        <w:t xml:space="preserve">, </w:t>
      </w:r>
      <w:r w:rsidR="00FD7E4E">
        <w:t xml:space="preserve">delivered </w:t>
      </w:r>
      <w:r>
        <w:t>in the original aggregate princ</w:t>
      </w:r>
      <w:r w:rsidR="00FD7E4E">
        <w:t>ipal amount of $75,290,000</w:t>
      </w:r>
      <w:r w:rsidR="00C670D8" w:rsidRPr="00C670D8">
        <w:t xml:space="preserve"> </w:t>
      </w:r>
      <w:r w:rsidR="00C670D8">
        <w:t>and to be outstanding on the Closing Date in the aggregate p</w:t>
      </w:r>
      <w:r w:rsidR="003C7F5F">
        <w:t>rincipal amount of $70,405,000</w:t>
      </w:r>
      <w:r>
        <w:t xml:space="preserve">; </w:t>
      </w:r>
    </w:p>
    <w:p w:rsidR="00561636" w:rsidRDefault="00561636" w:rsidP="00935E4E">
      <w:pPr>
        <w:pStyle w:val="ListParagraph"/>
        <w:numPr>
          <w:ilvl w:val="0"/>
          <w:numId w:val="4"/>
        </w:numPr>
        <w:ind w:left="900" w:hanging="540"/>
      </w:pPr>
      <w:r>
        <w:t xml:space="preserve">State of Colorado Building Excellent Schools Today </w:t>
      </w:r>
      <w:r w:rsidR="000A6530">
        <w:t xml:space="preserve">Refunding </w:t>
      </w:r>
      <w:r>
        <w:t xml:space="preserve">Certificates of Participation, Tax-Exempt Series 2018M </w:t>
      </w:r>
      <w:r w:rsidR="00FD7E4E">
        <w:t>(the “Series 2018M Certificates”)</w:t>
      </w:r>
      <w:r w:rsidR="00DD756D">
        <w:t>,</w:t>
      </w:r>
      <w:r w:rsidR="00FD7E4E" w:rsidRPr="00C670D8">
        <w:t xml:space="preserve"> </w:t>
      </w:r>
      <w:r w:rsidR="00FD7E4E">
        <w:t xml:space="preserve">delivered </w:t>
      </w:r>
      <w:r>
        <w:t>in the original aggregate princ</w:t>
      </w:r>
      <w:r w:rsidR="00FD7E4E">
        <w:t>ipal amount of $93,535,000</w:t>
      </w:r>
      <w:r w:rsidR="00C670D8" w:rsidRPr="00C670D8">
        <w:t xml:space="preserve"> </w:t>
      </w:r>
      <w:r w:rsidR="00C670D8">
        <w:t>and to be outstanding on the Closing Date in the aggregate p</w:t>
      </w:r>
      <w:r w:rsidR="003C7F5F">
        <w:t>rincipal amount of $86,385,000</w:t>
      </w:r>
      <w:r w:rsidR="00B073E4">
        <w:t>;</w:t>
      </w:r>
      <w:r w:rsidR="00954826">
        <w:t xml:space="preserve"> </w:t>
      </w:r>
    </w:p>
    <w:p w:rsidR="00B073E4" w:rsidRDefault="00B073E4" w:rsidP="00935E4E">
      <w:pPr>
        <w:pStyle w:val="ListParagraph"/>
        <w:numPr>
          <w:ilvl w:val="0"/>
          <w:numId w:val="4"/>
        </w:numPr>
        <w:ind w:left="900" w:hanging="540"/>
      </w:pPr>
      <w:r>
        <w:t>State of Colorado Building Excellent Schools Today Refunding Certificates of Participation, Tax-Exempt Series 2018N (the “Series 2018N Certificates”), delivered in the original aggregate principal amount of $240,425,000 and to be outstanding on the Closing Date in the aggregate p</w:t>
      </w:r>
      <w:r w:rsidR="00FD7E4E">
        <w:t>rincipal amount of $233,755,000</w:t>
      </w:r>
      <w:r w:rsidR="00954826">
        <w:t>;</w:t>
      </w:r>
    </w:p>
    <w:p w:rsidR="00954826" w:rsidRDefault="00954826" w:rsidP="00954826">
      <w:pPr>
        <w:pStyle w:val="ListParagraph"/>
        <w:numPr>
          <w:ilvl w:val="0"/>
          <w:numId w:val="4"/>
        </w:numPr>
        <w:ind w:left="900" w:hanging="540"/>
      </w:pPr>
      <w:r>
        <w:t>State of Colorado Building Excellent Schools Today Refunding Certificates of Participation, Tax-Exempt</w:t>
      </w:r>
      <w:r w:rsidR="00810F6D">
        <w:t xml:space="preserve"> Series 2019O (the “Series 2019O</w:t>
      </w:r>
      <w:r>
        <w:t xml:space="preserve"> Certificates”), delivered in the original aggregate </w:t>
      </w:r>
      <w:r w:rsidR="00C670D8">
        <w:t>principal amount of $165,805,00</w:t>
      </w:r>
      <w:r>
        <w:t xml:space="preserve"> and to be outstanding on the Closing Date in the aggregate p</w:t>
      </w:r>
      <w:r w:rsidR="00C670D8">
        <w:t>rincipal amount of $161,170,000</w:t>
      </w:r>
      <w:r>
        <w:t>;</w:t>
      </w:r>
    </w:p>
    <w:p w:rsidR="00954826" w:rsidRDefault="00954826" w:rsidP="00954826">
      <w:pPr>
        <w:pStyle w:val="ListParagraph"/>
        <w:numPr>
          <w:ilvl w:val="0"/>
          <w:numId w:val="4"/>
        </w:numPr>
        <w:ind w:left="900" w:hanging="540"/>
      </w:pPr>
      <w:r>
        <w:t>State of Colorado Building Excellent Schools Today Refunding Certificates of Participation, Taxable (Convertible to Tax-Exempt) Series 2019P (the “Series 2019P Certificates”), delivered in the original aggregate principal amount of $155,595,000 and to be outstanding on the Closing Date in the aggregate p</w:t>
      </w:r>
      <w:r w:rsidR="001B2A09">
        <w:t>rincipal amount of $154,835,000</w:t>
      </w:r>
      <w:r>
        <w:t>;</w:t>
      </w:r>
      <w:r w:rsidR="00C670D8">
        <w:t xml:space="preserve"> and</w:t>
      </w:r>
    </w:p>
    <w:p w:rsidR="001B2A09" w:rsidRDefault="001B2A09" w:rsidP="001B2A09">
      <w:pPr>
        <w:pStyle w:val="ListParagraph"/>
        <w:numPr>
          <w:ilvl w:val="0"/>
          <w:numId w:val="4"/>
        </w:numPr>
        <w:ind w:left="900" w:hanging="540"/>
      </w:pPr>
      <w:r>
        <w:t>State of Colorado Building Excellent Schools Today Refunding Certificates of Participation, Taxable (convertible to Tax-Exempt) Series 2019Q (the “Series 2019Q Certificates”), delivered in the original aggregate principal amount of $74,935,000 and to be outstanding on the Closing Date in the aggregate principal amount of $74,525,000</w:t>
      </w:r>
      <w:r w:rsidR="00C670D8">
        <w:t>.</w:t>
      </w:r>
    </w:p>
    <w:p w:rsidR="006123A1" w:rsidRDefault="006123A1" w:rsidP="005F2BAE">
      <w:pPr>
        <w:pStyle w:val="BodyText1"/>
      </w:pPr>
      <w:r w:rsidRPr="005F2BAE">
        <w:rPr>
          <w:b/>
          <w:i/>
        </w:rPr>
        <w:t>The Leases</w:t>
      </w:r>
      <w:r>
        <w:t xml:space="preserve">.  The Series </w:t>
      </w:r>
      <w:r w:rsidR="00480C95">
        <w:t>2020R</w:t>
      </w:r>
      <w:r>
        <w:t xml:space="preserve"> Certificates and all other Series of Certificates are payable and secured on a parity basis and evidence undivided interests in the right to certain payments by the State under annually renewable lease purchase agreements entered into from time to time by and between the Trustee, as lessor, and the State of Colorado (the </w:t>
      </w:r>
      <w:r w:rsidR="00A06786">
        <w:t>“</w:t>
      </w:r>
      <w:r>
        <w:t>State</w:t>
      </w:r>
      <w:r w:rsidR="00A06786">
        <w:t>”</w:t>
      </w:r>
      <w:r>
        <w:t xml:space="preserve">), acting by and through the State Treasurer (the </w:t>
      </w:r>
      <w:r w:rsidR="00A06786">
        <w:t>“</w:t>
      </w:r>
      <w:r>
        <w:t>State Treasurer</w:t>
      </w:r>
      <w:r w:rsidR="00A06786">
        <w:t>”</w:t>
      </w:r>
      <w:r>
        <w:t xml:space="preserve">), as lessee, pursuant to the Indenture, referred to herein collectively as the </w:t>
      </w:r>
      <w:r w:rsidR="00A06786">
        <w:t>“</w:t>
      </w:r>
      <w:r>
        <w:t>Leases.</w:t>
      </w:r>
      <w:r w:rsidR="00A06786">
        <w:t>”</w:t>
      </w:r>
      <w:r>
        <w:t xml:space="preserve">  Upon the execution and delivery of the Series </w:t>
      </w:r>
      <w:r w:rsidR="00480C95">
        <w:t>2020R</w:t>
      </w:r>
      <w:r>
        <w:t xml:space="preserve"> Certificates, the Leases will include the following:</w:t>
      </w:r>
    </w:p>
    <w:p w:rsidR="006123A1" w:rsidRDefault="006123A1" w:rsidP="001600F6">
      <w:pPr>
        <w:pStyle w:val="ListParagraph"/>
        <w:numPr>
          <w:ilvl w:val="0"/>
          <w:numId w:val="4"/>
        </w:numPr>
        <w:ind w:left="900" w:hanging="540"/>
      </w:pPr>
      <w:r>
        <w:t>Series 2009A Lease Purchase Agreement, dated as of August 12, 2009;</w:t>
      </w:r>
    </w:p>
    <w:p w:rsidR="006123A1" w:rsidRDefault="006123A1" w:rsidP="00935E4E">
      <w:pPr>
        <w:pStyle w:val="ListParagraph"/>
        <w:numPr>
          <w:ilvl w:val="0"/>
          <w:numId w:val="4"/>
        </w:numPr>
        <w:ind w:left="900" w:hanging="540"/>
      </w:pPr>
      <w:r>
        <w:t>Series 2015 Lease Purchase Agreement dated as of February 12, 2015;</w:t>
      </w:r>
    </w:p>
    <w:p w:rsidR="006123A1" w:rsidRDefault="006123A1" w:rsidP="00935E4E">
      <w:pPr>
        <w:pStyle w:val="ListParagraph"/>
        <w:numPr>
          <w:ilvl w:val="0"/>
          <w:numId w:val="4"/>
        </w:numPr>
        <w:ind w:left="900" w:hanging="540"/>
      </w:pPr>
      <w:r>
        <w:t>Series 2017J Lease Purchase Agreement dated as of December 7, 2017;</w:t>
      </w:r>
    </w:p>
    <w:p w:rsidR="006123A1" w:rsidRDefault="006123A1" w:rsidP="00935E4E">
      <w:pPr>
        <w:pStyle w:val="ListParagraph"/>
        <w:numPr>
          <w:ilvl w:val="0"/>
          <w:numId w:val="4"/>
        </w:numPr>
        <w:ind w:left="900" w:hanging="540"/>
      </w:pPr>
      <w:r>
        <w:t>Series 2017K Amended and Restated Lease Purchase Agreement dated as of December 7, 2017</w:t>
      </w:r>
      <w:r w:rsidR="00213924">
        <w:t>,</w:t>
      </w:r>
      <w:r w:rsidR="00213924" w:rsidRPr="00213924">
        <w:t xml:space="preserve"> </w:t>
      </w:r>
      <w:r w:rsidR="00213924">
        <w:t>which amends and restates the Series 2011G Lease Purchase Agreement dated as of December 8, 2011</w:t>
      </w:r>
      <w:r>
        <w:t>;</w:t>
      </w:r>
    </w:p>
    <w:p w:rsidR="006123A1" w:rsidRDefault="006123A1" w:rsidP="00935E4E">
      <w:pPr>
        <w:pStyle w:val="ListParagraph"/>
        <w:numPr>
          <w:ilvl w:val="0"/>
          <w:numId w:val="4"/>
        </w:numPr>
        <w:ind w:left="900" w:hanging="540"/>
      </w:pPr>
      <w:r>
        <w:t xml:space="preserve">Series 2018L Amended and Restated Lease Purchase Agreement dated as of </w:t>
      </w:r>
      <w:r w:rsidR="007C235C">
        <w:t xml:space="preserve">September 18, 2018, </w:t>
      </w:r>
      <w:r>
        <w:t xml:space="preserve">which amends and restates the Series 2010B-C Lease Purchase Agreement dated as of March 16, 2010; </w:t>
      </w:r>
    </w:p>
    <w:p w:rsidR="00561636" w:rsidRDefault="006123A1" w:rsidP="00935E4E">
      <w:pPr>
        <w:pStyle w:val="ListParagraph"/>
        <w:numPr>
          <w:ilvl w:val="0"/>
          <w:numId w:val="4"/>
        </w:numPr>
        <w:ind w:left="900" w:hanging="540"/>
      </w:pPr>
      <w:r>
        <w:t xml:space="preserve">Series 2018M Amended and Restated Lease Purchase Agreement dated as of </w:t>
      </w:r>
      <w:r w:rsidR="007C235C">
        <w:t xml:space="preserve">September 18, 2018, </w:t>
      </w:r>
      <w:r>
        <w:t xml:space="preserve">which amends and restates the Series 2010D-F Lease Purchase Agreement dated as of December 16, 2010 (the </w:t>
      </w:r>
      <w:r w:rsidR="00A06786">
        <w:t>“</w:t>
      </w:r>
      <w:r w:rsidR="00810F6D">
        <w:t>2018M</w:t>
      </w:r>
      <w:r>
        <w:t xml:space="preserve"> Lease</w:t>
      </w:r>
      <w:r w:rsidR="00A06786">
        <w:t>”</w:t>
      </w:r>
      <w:r>
        <w:t>)</w:t>
      </w:r>
      <w:r w:rsidR="00561636">
        <w:t xml:space="preserve">; </w:t>
      </w:r>
    </w:p>
    <w:p w:rsidR="00B073E4" w:rsidRDefault="00561636" w:rsidP="00935E4E">
      <w:pPr>
        <w:pStyle w:val="ListParagraph"/>
        <w:numPr>
          <w:ilvl w:val="0"/>
          <w:numId w:val="4"/>
        </w:numPr>
        <w:ind w:left="900" w:hanging="540"/>
      </w:pPr>
      <w:r>
        <w:t xml:space="preserve">Series </w:t>
      </w:r>
      <w:r w:rsidR="00B073E4">
        <w:t>2018N</w:t>
      </w:r>
      <w:r>
        <w:t xml:space="preserve"> Lease Purchase Agreement dated as of </w:t>
      </w:r>
      <w:r w:rsidR="00C71AC6">
        <w:t>December</w:t>
      </w:r>
      <w:r w:rsidR="0053163D">
        <w:t xml:space="preserve"> 6</w:t>
      </w:r>
      <w:r>
        <w:t xml:space="preserve">, 2018 (the </w:t>
      </w:r>
      <w:r w:rsidR="00A06786">
        <w:t>“</w:t>
      </w:r>
      <w:r w:rsidR="00B073E4">
        <w:t>2018N</w:t>
      </w:r>
      <w:r>
        <w:t xml:space="preserve"> Lease</w:t>
      </w:r>
      <w:r w:rsidR="00A06786">
        <w:t>”</w:t>
      </w:r>
      <w:r>
        <w:t>)</w:t>
      </w:r>
      <w:r w:rsidR="0053163D">
        <w:t xml:space="preserve">; </w:t>
      </w:r>
    </w:p>
    <w:p w:rsidR="006123A1" w:rsidRDefault="00B073E4" w:rsidP="00935E4E">
      <w:pPr>
        <w:pStyle w:val="ListParagraph"/>
        <w:numPr>
          <w:ilvl w:val="0"/>
          <w:numId w:val="4"/>
        </w:numPr>
        <w:ind w:left="900" w:hanging="540"/>
      </w:pPr>
      <w:r>
        <w:t>Series 2019O Lease Purchase Agreement to</w:t>
      </w:r>
      <w:r w:rsidR="004B72B0">
        <w:t xml:space="preserve"> be dated as of December 5, </w:t>
      </w:r>
      <w:r w:rsidR="00C670D8">
        <w:t>2019</w:t>
      </w:r>
      <w:r w:rsidR="0053163D">
        <w:t xml:space="preserve"> (the “2019O Lease”);</w:t>
      </w:r>
    </w:p>
    <w:p w:rsidR="00C670D8" w:rsidRDefault="00C670D8" w:rsidP="00C670D8">
      <w:pPr>
        <w:pStyle w:val="ListParagraph"/>
        <w:numPr>
          <w:ilvl w:val="0"/>
          <w:numId w:val="4"/>
        </w:numPr>
        <w:ind w:left="900" w:hanging="540"/>
      </w:pPr>
      <w:r>
        <w:t xml:space="preserve">Series 2019P </w:t>
      </w:r>
      <w:r w:rsidR="00DD756D">
        <w:t xml:space="preserve">Amended and Restated </w:t>
      </w:r>
      <w:r w:rsidR="004B72B0">
        <w:t xml:space="preserve">Lease Purchase Agreement dated as of </w:t>
      </w:r>
      <w:r w:rsidR="00810F6D">
        <w:t xml:space="preserve"> December 27</w:t>
      </w:r>
      <w:r>
        <w:t>, 2019</w:t>
      </w:r>
      <w:r w:rsidR="004B72B0">
        <w:t xml:space="preserve">, which amends and restates the Series 2012H Lease Purchase Agreement dated as of December 6, 2012 </w:t>
      </w:r>
      <w:r>
        <w:t>(the “2019P</w:t>
      </w:r>
      <w:r w:rsidR="0053163D">
        <w:t xml:space="preserve"> Lease”); </w:t>
      </w:r>
    </w:p>
    <w:p w:rsidR="00C670D8" w:rsidRDefault="00C670D8" w:rsidP="00C670D8">
      <w:pPr>
        <w:pStyle w:val="ListParagraph"/>
        <w:numPr>
          <w:ilvl w:val="0"/>
          <w:numId w:val="4"/>
        </w:numPr>
        <w:ind w:left="900" w:hanging="540"/>
      </w:pPr>
      <w:r>
        <w:t>Series 2019Q Lease Purchase Agreement to</w:t>
      </w:r>
      <w:r w:rsidR="004B72B0">
        <w:t xml:space="preserve"> be dated as of</w:t>
      </w:r>
      <w:r w:rsidR="003D42CF">
        <w:t xml:space="preserve"> December 27</w:t>
      </w:r>
      <w:r>
        <w:t>, 2019</w:t>
      </w:r>
      <w:r w:rsidR="001600F6">
        <w:t xml:space="preserve">, which amends and restates the Series 2013I Lease Purchase Agreement dated as of December 9, 2013 </w:t>
      </w:r>
      <w:r w:rsidR="003029F1">
        <w:t>(the “2019Q Lease”); and</w:t>
      </w:r>
    </w:p>
    <w:p w:rsidR="003029F1" w:rsidRDefault="003029F1" w:rsidP="00C670D8">
      <w:pPr>
        <w:pStyle w:val="ListParagraph"/>
        <w:numPr>
          <w:ilvl w:val="0"/>
          <w:numId w:val="4"/>
        </w:numPr>
        <w:ind w:left="900" w:hanging="540"/>
      </w:pPr>
      <w:r>
        <w:t>Series 2020R Lease Purchase Agreement to be dated as of the Closing (the “2020R Lease”).</w:t>
      </w:r>
    </w:p>
    <w:p w:rsidR="006123A1" w:rsidRDefault="006123A1" w:rsidP="005F2BAE">
      <w:pPr>
        <w:pStyle w:val="BodyText1"/>
      </w:pPr>
      <w:r>
        <w:t>The Leases will also include any other annually renewable lease purchase agreements that may be entered into in the future between the Trustee, as lessor, and the State, acting by and through the State Treasurer, as lessee, pursuant to the Indenture.</w:t>
      </w:r>
    </w:p>
    <w:p w:rsidR="006123A1" w:rsidRDefault="006123A1" w:rsidP="00F14B68">
      <w:pPr>
        <w:pStyle w:val="BodyText1"/>
      </w:pPr>
      <w:r w:rsidRPr="00F14BD9">
        <w:rPr>
          <w:b/>
          <w:i/>
        </w:rPr>
        <w:t>The Leased Property</w:t>
      </w:r>
      <w:r>
        <w:t xml:space="preserve">.  </w:t>
      </w:r>
      <w:r w:rsidR="00F14B68" w:rsidRPr="003D6DA2">
        <w:t xml:space="preserve">Each of the Series </w:t>
      </w:r>
      <w:r w:rsidR="00480C95">
        <w:t>2020R</w:t>
      </w:r>
      <w:r w:rsidR="00F14B68" w:rsidRPr="003D6DA2">
        <w:t xml:space="preserve"> Participating K-12 Institutions is entering into a Site Lease with the Trustee dated as of the date of delivery of the Series </w:t>
      </w:r>
      <w:r w:rsidR="00F14B68">
        <w:t xml:space="preserve"> </w:t>
      </w:r>
      <w:r w:rsidR="00480C95">
        <w:t>2020R</w:t>
      </w:r>
      <w:r w:rsidR="00F14B68" w:rsidRPr="003D6DA2">
        <w:t xml:space="preserve"> Certificates (the </w:t>
      </w:r>
      <w:r w:rsidR="00A06786">
        <w:t>“</w:t>
      </w:r>
      <w:r w:rsidR="00F14B68">
        <w:t xml:space="preserve"> </w:t>
      </w:r>
      <w:r w:rsidR="00480C95">
        <w:t>2020R</w:t>
      </w:r>
      <w:r w:rsidR="00F14B68" w:rsidRPr="003D6DA2">
        <w:t xml:space="preserve"> Site Leases</w:t>
      </w:r>
      <w:r w:rsidR="00A06786">
        <w:t>”</w:t>
      </w:r>
      <w:r w:rsidR="00F14B68" w:rsidRPr="003D6DA2">
        <w:t xml:space="preserve">) pursuant to which, in each case, certain land owned (or acquired prior to or contemporaneously with the execution and delivery of the Series </w:t>
      </w:r>
      <w:r w:rsidR="00480C95">
        <w:t>2020R</w:t>
      </w:r>
      <w:r w:rsidR="00F14B68" w:rsidRPr="003D6DA2">
        <w:t xml:space="preserve"> Certificates) by the respective Series </w:t>
      </w:r>
      <w:r w:rsidR="00480C95">
        <w:t>2020R</w:t>
      </w:r>
      <w:r w:rsidR="00F14B68" w:rsidRPr="003D6DA2">
        <w:t xml:space="preserve"> Participating K-12 Institution and the buildings, structures and improvements now or hereafter located on such land (collectively, the </w:t>
      </w:r>
      <w:r w:rsidR="00A06786">
        <w:t>“</w:t>
      </w:r>
      <w:r w:rsidR="00F14B68">
        <w:t xml:space="preserve"> </w:t>
      </w:r>
      <w:r w:rsidR="00480C95">
        <w:t>2020R</w:t>
      </w:r>
      <w:r w:rsidR="00F14B68" w:rsidRPr="003D6DA2">
        <w:t xml:space="preserve"> Leased Property</w:t>
      </w:r>
      <w:r w:rsidR="00A06786">
        <w:t>”</w:t>
      </w:r>
      <w:r w:rsidR="00F14B68" w:rsidRPr="003D6DA2">
        <w:t xml:space="preserve">) will be leased to the Trustee.  See </w:t>
      </w:r>
      <w:r w:rsidR="00A06786">
        <w:t>“</w:t>
      </w:r>
      <w:r w:rsidR="00F14B68" w:rsidRPr="003D6DA2">
        <w:t>SECURITY AND SOURCES OF PAYMENT – The Leased Property</w:t>
      </w:r>
      <w:r w:rsidR="00A06786">
        <w:t>”</w:t>
      </w:r>
      <w:r w:rsidR="00F14B68" w:rsidRPr="003D6DA2">
        <w:t xml:space="preserve"> and </w:t>
      </w:r>
      <w:r w:rsidR="00A06786">
        <w:t>“</w:t>
      </w:r>
      <w:r w:rsidR="00F14B68" w:rsidRPr="003D6DA2">
        <w:t>CERTAIN RISK FACTORS – Effect of a Nonrenewal of the Lease.</w:t>
      </w:r>
      <w:r w:rsidR="00A06786">
        <w:t>”</w:t>
      </w:r>
      <w:r w:rsidR="00F14B68" w:rsidRPr="003D6DA2">
        <w:t xml:space="preserve">  The </w:t>
      </w:r>
      <w:r w:rsidR="00480C95">
        <w:t>2020R</w:t>
      </w:r>
      <w:r w:rsidR="00F14B68" w:rsidRPr="003D6DA2">
        <w:t xml:space="preserve"> Leased Property</w:t>
      </w:r>
      <w:r w:rsidR="00F14B68">
        <w:t>,</w:t>
      </w:r>
      <w:r w:rsidR="00F14B68" w:rsidRPr="003D6DA2">
        <w:t xml:space="preserve"> with the additional Leased Property which has already or may in the </w:t>
      </w:r>
      <w:r w:rsidR="00F14B68">
        <w:t xml:space="preserve">future be leased under the </w:t>
      </w:r>
      <w:r w:rsidR="00480C95">
        <w:t>2020R</w:t>
      </w:r>
      <w:r w:rsidR="00F14B68" w:rsidRPr="003D6DA2">
        <w:t xml:space="preserve"> Lease, the Prior Leases, additional Leases or amendments to the Prior Leases or the </w:t>
      </w:r>
      <w:r w:rsidR="00480C95">
        <w:t>2020R</w:t>
      </w:r>
      <w:r w:rsidR="00F14B68" w:rsidRPr="003D6DA2">
        <w:t xml:space="preserve"> Lease is referred to herein as the </w:t>
      </w:r>
      <w:r w:rsidR="00A06786">
        <w:t>“</w:t>
      </w:r>
      <w:r w:rsidR="00F14B68" w:rsidRPr="003D6DA2">
        <w:t>Leased Property.</w:t>
      </w:r>
      <w:r w:rsidR="00A06786">
        <w:t>”</w:t>
      </w:r>
      <w:r w:rsidR="00F14B68" w:rsidRPr="003D6DA2">
        <w:t xml:space="preserve">  The </w:t>
      </w:r>
      <w:r w:rsidR="00480C95">
        <w:t>2020R</w:t>
      </w:r>
      <w:r w:rsidR="00F14B68" w:rsidRPr="003D6DA2">
        <w:t xml:space="preserve"> Leased Property </w:t>
      </w:r>
      <w:r w:rsidR="00F14B68">
        <w:t xml:space="preserve">is </w:t>
      </w:r>
      <w:r w:rsidR="00F14B68" w:rsidRPr="003D6DA2">
        <w:t xml:space="preserve">being leased by the Trustee to the State, pursuant to the </w:t>
      </w:r>
      <w:r w:rsidR="00480C95">
        <w:t>2020R</w:t>
      </w:r>
      <w:r w:rsidR="00F14B68" w:rsidRPr="003D6DA2">
        <w:t xml:space="preserve"> Lease and the State is subleasing the </w:t>
      </w:r>
      <w:r w:rsidR="00480C95">
        <w:t>2020R</w:t>
      </w:r>
      <w:r w:rsidR="00F14B68" w:rsidRPr="003D6DA2">
        <w:t xml:space="preserve"> Leased Property to the respective Participating K-12 Institutions under certain Subleases each dated as of the date of delivery of the Series </w:t>
      </w:r>
      <w:r w:rsidR="00480C95">
        <w:t>2020R</w:t>
      </w:r>
      <w:r w:rsidR="00F14B68" w:rsidRPr="003D6DA2">
        <w:t xml:space="preserve"> Certificates (the </w:t>
      </w:r>
      <w:r w:rsidR="00A06786">
        <w:t>“</w:t>
      </w:r>
      <w:r w:rsidR="00480C95">
        <w:t>2020R</w:t>
      </w:r>
      <w:r w:rsidR="00F14B68" w:rsidRPr="003D6DA2">
        <w:t xml:space="preserve"> Subleases</w:t>
      </w:r>
      <w:r w:rsidR="00A06786">
        <w:t>”</w:t>
      </w:r>
      <w:r w:rsidR="00F14B68" w:rsidRPr="003D6DA2">
        <w:t xml:space="preserve">).  Any additional Leased Property which the State has already chosen or chooses in the future to lease under the Prior Leases or additional Leases or amendments to the Prior Leases, the </w:t>
      </w:r>
      <w:r w:rsidR="00F14B68">
        <w:t xml:space="preserve"> </w:t>
      </w:r>
      <w:r w:rsidR="00480C95">
        <w:t>2020R</w:t>
      </w:r>
      <w:r w:rsidR="00F14B68" w:rsidRPr="003D6DA2">
        <w:t xml:space="preserve"> Lease will secure all holders of Certificates under the Master Indenture, including holders of the Series </w:t>
      </w:r>
      <w:r w:rsidR="00F14B68">
        <w:t xml:space="preserve"> </w:t>
      </w:r>
      <w:r w:rsidR="00480C95">
        <w:t>2020R</w:t>
      </w:r>
      <w:r w:rsidR="00F14B68" w:rsidRPr="003D6DA2">
        <w:t xml:space="preserve"> Certificates on a parity basis.  The State may substitute other property for any portion of the Leased Property upon delivery to the Trustee of certain items as described in </w:t>
      </w:r>
      <w:r w:rsidR="00A06786">
        <w:t>“</w:t>
      </w:r>
      <w:r w:rsidR="00F14B68" w:rsidRPr="003D6DA2">
        <w:t>SECURITY AND SOURCES OF PAYMENT – The Leased Property – Substitution of Leased Property.</w:t>
      </w:r>
      <w:r w:rsidR="00A06786">
        <w:t>”</w:t>
      </w:r>
      <w:r w:rsidR="00F14B68" w:rsidRPr="003D6DA2">
        <w:t xml:space="preserve">  Upon any decision of the State not to appropriate and thereby terminate the </w:t>
      </w:r>
      <w:r w:rsidR="00480C95">
        <w:t>2020R</w:t>
      </w:r>
      <w:r w:rsidR="00F14B68">
        <w:t xml:space="preserve"> Lease </w:t>
      </w:r>
      <w:r w:rsidR="00F14B68" w:rsidRPr="003D6DA2">
        <w:t>or any other Lease in a particular year, the State would relinquish its right to use all of the</w:t>
      </w:r>
      <w:r w:rsidR="00F14B68">
        <w:t xml:space="preserve"> Leased Property (including the </w:t>
      </w:r>
      <w:r w:rsidR="00480C95">
        <w:t>2020R</w:t>
      </w:r>
      <w:r w:rsidR="00F14B68" w:rsidRPr="003D6DA2">
        <w:t xml:space="preserve"> Leased Property) or any portion thereof through the term of the respective Site Leases.  </w:t>
      </w:r>
      <w:r>
        <w:t xml:space="preserve">In such event, the Participating </w:t>
      </w:r>
      <w:r w:rsidR="00006F60">
        <w:t>K-12</w:t>
      </w:r>
      <w:r>
        <w:t xml:space="preserve"> Institution which is the Sublessee of such Leased Property (and, in the case of a charter school, its chartering school entity) will have the option to purchase a portion of such Leased Property under the related Sublease upon certain conditions as further described herein.  See </w:t>
      </w:r>
      <w:r w:rsidR="00A06786">
        <w:t>“</w:t>
      </w:r>
      <w:r>
        <w:t xml:space="preserve">SECURITY AND SOURCES OF PAYMENT – The Leased Property – </w:t>
      </w:r>
      <w:r w:rsidRPr="00F14BD9">
        <w:rPr>
          <w:i/>
        </w:rPr>
        <w:t>Sublessee</w:t>
      </w:r>
      <w:r w:rsidR="00A06786">
        <w:rPr>
          <w:i/>
        </w:rPr>
        <w:t>’</w:t>
      </w:r>
      <w:r w:rsidRPr="00F14BD9">
        <w:rPr>
          <w:i/>
        </w:rPr>
        <w:t>s Purchase Option</w:t>
      </w:r>
      <w:r>
        <w:t>.</w:t>
      </w:r>
      <w:r w:rsidR="00A06786">
        <w:t>”</w:t>
      </w:r>
    </w:p>
    <w:p w:rsidR="006123A1" w:rsidRDefault="006123A1" w:rsidP="003A3DD0">
      <w:pPr>
        <w:pStyle w:val="Heading2"/>
      </w:pPr>
      <w:bookmarkStart w:id="4" w:name="_Toc56668337"/>
      <w:r>
        <w:t>Authorization</w:t>
      </w:r>
      <w:bookmarkEnd w:id="4"/>
    </w:p>
    <w:p w:rsidR="006123A1" w:rsidRDefault="006123A1" w:rsidP="005F2BAE">
      <w:pPr>
        <w:pStyle w:val="BodyText1"/>
      </w:pPr>
      <w:r w:rsidRPr="00F14BD9">
        <w:rPr>
          <w:b/>
          <w:i/>
        </w:rPr>
        <w:t>The Act</w:t>
      </w:r>
      <w:r>
        <w:t xml:space="preserve">.  The Series </w:t>
      </w:r>
      <w:r w:rsidR="00480C95">
        <w:t>2020R</w:t>
      </w:r>
      <w:r>
        <w:t xml:space="preserve"> Certificates are being executed and delivered under authority granted by the constitution and laws of the State and particularly Part 1 of Article 43.7 of Title 22, Colorado Revised Statutes, as amended (</w:t>
      </w:r>
      <w:r w:rsidR="00A06786">
        <w:t>“</w:t>
      </w:r>
      <w:r>
        <w:t>C.R.S.</w:t>
      </w:r>
      <w:r w:rsidR="00A06786">
        <w:t>”</w:t>
      </w:r>
      <w:r>
        <w:t xml:space="preserve">), referred to herein as the </w:t>
      </w:r>
      <w:r w:rsidR="00A06786">
        <w:t>“</w:t>
      </w:r>
      <w:r>
        <w:t>Act</w:t>
      </w:r>
      <w:r w:rsidR="00A06786">
        <w:t>”</w:t>
      </w:r>
      <w:r>
        <w:t xml:space="preserve"> or the </w:t>
      </w:r>
      <w:r w:rsidR="00A06786">
        <w:t>“</w:t>
      </w:r>
      <w:r>
        <w:t>BEST Act</w:t>
      </w:r>
      <w:r w:rsidR="00430D60">
        <w:t>.</w:t>
      </w:r>
      <w:r w:rsidR="00A06786">
        <w:t>”</w:t>
      </w:r>
      <w:r>
        <w:t xml:space="preserve">  Pursuant to the Act, the Colorado General Assembly (the </w:t>
      </w:r>
      <w:r w:rsidR="00A06786">
        <w:t>“</w:t>
      </w:r>
      <w:r>
        <w:t>General Assembly</w:t>
      </w:r>
      <w:r w:rsidR="00A06786">
        <w:t>”</w:t>
      </w:r>
      <w:r>
        <w:t xml:space="preserve">) has created the Public School Capital Construction Assistance Board (the </w:t>
      </w:r>
      <w:r w:rsidR="00A06786">
        <w:t>“</w:t>
      </w:r>
      <w:r>
        <w:t>Assistance Board</w:t>
      </w:r>
      <w:r w:rsidR="00A06786">
        <w:t>”</w:t>
      </w:r>
      <w:r>
        <w:t xml:space="preserve">) within the Colorado Department of Education and provided that the Assistance Board may authorize the execution by the State Treasurer of lease purchase agreements and related instruments in order to fund the costs of certain capital construction projects (the </w:t>
      </w:r>
      <w:r w:rsidR="00A06786">
        <w:t>“</w:t>
      </w:r>
      <w:r>
        <w:t>Projects</w:t>
      </w:r>
      <w:r w:rsidR="00A06786">
        <w:t>”</w:t>
      </w:r>
      <w:r>
        <w:t xml:space="preserve">) for </w:t>
      </w:r>
      <w:r w:rsidR="00006F60">
        <w:t>K-12</w:t>
      </w:r>
      <w:r>
        <w:t xml:space="preserve"> public school institutions (the </w:t>
      </w:r>
      <w:r w:rsidR="00A06786">
        <w:t>“</w:t>
      </w:r>
      <w:r>
        <w:t xml:space="preserve">Participating </w:t>
      </w:r>
      <w:r w:rsidR="00006F60">
        <w:t>K-12</w:t>
      </w:r>
      <w:r>
        <w:t xml:space="preserve"> Institutions</w:t>
      </w:r>
      <w:r w:rsidR="00A06786">
        <w:t>”</w:t>
      </w:r>
      <w:r>
        <w:t xml:space="preserve">) that are reviewed, prioritized and recommended by the Assistance Board for approval by the State Board of Education (the </w:t>
      </w:r>
      <w:r w:rsidR="00A06786">
        <w:t>“</w:t>
      </w:r>
      <w:r>
        <w:t>State Board</w:t>
      </w:r>
      <w:r w:rsidR="00A06786">
        <w:t>”</w:t>
      </w:r>
      <w:r>
        <w:t xml:space="preserve">) and a Capital Development Committee established by statute (the </w:t>
      </w:r>
      <w:r w:rsidR="00A06786">
        <w:t>“</w:t>
      </w:r>
      <w:r>
        <w:t>Capital Development Committee</w:t>
      </w:r>
      <w:r w:rsidR="00A06786">
        <w:t>”</w:t>
      </w:r>
      <w:r>
        <w:t>) for school districts, boards of cooperative services, charter schools or the Colorado School for the Deaf and Blind in the State, to pay the costs of issuance of the Certificates and to make deposits to funds and accounts held by the Trustee under the Indenture</w:t>
      </w:r>
      <w:r w:rsidR="00AF20F6">
        <w:t xml:space="preserve">.  </w:t>
      </w:r>
      <w:r w:rsidR="00AF20F6" w:rsidRPr="00FD1FE5">
        <w:t xml:space="preserve">The </w:t>
      </w:r>
      <w:r w:rsidR="00AF20F6">
        <w:t xml:space="preserve"> </w:t>
      </w:r>
      <w:r w:rsidR="00480C95">
        <w:t>2020R</w:t>
      </w:r>
      <w:r w:rsidR="00AF20F6" w:rsidRPr="00FD1FE5">
        <w:t xml:space="preserve"> Lease is being entered by the State in order to fund certain Projects approved by the State Board and Capital Deve</w:t>
      </w:r>
      <w:r w:rsidR="00832EA0">
        <w:t>lopment Committee in June of 2020</w:t>
      </w:r>
      <w:r w:rsidR="00AF20F6" w:rsidRPr="00FD1FE5">
        <w:t xml:space="preserve"> (collectively, the </w:t>
      </w:r>
      <w:r w:rsidR="00A06786">
        <w:t>“</w:t>
      </w:r>
      <w:r w:rsidR="00832EA0">
        <w:t>2020</w:t>
      </w:r>
      <w:r w:rsidR="00AF20F6" w:rsidRPr="00FD1FE5">
        <w:t xml:space="preserve"> State Approval</w:t>
      </w:r>
      <w:r w:rsidR="00A06786">
        <w:t>”</w:t>
      </w:r>
      <w:r w:rsidR="00AF20F6" w:rsidRPr="00FD1FE5">
        <w:t xml:space="preserve">) as described in </w:t>
      </w:r>
      <w:r w:rsidR="00A06786">
        <w:t>“</w:t>
      </w:r>
      <w:r w:rsidR="00AF20F6" w:rsidRPr="00FD1FE5">
        <w:t xml:space="preserve">The Series </w:t>
      </w:r>
      <w:r w:rsidR="00AF20F6">
        <w:t xml:space="preserve"> </w:t>
      </w:r>
      <w:r w:rsidR="00480C95">
        <w:t>2020R</w:t>
      </w:r>
      <w:r w:rsidR="00AF20F6" w:rsidRPr="00FD1FE5">
        <w:t xml:space="preserve"> Projects</w:t>
      </w:r>
      <w:r w:rsidR="00A06786">
        <w:t>”</w:t>
      </w:r>
      <w:r w:rsidR="00AF20F6" w:rsidRPr="00FD1FE5">
        <w:t xml:space="preserve"> under this caption for the Series </w:t>
      </w:r>
      <w:r w:rsidR="00480C95">
        <w:t>2020R</w:t>
      </w:r>
      <w:r w:rsidR="00AF20F6" w:rsidRPr="00FD1FE5">
        <w:t xml:space="preserve"> Participating K-12 Institutions in accordance with the Act.  See </w:t>
      </w:r>
      <w:r w:rsidR="00A06786">
        <w:t>“</w:t>
      </w:r>
      <w:r w:rsidR="00AF20F6" w:rsidRPr="00FD1FE5">
        <w:t>The Program</w:t>
      </w:r>
      <w:r w:rsidR="00A06786">
        <w:t>”</w:t>
      </w:r>
      <w:r w:rsidR="00AF20F6" w:rsidRPr="00FD1FE5">
        <w:t xml:space="preserve"> and </w:t>
      </w:r>
      <w:r w:rsidR="00A06786">
        <w:t>“</w:t>
      </w:r>
      <w:r w:rsidR="00AF20F6" w:rsidRPr="00FD1FE5">
        <w:t xml:space="preserve">The Series </w:t>
      </w:r>
      <w:r w:rsidR="00480C95">
        <w:t>2020R</w:t>
      </w:r>
      <w:r w:rsidR="00AF20F6" w:rsidRPr="00FD1FE5">
        <w:t xml:space="preserve"> Participating K-12 Institutions</w:t>
      </w:r>
      <w:r w:rsidR="00A06786">
        <w:t>”</w:t>
      </w:r>
      <w:r w:rsidR="00AF20F6" w:rsidRPr="00FD1FE5">
        <w:t xml:space="preserve"> under this caption.  See also </w:t>
      </w:r>
      <w:r w:rsidR="00A06786">
        <w:t>“</w:t>
      </w:r>
      <w:r w:rsidR="00AF20F6" w:rsidRPr="00FD1FE5">
        <w:t>PLAN OF FINANCING – The Program</w:t>
      </w:r>
      <w:r w:rsidR="00A06786">
        <w:t>”</w:t>
      </w:r>
      <w:r w:rsidR="00AF20F6" w:rsidRPr="00FD1FE5">
        <w:t xml:space="preserve"> for further information about the Act.</w:t>
      </w:r>
    </w:p>
    <w:p w:rsidR="007B5EE3" w:rsidRDefault="007B5EE3" w:rsidP="007B5EE3">
      <w:pPr>
        <w:pStyle w:val="BodyText1"/>
      </w:pPr>
      <w:r>
        <w:t xml:space="preserve">The execution by the State of any future Leases for Projects not authorized as described above would require authorization by the State, as well as authorization by the General Assembly if the aggregate Rent (which includes the Base Rent and Additional Rent, both as described hereinafter) payable under such future Leases, together with the then existing Leases, would cause the maximum aggregate annual lease payments permitted by the Act to be exceeded.  For a description of the Program and such maximum aggregate annual lease payments, see </w:t>
      </w:r>
      <w:r w:rsidR="00A06786">
        <w:t>“</w:t>
      </w:r>
      <w:r>
        <w:t>PLAN OF FINANCING – The Program.</w:t>
      </w:r>
      <w:r w:rsidR="00A06786">
        <w:t>”</w:t>
      </w:r>
      <w:r>
        <w:t xml:space="preserve">  </w:t>
      </w:r>
    </w:p>
    <w:p w:rsidR="006123A1" w:rsidRDefault="006123A1" w:rsidP="005F2BAE">
      <w:pPr>
        <w:pStyle w:val="BodyText1"/>
      </w:pPr>
      <w:r w:rsidRPr="00F14BD9">
        <w:rPr>
          <w:b/>
          <w:i/>
        </w:rPr>
        <w:t>The Program</w:t>
      </w:r>
      <w:r>
        <w:t xml:space="preserve">.  The Act establishes the Building Excellent Schools Today grant program (the </w:t>
      </w:r>
      <w:r w:rsidR="00A06786">
        <w:t>“</w:t>
      </w:r>
      <w:r>
        <w:t>Program</w:t>
      </w:r>
      <w:r w:rsidR="00A06786">
        <w:t>”</w:t>
      </w:r>
      <w:r>
        <w:t xml:space="preserve"> or the </w:t>
      </w:r>
      <w:r w:rsidR="00A06786">
        <w:t>“</w:t>
      </w:r>
      <w:r>
        <w:t>BEST Program</w:t>
      </w:r>
      <w:r w:rsidR="00A06786">
        <w:t>”</w:t>
      </w:r>
      <w:r>
        <w:t>), which provides funding to rebuild, repair or replace the State</w:t>
      </w:r>
      <w:r w:rsidR="00A06786">
        <w:t>’</w:t>
      </w:r>
      <w:r>
        <w:t xml:space="preserve">s most dangerous and necessary </w:t>
      </w:r>
      <w:r w:rsidR="00006F60">
        <w:t>K-12</w:t>
      </w:r>
      <w:r>
        <w:t xml:space="preserve"> facilities for the most needy institutions, and leverages such financial assistance through local matching contributions from such institutions.  Schools and proposed projects for funding are evaluated by the Assistance Board through an ongoing application process supplemented by a Statewide needs assessment and site visits.  Applications are prioritized by the Assistance Board based on the following criteria, in descending order of importance: (1) projects addressing health, safety, security and technology; (2) projects to relieve overcrowding; and (3) all other projects.  The Assistance Board</w:t>
      </w:r>
      <w:r w:rsidR="00A06786">
        <w:t>’</w:t>
      </w:r>
      <w:r>
        <w:t>s review results in a prioritized list of projects to be submitted to the State for final approval.</w:t>
      </w:r>
    </w:p>
    <w:p w:rsidR="006123A1" w:rsidRDefault="006123A1" w:rsidP="005F2BAE">
      <w:pPr>
        <w:pStyle w:val="BodyText1"/>
      </w:pPr>
      <w:r>
        <w:t xml:space="preserve">The State has funded a variety of Projects pursuant to the Program through the execution and delivery of the Prior Certificates, as well as various Series of Certificates that have been paid in full, and has entered into Leases with respect to all of such Projects.  See </w:t>
      </w:r>
      <w:r w:rsidR="00A06786">
        <w:t>“</w:t>
      </w:r>
      <w:r>
        <w:t>The Indenture, the Leases and the Prior Certificates</w:t>
      </w:r>
      <w:r w:rsidR="00A06786">
        <w:t>”</w:t>
      </w:r>
      <w:r>
        <w:t xml:space="preserve"> above in this section.  The Projects funded with the Prior Certificates are described in </w:t>
      </w:r>
      <w:r w:rsidR="00A06786">
        <w:t>“</w:t>
      </w:r>
      <w:r>
        <w:t xml:space="preserve">APPENDIX H – LEASED PROPERTY RELATING TO THE </w:t>
      </w:r>
      <w:r w:rsidR="00F14B68">
        <w:t>PRIOR</w:t>
      </w:r>
      <w:r>
        <w:t xml:space="preserve"> CERTIFICATES.</w:t>
      </w:r>
      <w:r w:rsidR="00A06786">
        <w:t>”</w:t>
      </w:r>
      <w:r>
        <w:t xml:space="preserve">  </w:t>
      </w:r>
      <w:r w:rsidR="00F14B68">
        <w:t xml:space="preserve">The </w:t>
      </w:r>
      <w:r w:rsidR="00480C95">
        <w:t>2020R</w:t>
      </w:r>
      <w:r w:rsidR="00F14B68">
        <w:t xml:space="preserve"> Lease is being entered into by the S</w:t>
      </w:r>
      <w:r w:rsidR="00CB5C58">
        <w:t>t</w:t>
      </w:r>
      <w:r w:rsidR="00F14B68">
        <w:t xml:space="preserve">ate in order to fund certain Projects as further described in </w:t>
      </w:r>
      <w:r w:rsidR="00A06786">
        <w:t>“</w:t>
      </w:r>
      <w:r w:rsidR="00F14B68">
        <w:t xml:space="preserve">The Series </w:t>
      </w:r>
      <w:r w:rsidR="00480C95">
        <w:t>2020R</w:t>
      </w:r>
      <w:r w:rsidR="00F14B68">
        <w:t xml:space="preserve"> Projects</w:t>
      </w:r>
      <w:r w:rsidR="00A06786">
        <w:t>”</w:t>
      </w:r>
      <w:r w:rsidR="00F14B68">
        <w:t xml:space="preserve"> under this caption (the </w:t>
      </w:r>
      <w:r w:rsidR="00A06786">
        <w:t>“</w:t>
      </w:r>
      <w:r w:rsidR="00F14B68">
        <w:t xml:space="preserve">Series </w:t>
      </w:r>
      <w:r w:rsidR="00480C95">
        <w:t>2020R</w:t>
      </w:r>
      <w:r w:rsidR="00F14B68">
        <w:t xml:space="preserve"> Projects</w:t>
      </w:r>
      <w:r w:rsidR="00A06786">
        <w:t>”</w:t>
      </w:r>
      <w:r w:rsidR="00F14B68">
        <w:t xml:space="preserve">).  </w:t>
      </w:r>
      <w:r>
        <w:t xml:space="preserve">The Master Indenture permits the execution of additional Leases, or amendments to Leases, and the execution and delivery of additional Series of Certificates under the Master Indenture, to fund additional Projects as part of the Program as described in </w:t>
      </w:r>
      <w:r w:rsidR="00A06786">
        <w:t>“</w:t>
      </w:r>
      <w:r>
        <w:t>Additional Certificates</w:t>
      </w:r>
      <w:r w:rsidR="00A06786">
        <w:t>”</w:t>
      </w:r>
      <w:r>
        <w:t xml:space="preserve"> in this section and </w:t>
      </w:r>
      <w:r w:rsidR="00A06786">
        <w:t>“</w:t>
      </w:r>
      <w:r>
        <w:t>SECURITY AND SOURCES OF PAYMENT – Additional Series of Certificates.</w:t>
      </w:r>
      <w:r w:rsidR="00A06786">
        <w:t>”</w:t>
      </w:r>
      <w:r>
        <w:t xml:space="preserve">  The Series </w:t>
      </w:r>
      <w:r w:rsidR="00480C95">
        <w:t>2020R</w:t>
      </w:r>
      <w:r>
        <w:t xml:space="preserve"> Certificates are payable and secured on parity with the Prior Certificates and any future Certificates executed and delivered pursuant to the Master Indenture.  The State could also choose to fund future Projects through certificates of participation that are not executed and delivered pursuant to the Master Indenture, in which case the related leased property would not secure the Series </w:t>
      </w:r>
      <w:r w:rsidR="00480C95">
        <w:t>2020R</w:t>
      </w:r>
      <w:r>
        <w:t xml:space="preserve"> Certificates.  See also </w:t>
      </w:r>
      <w:r w:rsidR="00A06786">
        <w:t>“</w:t>
      </w:r>
      <w:r>
        <w:t>SECURITY AND SOURCES OF PAYMENT – The Leased Property.</w:t>
      </w:r>
      <w:r w:rsidR="00A06786">
        <w:t>”</w:t>
      </w:r>
    </w:p>
    <w:p w:rsidR="006123A1" w:rsidRDefault="006123A1" w:rsidP="005F2BAE">
      <w:pPr>
        <w:pStyle w:val="BodyText1"/>
      </w:pPr>
      <w:r w:rsidRPr="00F14BD9">
        <w:rPr>
          <w:b/>
          <w:i/>
        </w:rPr>
        <w:t>The Assistance Fund</w:t>
      </w:r>
      <w:r>
        <w:t xml:space="preserve">.  The Series </w:t>
      </w:r>
      <w:r w:rsidR="00480C95">
        <w:t>2020R</w:t>
      </w:r>
      <w:r>
        <w:t xml:space="preserve"> Certificates will be payable solely from amounts annually appropriated by the General Assembly to make payments under the Leases, as described in </w:t>
      </w:r>
      <w:r w:rsidR="00A06786">
        <w:t>“</w:t>
      </w:r>
      <w:r>
        <w:t>Security and Sources of Payment</w:t>
      </w:r>
      <w:r w:rsidR="00A06786">
        <w:t>”</w:t>
      </w:r>
      <w:r>
        <w:t xml:space="preserve"> in this section and </w:t>
      </w:r>
      <w:r w:rsidR="00A06786">
        <w:t>“</w:t>
      </w:r>
      <w:r>
        <w:t>SECURITY AND SOURCES OF PAYMENT – Payments by the State.</w:t>
      </w:r>
      <w:r w:rsidR="00A06786">
        <w:t>”</w:t>
      </w:r>
      <w:r>
        <w:t xml:space="preserve">  The Act requires that, to the extent appropriated, such payments by the State be made from the Public School Capital Construction Assistance Fund created by the Act (the </w:t>
      </w:r>
      <w:r w:rsidR="00A06786">
        <w:t>“</w:t>
      </w:r>
      <w:r>
        <w:t>Assistance Fund</w:t>
      </w:r>
      <w:r w:rsidR="00A06786">
        <w:t>”</w:t>
      </w:r>
      <w:r>
        <w:t xml:space="preserve">).  The Act provides that the Assistance Fund is to be partially funded from a portion of rental income and royalties derived from State school lands, from moneys paid to the State by Participating </w:t>
      </w:r>
      <w:r w:rsidR="00006F60">
        <w:t>K-12</w:t>
      </w:r>
      <w:r>
        <w:t xml:space="preserve"> Institutions in amounts approved by the State as a condition to the financial assistance provided to such Participating </w:t>
      </w:r>
      <w:r w:rsidR="00006F60">
        <w:t>K-12</w:t>
      </w:r>
      <w:r>
        <w:t xml:space="preserve"> Institutions (</w:t>
      </w:r>
      <w:r w:rsidR="00A06786">
        <w:t>“</w:t>
      </w:r>
      <w:r>
        <w:t>Matching Moneys</w:t>
      </w:r>
      <w:r w:rsidR="00A06786">
        <w:t>”</w:t>
      </w:r>
      <w:r>
        <w:t xml:space="preserve">), a portion of State lottery proceeds, excise tax revenues from marijuana sales and, if the amount in the Assistance Fund is insufficient to pay the full amount due to be made under the Leases, any moneys that the General Assembly transfers from any other legally available sources, including the State General Fund.  The obligation of a Participating </w:t>
      </w:r>
      <w:r w:rsidR="00006F60">
        <w:t>K-12</w:t>
      </w:r>
      <w:r>
        <w:t xml:space="preserve"> Institution to pay Matching Moneys to the State, if applicable, may be satisfied by (a) cash</w:t>
      </w:r>
      <w:r w:rsidR="004810A4">
        <w:t>,</w:t>
      </w:r>
      <w:r>
        <w:t xml:space="preserve"> (b) a bond issued by a Participating </w:t>
      </w:r>
      <w:r w:rsidR="00006F60">
        <w:t>K-12</w:t>
      </w:r>
      <w:r>
        <w:t xml:space="preserve"> Institution or its chartering entity and delivered to the State (a </w:t>
      </w:r>
      <w:r w:rsidR="00A06786">
        <w:t>“</w:t>
      </w:r>
      <w:r>
        <w:t>Matching Moneys Bond</w:t>
      </w:r>
      <w:r w:rsidR="00A06786">
        <w:t>”</w:t>
      </w:r>
      <w:r>
        <w:t>)</w:t>
      </w:r>
      <w:r w:rsidR="004810A4">
        <w:t>, or (c) installment payments made by the Participating K-12 Institution to the State.</w:t>
      </w:r>
      <w:r>
        <w:t xml:space="preserve">  </w:t>
      </w:r>
      <w:r w:rsidRPr="00F14BD9">
        <w:rPr>
          <w:b/>
          <w:i/>
        </w:rPr>
        <w:t>Matching Moneys and other amounts deposited in the Assistance Fund do not directly secure payment of the Certificates.  Once Matching Moneys are deposited in the Assistance Fund, such amounts are available to be appropriated by the State to pay principal and interest on the Certificates or for other purposes permitted by the Act, including, without limitation, defraying the cost of Projects.</w:t>
      </w:r>
      <w:r>
        <w:t xml:space="preserve">  See </w:t>
      </w:r>
      <w:r w:rsidR="00A06786">
        <w:t>“</w:t>
      </w:r>
      <w:r>
        <w:t>APPENDIX G – THE PUBLIC SCHOOL CAPITAL CONSTRUCTION ASSISTANCE FUND</w:t>
      </w:r>
      <w:r w:rsidR="00A06786">
        <w:t>”</w:t>
      </w:r>
      <w:r>
        <w:t xml:space="preserve"> for a description of the Assistance Fund.</w:t>
      </w:r>
    </w:p>
    <w:p w:rsidR="006123A1" w:rsidRDefault="006123A1" w:rsidP="005F2BAE">
      <w:pPr>
        <w:pStyle w:val="BodyText1"/>
      </w:pPr>
      <w:r>
        <w:t xml:space="preserve">The Act currently provides that the balance of the Assistance Fund as of each June 30 is to be at least equal to the total amount of payments to be made by the State during its next </w:t>
      </w:r>
      <w:r w:rsidR="00A06786">
        <w:t>“</w:t>
      </w:r>
      <w:r>
        <w:t>Fiscal Year</w:t>
      </w:r>
      <w:r w:rsidR="00A06786">
        <w:t>”</w:t>
      </w:r>
      <w:r>
        <w:t xml:space="preserve"> (being the period from July 1 to the ensuing June 30) under the terms of any lease purchase agreement entered into pursuant to the Act less the amount of any Matching Moneys and certain federal moneys to be received for the purpose of making the payments.</w:t>
      </w:r>
    </w:p>
    <w:p w:rsidR="006123A1" w:rsidRPr="00F14BD9" w:rsidRDefault="006123A1" w:rsidP="005F2BAE">
      <w:pPr>
        <w:pStyle w:val="BodyText1"/>
        <w:rPr>
          <w:b/>
          <w:i/>
        </w:rPr>
      </w:pPr>
      <w:r w:rsidRPr="00F14BD9">
        <w:rPr>
          <w:b/>
          <w:i/>
        </w:rPr>
        <w:t xml:space="preserve">Prospective investors should closely review the financial and other information included in this Official Statement regarding the State, including the Assistance Fund and the State General Fund, to evaluate any risks of nonappropriation by the General Assembly.  See </w:t>
      </w:r>
      <w:r w:rsidR="00A06786">
        <w:rPr>
          <w:b/>
          <w:i/>
        </w:rPr>
        <w:t>“</w:t>
      </w:r>
      <w:r w:rsidRPr="00F14BD9">
        <w:rPr>
          <w:b/>
          <w:i/>
        </w:rPr>
        <w:t>STATE FINANCIAL INFORMATION,</w:t>
      </w:r>
      <w:r w:rsidR="00A06786">
        <w:rPr>
          <w:b/>
          <w:i/>
        </w:rPr>
        <w:t>”</w:t>
      </w:r>
      <w:r w:rsidRPr="00F14BD9">
        <w:rPr>
          <w:b/>
          <w:i/>
        </w:rPr>
        <w:t xml:space="preserve"> </w:t>
      </w:r>
      <w:r w:rsidR="00A06786">
        <w:rPr>
          <w:b/>
          <w:i/>
        </w:rPr>
        <w:t>“</w:t>
      </w:r>
      <w:r w:rsidRPr="00F14BD9">
        <w:rPr>
          <w:b/>
          <w:i/>
        </w:rPr>
        <w:t>DEBT AND CERTAIN OTHER FINANCIAL OBLIGATIONS,</w:t>
      </w:r>
      <w:r w:rsidR="00A06786">
        <w:rPr>
          <w:b/>
          <w:i/>
        </w:rPr>
        <w:t>”</w:t>
      </w:r>
      <w:r w:rsidRPr="00F14BD9">
        <w:rPr>
          <w:b/>
          <w:i/>
        </w:rPr>
        <w:t xml:space="preserve"> </w:t>
      </w:r>
      <w:r w:rsidR="00A06786">
        <w:rPr>
          <w:b/>
          <w:i/>
        </w:rPr>
        <w:t>“</w:t>
      </w:r>
      <w:r w:rsidRPr="00F14BD9">
        <w:rPr>
          <w:b/>
          <w:i/>
        </w:rPr>
        <w:t>APPENDIX A – STATE OF COLORADO COMPREHENSIVE ANNUAL FINANCIAL REPORT FOR THE</w:t>
      </w:r>
      <w:r w:rsidR="00F17494">
        <w:rPr>
          <w:b/>
          <w:i/>
        </w:rPr>
        <w:t xml:space="preserve"> FISCAL YEAR ENDED JUNE 30, 2019</w:t>
      </w:r>
      <w:r w:rsidRPr="00F14BD9">
        <w:rPr>
          <w:b/>
          <w:i/>
        </w:rPr>
        <w:t>,</w:t>
      </w:r>
      <w:r w:rsidR="00F17494">
        <w:rPr>
          <w:b/>
          <w:i/>
        </w:rPr>
        <w:t xml:space="preserve"> AND STATE OF COLORADO UNAUDITED BASIC FINANCIAL STATEMENTS FOR THE FISCAL YEAR ENDED JUNE 30, 2020</w:t>
      </w:r>
      <w:r w:rsidR="00A06786">
        <w:rPr>
          <w:b/>
          <w:i/>
        </w:rPr>
        <w:t>”</w:t>
      </w:r>
      <w:r w:rsidRPr="00F14BD9">
        <w:rPr>
          <w:b/>
          <w:i/>
        </w:rPr>
        <w:t xml:space="preserve"> </w:t>
      </w:r>
      <w:r w:rsidR="00A06786">
        <w:rPr>
          <w:b/>
          <w:i/>
        </w:rPr>
        <w:t>“</w:t>
      </w:r>
      <w:r w:rsidRPr="00F14BD9">
        <w:rPr>
          <w:b/>
          <w:i/>
        </w:rPr>
        <w:t>APPENDIX E – THE STATE GENERAL FUND,</w:t>
      </w:r>
      <w:r w:rsidR="00A06786">
        <w:rPr>
          <w:b/>
          <w:i/>
        </w:rPr>
        <w:t>”</w:t>
      </w:r>
      <w:r w:rsidRPr="00F14BD9">
        <w:rPr>
          <w:b/>
          <w:i/>
        </w:rPr>
        <w:t xml:space="preserve"> </w:t>
      </w:r>
      <w:r w:rsidR="00A06786">
        <w:rPr>
          <w:b/>
          <w:i/>
        </w:rPr>
        <w:t>“</w:t>
      </w:r>
      <w:r w:rsidRPr="00F14BD9">
        <w:rPr>
          <w:b/>
          <w:i/>
        </w:rPr>
        <w:t xml:space="preserve">APPENDIX F – </w:t>
      </w:r>
      <w:r w:rsidR="009B293F">
        <w:rPr>
          <w:b/>
          <w:i/>
        </w:rPr>
        <w:t>OSPB SEPTEMBER 2020</w:t>
      </w:r>
      <w:r w:rsidRPr="00F14BD9">
        <w:rPr>
          <w:b/>
          <w:i/>
        </w:rPr>
        <w:t xml:space="preserve"> REVENUE FORECAST,</w:t>
      </w:r>
      <w:r w:rsidR="00A06786">
        <w:rPr>
          <w:b/>
          <w:i/>
        </w:rPr>
        <w:t>”</w:t>
      </w:r>
      <w:r w:rsidRPr="00F14BD9">
        <w:rPr>
          <w:b/>
          <w:i/>
        </w:rPr>
        <w:t xml:space="preserve"> </w:t>
      </w:r>
      <w:r w:rsidR="00A06786">
        <w:rPr>
          <w:b/>
          <w:i/>
        </w:rPr>
        <w:t>“</w:t>
      </w:r>
      <w:r w:rsidRPr="00F14BD9">
        <w:rPr>
          <w:b/>
          <w:i/>
        </w:rPr>
        <w:t>APPENDIX G – PUBLIC SCHOOL CAPITAL CONSTRUCTION ASSISTANCE FUND,</w:t>
      </w:r>
      <w:r w:rsidR="00A06786">
        <w:rPr>
          <w:b/>
          <w:i/>
        </w:rPr>
        <w:t>”</w:t>
      </w:r>
      <w:r w:rsidRPr="00F14BD9">
        <w:rPr>
          <w:b/>
          <w:i/>
        </w:rPr>
        <w:t xml:space="preserve"> </w:t>
      </w:r>
      <w:r w:rsidR="00A06786">
        <w:rPr>
          <w:b/>
          <w:i/>
        </w:rPr>
        <w:t>“</w:t>
      </w:r>
      <w:r w:rsidRPr="00F14BD9">
        <w:rPr>
          <w:b/>
          <w:i/>
        </w:rPr>
        <w:t xml:space="preserve">APPENDIX H – LEASED PROPERTY RELATING TO THE </w:t>
      </w:r>
      <w:r w:rsidR="00AF018D">
        <w:rPr>
          <w:b/>
          <w:i/>
        </w:rPr>
        <w:t>PRIOR</w:t>
      </w:r>
      <w:r w:rsidRPr="00F14BD9">
        <w:rPr>
          <w:b/>
          <w:i/>
        </w:rPr>
        <w:t xml:space="preserve"> CERTIFICATES</w:t>
      </w:r>
      <w:r w:rsidR="00A06786">
        <w:rPr>
          <w:b/>
          <w:i/>
        </w:rPr>
        <w:t>”</w:t>
      </w:r>
      <w:r w:rsidRPr="00F14BD9">
        <w:rPr>
          <w:b/>
          <w:i/>
        </w:rPr>
        <w:t xml:space="preserve"> and </w:t>
      </w:r>
      <w:r w:rsidR="00A06786">
        <w:rPr>
          <w:b/>
          <w:i/>
        </w:rPr>
        <w:t>“</w:t>
      </w:r>
      <w:r w:rsidRPr="00F14BD9">
        <w:rPr>
          <w:b/>
          <w:i/>
        </w:rPr>
        <w:t>APPENDIX J – STATE PENSION SYSTEM.</w:t>
      </w:r>
      <w:r w:rsidR="00A06786">
        <w:rPr>
          <w:b/>
          <w:i/>
        </w:rPr>
        <w:t>”</w:t>
      </w:r>
    </w:p>
    <w:p w:rsidR="00642D0B" w:rsidRDefault="00642D0B" w:rsidP="00642D0B">
      <w:pPr>
        <w:pStyle w:val="Heading2"/>
      </w:pPr>
      <w:bookmarkStart w:id="5" w:name="_Toc56668338"/>
      <w:r>
        <w:t xml:space="preserve">Purposes of the Series </w:t>
      </w:r>
      <w:r w:rsidR="00480C95">
        <w:t>2020R</w:t>
      </w:r>
      <w:r>
        <w:t xml:space="preserve"> Certificates</w:t>
      </w:r>
      <w:bookmarkEnd w:id="5"/>
    </w:p>
    <w:p w:rsidR="00642D0B" w:rsidRDefault="00642D0B" w:rsidP="00642D0B">
      <w:pPr>
        <w:pStyle w:val="BodyText1"/>
        <w:keepNext/>
      </w:pPr>
      <w:r>
        <w:t xml:space="preserve">Proceeds from the sale of the Series </w:t>
      </w:r>
      <w:r w:rsidR="00480C95">
        <w:t>2020R</w:t>
      </w:r>
      <w:r>
        <w:t xml:space="preserve"> Certificates will be used to finance the costs of the Series </w:t>
      </w:r>
      <w:r w:rsidR="00480C95">
        <w:t>2020R</w:t>
      </w:r>
      <w:r>
        <w:t xml:space="preserve"> Projects for the Series </w:t>
      </w:r>
      <w:r w:rsidR="00480C95">
        <w:t>2020R</w:t>
      </w:r>
      <w:r>
        <w:t xml:space="preserve"> Participating K-12 Institutions, as more fully described in </w:t>
      </w:r>
      <w:r w:rsidR="00A06786">
        <w:t>“</w:t>
      </w:r>
      <w:r>
        <w:t xml:space="preserve">Series </w:t>
      </w:r>
      <w:r w:rsidR="00480C95">
        <w:t>2020R</w:t>
      </w:r>
      <w:r>
        <w:t xml:space="preserve"> Participating K-12 Institutions</w:t>
      </w:r>
      <w:r w:rsidR="00A06786">
        <w:t>”</w:t>
      </w:r>
      <w:r>
        <w:t xml:space="preserve"> under this caption and </w:t>
      </w:r>
      <w:r w:rsidR="00A06786">
        <w:t>“</w:t>
      </w:r>
      <w:r>
        <w:t xml:space="preserve">PLAN OF FINANCING – The Series </w:t>
      </w:r>
      <w:r w:rsidR="00480C95">
        <w:t>2020R</w:t>
      </w:r>
      <w:r>
        <w:t xml:space="preserve"> Projects and Series </w:t>
      </w:r>
      <w:r w:rsidR="00480C95">
        <w:t>2020R</w:t>
      </w:r>
      <w:r>
        <w:t xml:space="preserve"> Participating K-12 Institutions.</w:t>
      </w:r>
      <w:r w:rsidR="00A06786">
        <w:t>”</w:t>
      </w:r>
      <w:r>
        <w:t xml:space="preserve">  Proceeds of the Series </w:t>
      </w:r>
      <w:r w:rsidR="00480C95">
        <w:t>2020R</w:t>
      </w:r>
      <w:r>
        <w:t xml:space="preserve"> Certificates will also be used to fund a deposit to the State Public Financing Cash Fund and to pay the costs of issuance associated with the Series </w:t>
      </w:r>
      <w:r w:rsidR="00480C95">
        <w:t>2020R</w:t>
      </w:r>
      <w:r>
        <w:t xml:space="preserve"> Certificates.  See </w:t>
      </w:r>
      <w:r w:rsidR="00A06786">
        <w:t>“</w:t>
      </w:r>
      <w:r>
        <w:t>PLAN OF FINANCING – Sources and Uses of Funds</w:t>
      </w:r>
      <w:r w:rsidR="00A06786">
        <w:t>”</w:t>
      </w:r>
      <w:r>
        <w:t xml:space="preserve"> for a description of the estimated uses of proceeds of the Series </w:t>
      </w:r>
      <w:r w:rsidR="00480C95">
        <w:t>2020R</w:t>
      </w:r>
      <w:r>
        <w:t xml:space="preserve"> Certificates.</w:t>
      </w:r>
    </w:p>
    <w:p w:rsidR="00642D0B" w:rsidRDefault="00642D0B" w:rsidP="00642D0B">
      <w:pPr>
        <w:pStyle w:val="Heading2"/>
      </w:pPr>
      <w:bookmarkStart w:id="6" w:name="_Toc56668339"/>
      <w:r>
        <w:t xml:space="preserve">Series </w:t>
      </w:r>
      <w:r w:rsidR="00480C95">
        <w:t>2020R</w:t>
      </w:r>
      <w:r>
        <w:t xml:space="preserve"> Participating K-12 Institutions</w:t>
      </w:r>
      <w:bookmarkEnd w:id="6"/>
    </w:p>
    <w:p w:rsidR="00642D0B" w:rsidRDefault="00642D0B" w:rsidP="00642D0B">
      <w:pPr>
        <w:pStyle w:val="BodyText1"/>
        <w:keepNext/>
      </w:pPr>
      <w:r>
        <w:t xml:space="preserve">Proceeds of the Series </w:t>
      </w:r>
      <w:r w:rsidR="00480C95">
        <w:t>2020R</w:t>
      </w:r>
      <w:r>
        <w:t xml:space="preserve"> Certificates are expected to be used to fund the Series </w:t>
      </w:r>
      <w:r w:rsidR="00480C95">
        <w:t>2020R</w:t>
      </w:r>
      <w:r>
        <w:t xml:space="preserve"> Projects for the benefit of the following entities in Colorado (collectively, the </w:t>
      </w:r>
      <w:r w:rsidR="00A06786">
        <w:t>“</w:t>
      </w:r>
      <w:r>
        <w:t xml:space="preserve">Series </w:t>
      </w:r>
      <w:r w:rsidR="00480C95">
        <w:t>2020R</w:t>
      </w:r>
      <w:r>
        <w:t xml:space="preserve"> Participating K-12 Institutions</w:t>
      </w:r>
      <w:r w:rsidR="00A06786">
        <w:t>”</w:t>
      </w:r>
      <w:r w:rsidR="00901E07">
        <w:t xml:space="preserve">):  </w:t>
      </w:r>
      <w:r w:rsidR="00BA5E10">
        <w:t xml:space="preserve">(1) Johnstown-Milliken RE-5J; (2) Pueblo </w:t>
      </w:r>
      <w:r w:rsidR="009D566A">
        <w:t>School District No.</w:t>
      </w:r>
      <w:r w:rsidR="00BA5E10">
        <w:t xml:space="preserve"> 60</w:t>
      </w:r>
      <w:r w:rsidR="00F040E2">
        <w:t xml:space="preserve"> (two projects)</w:t>
      </w:r>
      <w:r w:rsidR="00BA5E10">
        <w:t>; and</w:t>
      </w:r>
      <w:r w:rsidR="00212DA4">
        <w:t xml:space="preserve"> (3) </w:t>
      </w:r>
      <w:r w:rsidR="0066604A">
        <w:t>School District</w:t>
      </w:r>
      <w:r w:rsidR="00FA24DA">
        <w:t xml:space="preserve"> </w:t>
      </w:r>
      <w:r w:rsidR="0066604A">
        <w:t xml:space="preserve">No. </w:t>
      </w:r>
      <w:r w:rsidR="00FA24DA">
        <w:t>RE-4</w:t>
      </w:r>
      <w:r w:rsidR="0066604A">
        <w:t>, formerly known as School District No. 4, d/b/a Springfield School Distr</w:t>
      </w:r>
      <w:r w:rsidR="009D566A">
        <w:t xml:space="preserve">ict No. RE-4 (“Springfield School District </w:t>
      </w:r>
      <w:r w:rsidR="0066604A">
        <w:t>RE-4”)</w:t>
      </w:r>
      <w:r w:rsidR="00FA24DA">
        <w:t>.</w:t>
      </w:r>
      <w:r>
        <w:t xml:space="preserve"> </w:t>
      </w:r>
      <w:r w:rsidR="00212DA4">
        <w:t xml:space="preserve"> </w:t>
      </w:r>
      <w:r>
        <w:t xml:space="preserve">See </w:t>
      </w:r>
      <w:r w:rsidR="00A06786">
        <w:t>“</w:t>
      </w:r>
      <w:r>
        <w:t xml:space="preserve">PLAN OF FINANCING – The Series </w:t>
      </w:r>
      <w:r w:rsidR="00480C95">
        <w:t>2020R</w:t>
      </w:r>
      <w:r>
        <w:t xml:space="preserve"> Projects and Series </w:t>
      </w:r>
      <w:r w:rsidR="00480C95">
        <w:t>2020R</w:t>
      </w:r>
      <w:r>
        <w:t xml:space="preserve"> Participating K-12 Institutions.</w:t>
      </w:r>
      <w:r w:rsidR="00A06786">
        <w:t>”</w:t>
      </w:r>
    </w:p>
    <w:p w:rsidR="00642D0B" w:rsidRDefault="00642D0B" w:rsidP="00642D0B">
      <w:pPr>
        <w:pStyle w:val="Heading2"/>
      </w:pPr>
      <w:bookmarkStart w:id="7" w:name="_Toc56668340"/>
      <w:r>
        <w:t xml:space="preserve">Series </w:t>
      </w:r>
      <w:r w:rsidR="00480C95">
        <w:t>2020R</w:t>
      </w:r>
      <w:r>
        <w:t xml:space="preserve"> Projects</w:t>
      </w:r>
      <w:bookmarkEnd w:id="7"/>
    </w:p>
    <w:p w:rsidR="00642D0B" w:rsidRPr="003F4EE4" w:rsidRDefault="00642D0B" w:rsidP="00642D0B">
      <w:pPr>
        <w:pStyle w:val="BodyText1"/>
        <w:keepNext/>
      </w:pPr>
      <w:r>
        <w:t xml:space="preserve">The Series </w:t>
      </w:r>
      <w:r w:rsidR="00480C95">
        <w:t>2020R</w:t>
      </w:r>
      <w:r>
        <w:t xml:space="preserve"> Projects involve various capital projects for the Series </w:t>
      </w:r>
      <w:r w:rsidR="00480C95">
        <w:t>2020R</w:t>
      </w:r>
      <w:r>
        <w:t xml:space="preserve"> Participating K-12 I</w:t>
      </w:r>
      <w:r w:rsidR="00832EA0">
        <w:t>nstitutions approved in the 2020</w:t>
      </w:r>
      <w:r>
        <w:t xml:space="preserve"> State Approval, at certain funding levels.  In accordance with the terms of the </w:t>
      </w:r>
      <w:r w:rsidR="00480C95">
        <w:t>2020R</w:t>
      </w:r>
      <w:r>
        <w:t xml:space="preserve"> Subleases between the State and the Series </w:t>
      </w:r>
      <w:r w:rsidR="00480C95">
        <w:t>2020R</w:t>
      </w:r>
      <w:r>
        <w:t xml:space="preserve"> Participating K-12 Institutions, each of the Series </w:t>
      </w:r>
      <w:r w:rsidR="00480C95">
        <w:t>2020R</w:t>
      </w:r>
      <w:r>
        <w:t xml:space="preserve"> Participating K-12 Institutions agrees to construct the respective projects, and in accordance with the </w:t>
      </w:r>
      <w:r w:rsidR="00480C95">
        <w:t>2020R</w:t>
      </w:r>
      <w:r>
        <w:t xml:space="preserve"> Lease, the</w:t>
      </w:r>
      <w:r w:rsidR="00F559B8">
        <w:t xml:space="preserve"> State has agreed to cause the </w:t>
      </w:r>
      <w:r>
        <w:t xml:space="preserve">projects of the Series </w:t>
      </w:r>
      <w:r w:rsidR="00480C95">
        <w:t>2020R</w:t>
      </w:r>
      <w:r>
        <w:t xml:space="preserve"> Participating K-12 Institutions that will execute and deliver </w:t>
      </w:r>
      <w:r w:rsidR="00480C95">
        <w:t>2020R</w:t>
      </w:r>
      <w:r>
        <w:t xml:space="preserve"> Subleases to be constructed by causing such Series </w:t>
      </w:r>
      <w:r w:rsidR="00480C95">
        <w:t>2020R</w:t>
      </w:r>
      <w:r>
        <w:t xml:space="preserve"> Participating K-12 Institution to comply with its related </w:t>
      </w:r>
      <w:r w:rsidR="00480C95">
        <w:t>2020R</w:t>
      </w:r>
      <w:r>
        <w:t xml:space="preserve"> Sublease, but no failure of the related Series </w:t>
      </w:r>
      <w:r w:rsidR="00480C95">
        <w:t>2020R</w:t>
      </w:r>
      <w:r>
        <w:t xml:space="preserve"> Participating K-12 Institution to comply with the relevant provisions of its </w:t>
      </w:r>
      <w:r w:rsidR="00480C95">
        <w:t>2020R</w:t>
      </w:r>
      <w:r>
        <w:t xml:space="preserve"> Sublease will relieve the State of its obligation to cause the facilities to be constructed.  See </w:t>
      </w:r>
      <w:r w:rsidR="00A06786">
        <w:t>“</w:t>
      </w:r>
      <w:r>
        <w:t xml:space="preserve">PLAN OF FINANCING – The Series </w:t>
      </w:r>
      <w:r w:rsidR="00480C95">
        <w:t>2020R</w:t>
      </w:r>
      <w:r>
        <w:t xml:space="preserve"> Projects and Series </w:t>
      </w:r>
      <w:r w:rsidR="00480C95">
        <w:t>2020R</w:t>
      </w:r>
      <w:r>
        <w:t xml:space="preserve"> Participating K-12 Institutions</w:t>
      </w:r>
      <w:r w:rsidR="00A06786">
        <w:t>”</w:t>
      </w:r>
      <w:r>
        <w:t xml:space="preserve"> for further information about the Series </w:t>
      </w:r>
      <w:r w:rsidR="00480C95">
        <w:t>2020R</w:t>
      </w:r>
      <w:r>
        <w:t xml:space="preserve"> Projects.  Projects other than the Series </w:t>
      </w:r>
      <w:r w:rsidR="00480C95">
        <w:t>2020R</w:t>
      </w:r>
      <w:r>
        <w:t xml:space="preserve"> Projects have been funded with the proceeds of the Prior Certificates and other projects may be funded with proceeds of additional Series of Certificates executed and delivered under the Master Indenture relating to a separate Lease or an amendment to the </w:t>
      </w:r>
      <w:r w:rsidR="00480C95">
        <w:t>2020R</w:t>
      </w:r>
      <w:r>
        <w:t xml:space="preserve"> Lease or a Prior Lease.  However, such additional Series of Certificates will require further authorization by the Colorado General Assembly if the aggregate Base Rent payable under the </w:t>
      </w:r>
      <w:r w:rsidR="00480C95">
        <w:t>2020R</w:t>
      </w:r>
      <w:r>
        <w:t xml:space="preserve"> Lease, the Prior Leases and the additional Lease or an amendment to the </w:t>
      </w:r>
      <w:r w:rsidR="00480C95">
        <w:t>2020R</w:t>
      </w:r>
      <w:r>
        <w:t xml:space="preserve"> Lease or a Prior Lease relating to such additional Series of Certificates would exceed the maximum aggregate annual lease payment permitted by the Act.  It is </w:t>
      </w:r>
      <w:r w:rsidR="007C235C">
        <w:t xml:space="preserve">possible </w:t>
      </w:r>
      <w:r>
        <w:t xml:space="preserve">that after the </w:t>
      </w:r>
      <w:r w:rsidR="00480C95">
        <w:t>2020R</w:t>
      </w:r>
      <w:r>
        <w:t xml:space="preserve"> Certificates are executed and delivered, the currently imposed annual lease payment limits would allow funding of </w:t>
      </w:r>
      <w:r w:rsidR="007C235C">
        <w:t xml:space="preserve">a few </w:t>
      </w:r>
      <w:r>
        <w:t xml:space="preserve">future projects through the execution and delivery of additional Series of Certificates without further authorization by the Colorado General Assembly.  See </w:t>
      </w:r>
      <w:r w:rsidR="00A06786">
        <w:t>“</w:t>
      </w:r>
      <w:r>
        <w:t xml:space="preserve">Terms of the Series </w:t>
      </w:r>
      <w:r w:rsidR="00480C95">
        <w:t>2020R</w:t>
      </w:r>
      <w:r>
        <w:t xml:space="preserve"> Certificates – Additional Series of Certificates</w:t>
      </w:r>
      <w:r w:rsidR="00A06786">
        <w:t>”</w:t>
      </w:r>
      <w:r w:rsidR="00CF5110">
        <w:t xml:space="preserve"> under “SECURITY AND SOURCES OF PAYMENT”</w:t>
      </w:r>
      <w:r>
        <w:t xml:space="preserve"> and </w:t>
      </w:r>
      <w:r w:rsidR="00A06786">
        <w:t>“</w:t>
      </w:r>
      <w:r>
        <w:t>PLAN OF FINANCING – The Program.</w:t>
      </w:r>
      <w:r w:rsidR="00A06786">
        <w:t>”</w:t>
      </w:r>
      <w:r>
        <w:t xml:space="preserve">  </w:t>
      </w:r>
    </w:p>
    <w:p w:rsidR="006123A1" w:rsidRDefault="006123A1" w:rsidP="003A3DD0">
      <w:pPr>
        <w:pStyle w:val="Heading2"/>
      </w:pPr>
      <w:bookmarkStart w:id="8" w:name="_Toc56668341"/>
      <w:r>
        <w:t xml:space="preserve">Terms of the Series </w:t>
      </w:r>
      <w:r w:rsidR="00480C95">
        <w:t>2020R</w:t>
      </w:r>
      <w:r>
        <w:t xml:space="preserve"> Certificates</w:t>
      </w:r>
      <w:bookmarkEnd w:id="8"/>
    </w:p>
    <w:p w:rsidR="006123A1" w:rsidRDefault="006123A1" w:rsidP="00F14BD9">
      <w:pPr>
        <w:pStyle w:val="BodyText1"/>
        <w:keepNext/>
      </w:pPr>
      <w:r w:rsidRPr="00F14BD9">
        <w:rPr>
          <w:b/>
          <w:i/>
        </w:rPr>
        <w:t>General Provisions</w:t>
      </w:r>
      <w:r>
        <w:t xml:space="preserve">.  The Series </w:t>
      </w:r>
      <w:r w:rsidR="00480C95">
        <w:t>2020R</w:t>
      </w:r>
      <w:r>
        <w:t xml:space="preserve"> Certificates will be dated as of the Closing Date and will mature on the dates and in the principal amounts set forth on the inside front cover of this Official Statement, subject to optional, mandatory and extraordinary redemption prior to their stated maturity dates as described in </w:t>
      </w:r>
      <w:r w:rsidR="00A06786">
        <w:t>“</w:t>
      </w:r>
      <w:r>
        <w:t xml:space="preserve">THE SERIES </w:t>
      </w:r>
      <w:r w:rsidR="00480C95">
        <w:t>2020R</w:t>
      </w:r>
      <w:r>
        <w:t xml:space="preserve"> CERTIFICATES – Redemption Prior to Maturity.</w:t>
      </w:r>
      <w:r w:rsidR="00A06786">
        <w:t>”</w:t>
      </w:r>
      <w:r>
        <w:t xml:space="preserve">  </w:t>
      </w:r>
    </w:p>
    <w:p w:rsidR="006123A1" w:rsidRDefault="006123A1" w:rsidP="005F2BAE">
      <w:pPr>
        <w:pStyle w:val="BodyText1"/>
      </w:pPr>
      <w:r>
        <w:t xml:space="preserve">The Series </w:t>
      </w:r>
      <w:r w:rsidR="00480C95">
        <w:t>2020R</w:t>
      </w:r>
      <w:r>
        <w:t xml:space="preserve"> Certificates will bear interest, at the rates per annum (calculated on the basis of a 360 day year of twelve 30 day months) set forth on the inside front cover of this Official Statement, from the Closing Date to their maturity or prior redemption dates and will be payable semiannually on each March 15 and Septemb</w:t>
      </w:r>
      <w:r w:rsidR="003029F1">
        <w:t>er 15, commencing March 15, 2021</w:t>
      </w:r>
      <w:r>
        <w:t>.</w:t>
      </w:r>
    </w:p>
    <w:p w:rsidR="006123A1" w:rsidRDefault="006123A1" w:rsidP="005F2BAE">
      <w:pPr>
        <w:pStyle w:val="BodyText1"/>
      </w:pPr>
      <w:r w:rsidRPr="00F14BD9">
        <w:rPr>
          <w:b/>
          <w:i/>
        </w:rPr>
        <w:t>Book-Entry Only Registration</w:t>
      </w:r>
      <w:r>
        <w:t xml:space="preserve">.  The Series </w:t>
      </w:r>
      <w:r w:rsidR="00480C95">
        <w:t>2020R</w:t>
      </w:r>
      <w:r>
        <w:t xml:space="preserve"> Certificates will be delivered in fully registered form and registered initially in the name of Cede &amp; Co., as nominee of The Depository Trust Company, New York, New York (</w:t>
      </w:r>
      <w:r w:rsidR="00A06786">
        <w:t>“</w:t>
      </w:r>
      <w:r>
        <w:t>DTC</w:t>
      </w:r>
      <w:r w:rsidR="00A06786">
        <w:t>”</w:t>
      </w:r>
      <w:r>
        <w:t xml:space="preserve">), which will serve as securities depository for the Series </w:t>
      </w:r>
      <w:r w:rsidR="00480C95">
        <w:t>2020R</w:t>
      </w:r>
      <w:r>
        <w:t xml:space="preserve"> Certificates.  Ownership interests in the Series </w:t>
      </w:r>
      <w:r w:rsidR="00480C95">
        <w:t>2020R</w:t>
      </w:r>
      <w:r>
        <w:t xml:space="preserve"> Certificates (</w:t>
      </w:r>
      <w:r w:rsidR="00A06786">
        <w:t>“</w:t>
      </w:r>
      <w:r>
        <w:t>Beneficial Ownership Interests</w:t>
      </w:r>
      <w:r w:rsidR="00A06786">
        <w:t>”</w:t>
      </w:r>
      <w:r>
        <w:t>), in non-certificated book-entry only form, may be purchased in denominations of $5,000 and integral multiples thereof by or through participants in the DTC system (</w:t>
      </w:r>
      <w:r w:rsidR="00A06786">
        <w:t>“</w:t>
      </w:r>
      <w:r>
        <w:t>DTC Participants</w:t>
      </w:r>
      <w:r w:rsidR="00A06786">
        <w:t>”</w:t>
      </w:r>
      <w:r>
        <w:t>).  Beneficial Ownership Interests will be recorded in the name of the purchasers thereof (</w:t>
      </w:r>
      <w:r w:rsidR="00A06786">
        <w:t>“</w:t>
      </w:r>
      <w:r>
        <w:t>Beneficial Owners</w:t>
      </w:r>
      <w:r w:rsidR="00A06786">
        <w:t>”</w:t>
      </w:r>
      <w:r>
        <w:t xml:space="preserve">) on the books of the DTC Participants from whom they are acquired, and will be governed as to payment, prior redemption, transfers, the receipt of notices and other communications with respect to the Series </w:t>
      </w:r>
      <w:r w:rsidR="00480C95">
        <w:t>2020R</w:t>
      </w:r>
      <w:r>
        <w:t xml:space="preserve"> Certificates and various other matters by the rules and operating procedures applicable to the DTC book entry system as described in </w:t>
      </w:r>
      <w:r w:rsidR="00A06786">
        <w:t>“</w:t>
      </w:r>
      <w:r>
        <w:t xml:space="preserve">THE SERIES </w:t>
      </w:r>
      <w:r w:rsidR="00480C95">
        <w:t>2020R</w:t>
      </w:r>
      <w:r>
        <w:t xml:space="preserve"> CERTIFICATES – DTC Book-Entry System</w:t>
      </w:r>
      <w:r w:rsidR="00A06786">
        <w:t>”</w:t>
      </w:r>
      <w:r>
        <w:t xml:space="preserve"> and </w:t>
      </w:r>
      <w:r w:rsidR="00A06786">
        <w:t>“</w:t>
      </w:r>
      <w:r>
        <w:t>APPENDIX K – DTC BOOK-ENTRY SYSTEM.</w:t>
      </w:r>
      <w:r w:rsidR="00A06786">
        <w:t>”</w:t>
      </w:r>
      <w:r>
        <w:t xml:space="preserve">  References herein to the registered owners of the Series </w:t>
      </w:r>
      <w:r w:rsidR="00480C95">
        <w:t>2020R</w:t>
      </w:r>
      <w:r>
        <w:t xml:space="preserve"> Certificates (the </w:t>
      </w:r>
      <w:r w:rsidR="00A06786">
        <w:t>“</w:t>
      </w:r>
      <w:r>
        <w:t>Owners</w:t>
      </w:r>
      <w:r w:rsidR="00A06786">
        <w:t>”</w:t>
      </w:r>
      <w:r>
        <w:t>) mean Cede &amp; Co. or such other nominee as may be designated by DTC, and not the Beneficial Owners.</w:t>
      </w:r>
    </w:p>
    <w:p w:rsidR="006123A1" w:rsidRDefault="006123A1" w:rsidP="005F2BAE">
      <w:pPr>
        <w:pStyle w:val="BodyText1"/>
      </w:pPr>
      <w:r>
        <w:t xml:space="preserve">Principal and interest payments with respect to the Series </w:t>
      </w:r>
      <w:r w:rsidR="00480C95">
        <w:t>2020R</w:t>
      </w:r>
      <w:r>
        <w:t xml:space="preserve"> Certificates will be made by the Trustee, as paying agent for the Series </w:t>
      </w:r>
      <w:r w:rsidR="00480C95">
        <w:t>2020R</w:t>
      </w:r>
      <w:r>
        <w:t xml:space="preserve"> Certificates, to Cede &amp; Co., as the Owner of the Series </w:t>
      </w:r>
      <w:r w:rsidR="00480C95">
        <w:t>2020R</w:t>
      </w:r>
      <w:r>
        <w:t xml:space="preserve"> Certificates, for subsequent credit to the accounts of the Beneficial Owners as discussed in </w:t>
      </w:r>
      <w:r w:rsidR="00A06786">
        <w:t>“</w:t>
      </w:r>
      <w:r>
        <w:t>APPENDIX K – DTC BOOK-ENTRY SYSTEM.</w:t>
      </w:r>
      <w:r w:rsidR="00A06786">
        <w:t>”</w:t>
      </w:r>
    </w:p>
    <w:p w:rsidR="006123A1" w:rsidRDefault="006123A1" w:rsidP="005F2BAE">
      <w:pPr>
        <w:pStyle w:val="BodyText1"/>
      </w:pPr>
      <w:r>
        <w:t xml:space="preserve">For a more complete description of the general provisions of the Series </w:t>
      </w:r>
      <w:r w:rsidR="00480C95">
        <w:t>2020R</w:t>
      </w:r>
      <w:r>
        <w:t xml:space="preserve"> Certificates, see </w:t>
      </w:r>
      <w:r w:rsidR="00A06786">
        <w:t>“</w:t>
      </w:r>
      <w:r>
        <w:t xml:space="preserve">THE SERIES </w:t>
      </w:r>
      <w:r w:rsidR="00480C95">
        <w:t>2020R</w:t>
      </w:r>
      <w:r>
        <w:t xml:space="preserve"> CERTIFICATES</w:t>
      </w:r>
      <w:r w:rsidR="00A06786">
        <w:t>”</w:t>
      </w:r>
      <w:r>
        <w:t xml:space="preserve"> and the</w:t>
      </w:r>
      <w:r w:rsidR="002324E1">
        <w:t xml:space="preserve"> forms of the Master Indenture and </w:t>
      </w:r>
      <w:r>
        <w:t xml:space="preserve">the </w:t>
      </w:r>
      <w:r w:rsidR="00480C95">
        <w:t>2020R</w:t>
      </w:r>
      <w:r>
        <w:t xml:space="preserve"> Supplemental Indenture appended to this Official Statement.</w:t>
      </w:r>
    </w:p>
    <w:p w:rsidR="006123A1" w:rsidRDefault="006123A1" w:rsidP="00642D0B">
      <w:pPr>
        <w:pStyle w:val="Heading2"/>
        <w:keepNext/>
      </w:pPr>
      <w:bookmarkStart w:id="9" w:name="_Toc56668342"/>
      <w:r>
        <w:t>Security and Sources of Payment</w:t>
      </w:r>
      <w:bookmarkEnd w:id="9"/>
    </w:p>
    <w:p w:rsidR="006123A1" w:rsidRDefault="006123A1" w:rsidP="00642D0B">
      <w:pPr>
        <w:pStyle w:val="BodyText1"/>
        <w:keepNext/>
      </w:pPr>
      <w:r w:rsidRPr="00F14BD9">
        <w:rPr>
          <w:b/>
          <w:i/>
        </w:rPr>
        <w:t xml:space="preserve">The Series </w:t>
      </w:r>
      <w:r w:rsidR="00480C95">
        <w:rPr>
          <w:b/>
          <w:i/>
        </w:rPr>
        <w:t>2020R</w:t>
      </w:r>
      <w:r w:rsidRPr="00F14BD9">
        <w:rPr>
          <w:b/>
          <w:i/>
        </w:rPr>
        <w:t xml:space="preserve"> Certificates are secured on a parity basis with all other Series of Certificates executed and delivered pursuant to the Indenture, all of which evidence undivided interests in the right to receive the Lease Revenues, and are payable solely from the Trust Estate under the Indenture without preference, priority or distinction of any Certificate over any other Certificate.</w:t>
      </w:r>
      <w:r>
        <w:t xml:space="preserve">  The Certificates, including the Series </w:t>
      </w:r>
      <w:r w:rsidR="00480C95">
        <w:t>2020R</w:t>
      </w:r>
      <w:r>
        <w:t xml:space="preserve"> Certificates, are payable solely from annually appropriated Base Rent (generally an amount equal to the principal of and interest due on the outstanding Certificates) received by the Trustee pursuant to the Leases, other Lease Revenues received by the Trustee pursuant to the Leases and other moneys in the Trust Estate in accordance with the terms of the Indenture.  See generally </w:t>
      </w:r>
      <w:r w:rsidR="00A06786">
        <w:t>“</w:t>
      </w:r>
      <w:r>
        <w:t>SECURITY AND SOURCES OF PAYMENT.</w:t>
      </w:r>
      <w:r w:rsidR="00A06786">
        <w:t>”</w:t>
      </w:r>
      <w:r>
        <w:t xml:space="preserve">  The Leases provide that the obligation of the State to pay Base Rent and Additional Rent during the Lease Term is, subject only to the other terms of the Leases, absolute and unconditional and is not to be abated or offset for any reason related to the Leased Property; and that notwithstanding any dispute between the State and the Trustee or between the State or the Trustee and any other Person relating to the Leased Property, the State is to pay all Rent when due during the Lease Term.  The State is not to withhold any Rent payable during the Lease Term pending final resolution of such dispute and may not assert any right of set-off or counter-claim against its obligation to pay Rent; provided, however, that the payment of any Rent will not constitute a waiver by the State of any rights, claims or defenses which the State may assert.  No action or inaction on the part of the Trustee will affect the State</w:t>
      </w:r>
      <w:r w:rsidR="00A06786">
        <w:t>’</w:t>
      </w:r>
      <w:r>
        <w:t>s obligation to pay Rent during the Lease Term.</w:t>
      </w:r>
    </w:p>
    <w:p w:rsidR="006123A1" w:rsidRDefault="006123A1" w:rsidP="005F2BAE">
      <w:pPr>
        <w:pStyle w:val="BodyText1"/>
      </w:pPr>
      <w:r>
        <w:t>An Event of Nonappropriation under the Leases will be deemed to have occurred, subject to the State</w:t>
      </w:r>
      <w:r w:rsidR="00A06786">
        <w:t>’</w:t>
      </w:r>
      <w:r>
        <w:t>s right to cure described below, on June 30 of any Fiscal Year if the General Assembly has failed, for any reason, to appropriate sufficient amounts authorized and directed to be used to pay all Base Rent scheduled to be paid and all Additional Rent estimated to be payable in the ensuing Fiscal Year; provided, however, that an Event of Nonappropriation will not be deemed to occur if, on or before August 15 of the ensuing Fiscal Year, (i) the General Assembly has appropriated or otherwise authorized the expenditure of amounts sufficient to avoid an Event of Nonappropriation and (ii) the State has paid all Rent due during the period from June 30 through the date of such appropriation or authorization.</w:t>
      </w:r>
    </w:p>
    <w:p w:rsidR="006123A1" w:rsidRDefault="006123A1" w:rsidP="005F2BAE">
      <w:pPr>
        <w:pStyle w:val="BodyText1"/>
      </w:pPr>
      <w:r>
        <w:t>Upon the occurrence of an Event of Nonappropriation, the Trustee may exercise any of the remedies described in the Leases, including the sale or lease of the Trustee</w:t>
      </w:r>
      <w:r w:rsidR="00A06786">
        <w:t>’</w:t>
      </w:r>
      <w:r>
        <w:t xml:space="preserve">s interest in the Leased Property, subject to the purchase option of the Participating </w:t>
      </w:r>
      <w:r w:rsidR="00006F60">
        <w:t>K-12</w:t>
      </w:r>
      <w:r>
        <w:t xml:space="preserve"> Institutions (and, in the case of charter schools, the chartering entity) under the respective Subleases.  Each such Participating </w:t>
      </w:r>
      <w:r w:rsidR="00006F60">
        <w:t>K-12</w:t>
      </w:r>
      <w:r>
        <w:t xml:space="preserve"> Institution (and, in the case of charter schools, the chartering entity) has the right under its respective Sublease to purchase all of the Leased Property subject to such Sublease following the occurrence of an Event of Default or Event of Nonappropriation under the related Lease by paying an amount equal to the principal amount of the Attributable Certificates (as defined in in Section 9.01 of the form of the </w:t>
      </w:r>
      <w:r w:rsidR="00480C95">
        <w:t>2020R</w:t>
      </w:r>
      <w:r>
        <w:t xml:space="preserve"> Subleases appended to this Official Statement) through the closing date for the purchase of such Leased Property, and paying all Additional Rent payable through the date of conveyance of such Leased Property.  The net proceeds from the exercise of such remedies are to be applied toward the payment of the Certificates under the Master Indenture, including the Series </w:t>
      </w:r>
      <w:r w:rsidR="00480C95">
        <w:t>2020R</w:t>
      </w:r>
      <w:r>
        <w:t xml:space="preserve"> Certificates as described in the form of Master Indenture appended to this Official Statement.  There can be no assurance that the Participating </w:t>
      </w:r>
      <w:r w:rsidR="00006F60">
        <w:t>K-12</w:t>
      </w:r>
      <w:r>
        <w:t xml:space="preserve"> Institutions will exercise their right to purchase the Leased Property or that such proceeds will be sufficient to pay all of the principal due on the Series </w:t>
      </w:r>
      <w:r w:rsidR="00480C95">
        <w:t>2020R</w:t>
      </w:r>
      <w:r>
        <w:t xml:space="preserve"> Certificates.</w:t>
      </w:r>
    </w:p>
    <w:p w:rsidR="006123A1" w:rsidRDefault="006123A1" w:rsidP="005F2BAE">
      <w:pPr>
        <w:pStyle w:val="BodyText1"/>
      </w:pPr>
      <w:r>
        <w:t>The State has the option to terminate a Lease and release the related Leased Property from the Indenture in connection with the defeasance of the related Certificates by paying the State</w:t>
      </w:r>
      <w:r w:rsidR="00A06786">
        <w:t>’</w:t>
      </w:r>
      <w:r>
        <w:t xml:space="preserve">s Purchase Option Price applicable to such Lease, and may also substitute other property for any portion of the Leased Property, as described in </w:t>
      </w:r>
      <w:r w:rsidR="00A06786">
        <w:t>“</w:t>
      </w:r>
      <w:r>
        <w:t xml:space="preserve">SECURITY AND SOURCES OF PAYMENT – The Leased Property – </w:t>
      </w:r>
      <w:r w:rsidRPr="00F14BD9">
        <w:rPr>
          <w:i/>
        </w:rPr>
        <w:t>State</w:t>
      </w:r>
      <w:r w:rsidR="00A06786">
        <w:rPr>
          <w:i/>
        </w:rPr>
        <w:t>’</w:t>
      </w:r>
      <w:r w:rsidRPr="00F14BD9">
        <w:rPr>
          <w:i/>
        </w:rPr>
        <w:t>s Purchase Option – Substitution of Leased Property</w:t>
      </w:r>
      <w:r>
        <w:t>.</w:t>
      </w:r>
      <w:r w:rsidR="00A06786">
        <w:t>”</w:t>
      </w:r>
    </w:p>
    <w:p w:rsidR="006123A1" w:rsidRDefault="006123A1" w:rsidP="005F2BAE">
      <w:pPr>
        <w:pStyle w:val="BodyText1"/>
      </w:pPr>
      <w:r>
        <w:t>Payment of Rent and all other payments by the State constitute currently appropriated expenditures of the State and may be paid solely from legally available moneys in the Assistance Fund, including any moneys appropriated or transferred by the General Assembly to the Assistance Fund from any legally available sources, including the State General Fund, if the amount of money in the Assistance Fund that is available to pay Rent will be insufficient to cover the full amount of Rent.  All obligations of the State under the Leases are subject to the action of the General Assembly in annually making moneys available for payments thereunder.  The obligations of the State to pay Rent and all other obligations of the State under the Leases are subject to appropriation by the General Assembly in its sole discretion, are not to be deemed or construed as creating an indebtedness of the State within the meaning of any provision of the State Constitution or the laws of the State concerning or limiting the creation of indebtedness of the State and do not constitute a multiple fiscal year direct or indirect debt or other financial obligation of the State within the meaning of Section 3 of Article XI or Section 20(4) of Article X of the State Constitution or any other limitation or provision of the State Constitution, State statutes or other State law.  In the event the State does not renew a Lease, the sole security available to the Trustee, as lessor under the Lease, is the Leased Property leased under such Lease, subject to the terms of the Lease.</w:t>
      </w:r>
    </w:p>
    <w:p w:rsidR="006123A1" w:rsidRDefault="006123A1" w:rsidP="003A3DD0">
      <w:pPr>
        <w:pStyle w:val="Heading2"/>
      </w:pPr>
      <w:bookmarkStart w:id="10" w:name="_Toc56668343"/>
      <w:r>
        <w:t>Additional Certificates</w:t>
      </w:r>
      <w:bookmarkEnd w:id="10"/>
    </w:p>
    <w:p w:rsidR="006123A1" w:rsidRDefault="006123A1" w:rsidP="005F2BAE">
      <w:pPr>
        <w:pStyle w:val="BodyText1"/>
      </w:pPr>
      <w:r>
        <w:t xml:space="preserve">The Master Indenture permits the execution and delivery of Series of Certificates in addition to the Series </w:t>
      </w:r>
      <w:r w:rsidR="00480C95">
        <w:t>2020R</w:t>
      </w:r>
      <w:r>
        <w:t xml:space="preserve"> Certificates and the Prior Certificates, and which will be secured by the Trust Estate on parity with the Series </w:t>
      </w:r>
      <w:r w:rsidR="00480C95">
        <w:t>2020R</w:t>
      </w:r>
      <w:r>
        <w:t xml:space="preserve"> Certificates and the Prior Certificates, without notice to or approval of the Owners of the Outstanding Series </w:t>
      </w:r>
      <w:r w:rsidR="00480C95">
        <w:t>2020R</w:t>
      </w:r>
      <w:r>
        <w:t xml:space="preserve"> Certificates or Prior Certificates, as directed by the State and upon satisfaction of certain conditions, all as provided in the Master Indenture.  For a description of these conditions, see </w:t>
      </w:r>
      <w:r w:rsidR="00A06786">
        <w:t>“</w:t>
      </w:r>
      <w:r>
        <w:t>SECURITY AND SOURCES OF PAYMENT – Additional Series of Certificates.</w:t>
      </w:r>
      <w:r w:rsidR="00A06786">
        <w:t>”</w:t>
      </w:r>
      <w:r>
        <w:t xml:space="preserve">  If any additional Certificates are executed and delivered, either an additional Lease must be entered into by the State, or one or more existing Leases must be amended, as applicable, to include as Leased Property any additional property that may be leased by the State in connection with the execution and delivery of such additional Certificates.  It is anticipated that after the </w:t>
      </w:r>
      <w:r w:rsidR="00480C95">
        <w:t>2020R</w:t>
      </w:r>
      <w:r>
        <w:t xml:space="preserve"> Certificates are executed and delivered, the currently imposed annual lease payment limits would allow funding of future Projects through the execution and delivery of additional Series of Certificates.  See also </w:t>
      </w:r>
      <w:r w:rsidR="00A06786">
        <w:t>“</w:t>
      </w:r>
      <w:r>
        <w:t>PLAN OF FINANCING – The Program.</w:t>
      </w:r>
      <w:r w:rsidR="00A06786">
        <w:t>”</w:t>
      </w:r>
      <w:r>
        <w:t xml:space="preserve">  </w:t>
      </w:r>
    </w:p>
    <w:p w:rsidR="006123A1" w:rsidRDefault="006123A1" w:rsidP="00EF5F6C">
      <w:pPr>
        <w:pStyle w:val="Heading2"/>
        <w:keepNext/>
      </w:pPr>
      <w:bookmarkStart w:id="11" w:name="_Toc56668344"/>
      <w:r>
        <w:t xml:space="preserve">Certain Risks to Owners of the Series </w:t>
      </w:r>
      <w:r w:rsidR="00480C95">
        <w:t>2020R</w:t>
      </w:r>
      <w:r>
        <w:t xml:space="preserve"> Certificates</w:t>
      </w:r>
      <w:bookmarkEnd w:id="11"/>
    </w:p>
    <w:p w:rsidR="006123A1" w:rsidRDefault="006123A1" w:rsidP="00EF5F6C">
      <w:pPr>
        <w:pStyle w:val="BodyText1"/>
        <w:keepNext/>
      </w:pPr>
      <w:r>
        <w:t xml:space="preserve">Certain factors described in this Official Statement could affect the payment of Base Rent under the Leases, the value of the Leased Property and the market price of the Series </w:t>
      </w:r>
      <w:r w:rsidR="00480C95">
        <w:t>2020R</w:t>
      </w:r>
      <w:r>
        <w:t xml:space="preserve"> Certificates to an extent that cannot be determined at this time.  Each prospective investor should read the Official Statement in its entirety to make an informed investment decision, giving particular attention to the section entitled </w:t>
      </w:r>
      <w:r w:rsidR="00A06786">
        <w:t>“</w:t>
      </w:r>
      <w:r>
        <w:t>CERTAIN RISK FACTORS.</w:t>
      </w:r>
      <w:r w:rsidR="00A06786">
        <w:t>”</w:t>
      </w:r>
    </w:p>
    <w:p w:rsidR="006123A1" w:rsidRDefault="006123A1" w:rsidP="007B5EE3">
      <w:pPr>
        <w:pStyle w:val="Heading2"/>
        <w:keepNext/>
      </w:pPr>
      <w:bookmarkStart w:id="12" w:name="_Toc56668345"/>
      <w:r>
        <w:t>Legal Matters</w:t>
      </w:r>
      <w:bookmarkEnd w:id="12"/>
    </w:p>
    <w:p w:rsidR="006123A1" w:rsidRDefault="00561636" w:rsidP="00642D0B">
      <w:pPr>
        <w:pStyle w:val="BodyText1"/>
      </w:pPr>
      <w:r>
        <w:t>Kutak Rock LLP</w:t>
      </w:r>
      <w:r w:rsidR="006123A1">
        <w:t>, Denver, Colorado, is serving as bond counsel (</w:t>
      </w:r>
      <w:r w:rsidR="00A06786">
        <w:t>“</w:t>
      </w:r>
      <w:r w:rsidR="006123A1">
        <w:t>Bond Counsel</w:t>
      </w:r>
      <w:r w:rsidR="00A06786">
        <w:t>”</w:t>
      </w:r>
      <w:r w:rsidR="006123A1">
        <w:t xml:space="preserve">) in connection with the execution and delivery of the Series </w:t>
      </w:r>
      <w:r w:rsidR="00480C95">
        <w:t>2020R</w:t>
      </w:r>
      <w:r w:rsidR="006123A1">
        <w:t xml:space="preserve"> Certificates and will deliver its opinion substantially in the form included in this Official Statement as </w:t>
      </w:r>
      <w:r w:rsidR="00A06786">
        <w:t>“</w:t>
      </w:r>
      <w:r w:rsidR="006123A1">
        <w:t>APPENDIX D – FORM OF OPINION OF BOND COUNSEL.</w:t>
      </w:r>
      <w:r w:rsidR="00A06786">
        <w:t>”</w:t>
      </w:r>
      <w:r w:rsidR="006123A1">
        <w:t xml:space="preserve">  Certain legal matters will be passed upon for the State by the Attorney General of the State and by </w:t>
      </w:r>
      <w:r>
        <w:t>Sherman &amp; Howard, L.L.C</w:t>
      </w:r>
      <w:r w:rsidR="006123A1">
        <w:t xml:space="preserve">., Denver, Colorado, as Special Counsel to the State in connection with the preparation of this Official Statement.  </w:t>
      </w:r>
      <w:r w:rsidR="002324E1">
        <w:t>Stradling Yocca Carlson &amp; Rauth</w:t>
      </w:r>
      <w:r w:rsidR="006123A1">
        <w:t xml:space="preserve">, Denver, Colorado, has acted as counsel to the Underwriters in connection with the execution and delivery of the Series </w:t>
      </w:r>
      <w:r w:rsidR="00480C95">
        <w:t>2020R</w:t>
      </w:r>
      <w:r w:rsidR="006123A1">
        <w:t xml:space="preserve"> Certificates.  </w:t>
      </w:r>
    </w:p>
    <w:p w:rsidR="006123A1" w:rsidRDefault="006123A1" w:rsidP="00642D0B">
      <w:pPr>
        <w:pStyle w:val="Heading2"/>
        <w:keepNext/>
      </w:pPr>
      <w:bookmarkStart w:id="13" w:name="_Toc56668346"/>
      <w:r>
        <w:t>Tax Matters</w:t>
      </w:r>
      <w:bookmarkEnd w:id="13"/>
    </w:p>
    <w:p w:rsidR="006123A1" w:rsidRPr="00561636" w:rsidRDefault="00561636" w:rsidP="00642D0B">
      <w:pPr>
        <w:pStyle w:val="BodyText1"/>
        <w:keepNext/>
        <w:rPr>
          <w:szCs w:val="22"/>
        </w:rPr>
      </w:pPr>
      <w:r w:rsidRPr="00561636">
        <w:rPr>
          <w:szCs w:val="22"/>
        </w:rPr>
        <w:t xml:space="preserve">In the opinion of Kutak Rock LLP, Bond Counsel, under existing laws, regulations, rulings and judicial decisions and assuming the accuracy of certain representations and continuing compliance with certain covenants, the portion of Base Rent paid by the State which is designated and paid as interest on the Series </w:t>
      </w:r>
      <w:r w:rsidR="00480C95">
        <w:rPr>
          <w:szCs w:val="22"/>
        </w:rPr>
        <w:t>2020R</w:t>
      </w:r>
      <w:r w:rsidR="009B01C1">
        <w:rPr>
          <w:szCs w:val="22"/>
        </w:rPr>
        <w:t xml:space="preserve"> Certificates </w:t>
      </w:r>
      <w:r w:rsidRPr="00561636">
        <w:rPr>
          <w:szCs w:val="22"/>
        </w:rPr>
        <w:t>is excludable from gross income for federal income tax purposes and is not a specific preference item for purposes of the fed</w:t>
      </w:r>
      <w:r w:rsidR="00DE1F7B">
        <w:rPr>
          <w:szCs w:val="22"/>
        </w:rPr>
        <w:t>eral alternative minimum tax.  Bond Counsel is also of the opinion that, u</w:t>
      </w:r>
      <w:r w:rsidRPr="00561636">
        <w:rPr>
          <w:szCs w:val="22"/>
        </w:rPr>
        <w:t xml:space="preserve">nder existing Colorado statutes, the interest received by the Owners of the Series </w:t>
      </w:r>
      <w:r w:rsidR="00480C95">
        <w:rPr>
          <w:szCs w:val="22"/>
        </w:rPr>
        <w:t>2020R</w:t>
      </w:r>
      <w:r w:rsidRPr="00561636">
        <w:rPr>
          <w:szCs w:val="22"/>
        </w:rPr>
        <w:t xml:space="preserve"> Certificates with respect to their undivided interests in the Base Rent that is designated and paid as interest under the Leases is exempt from State of Colorado income tax.  Bond Counsel expresses no opinion regarding other tax consequences related to the ownership or disposition of Series </w:t>
      </w:r>
      <w:r w:rsidR="00480C95">
        <w:rPr>
          <w:szCs w:val="22"/>
        </w:rPr>
        <w:t>2020R</w:t>
      </w:r>
      <w:r w:rsidRPr="00561636">
        <w:rPr>
          <w:szCs w:val="22"/>
        </w:rPr>
        <w:t xml:space="preserve"> Certificates.  See </w:t>
      </w:r>
      <w:r w:rsidR="00A06786">
        <w:rPr>
          <w:szCs w:val="22"/>
        </w:rPr>
        <w:t>“</w:t>
      </w:r>
      <w:r w:rsidRPr="00561636">
        <w:rPr>
          <w:szCs w:val="22"/>
        </w:rPr>
        <w:t>TAX MATTERS</w:t>
      </w:r>
      <w:r w:rsidR="00A06786">
        <w:rPr>
          <w:szCs w:val="22"/>
        </w:rPr>
        <w:t>”</w:t>
      </w:r>
      <w:r w:rsidRPr="00561636">
        <w:rPr>
          <w:szCs w:val="22"/>
        </w:rPr>
        <w:t xml:space="preserve"> herein.</w:t>
      </w:r>
    </w:p>
    <w:p w:rsidR="00E769B0" w:rsidRPr="001E0EFB" w:rsidRDefault="00E769B0" w:rsidP="003A3DD0">
      <w:pPr>
        <w:pStyle w:val="Heading2"/>
      </w:pPr>
      <w:bookmarkStart w:id="14" w:name="_Toc499890007"/>
      <w:bookmarkStart w:id="15" w:name="_Toc56668347"/>
      <w:r w:rsidRPr="001E0EFB">
        <w:t>Availability of Continuing Information</w:t>
      </w:r>
      <w:bookmarkEnd w:id="14"/>
      <w:bookmarkEnd w:id="15"/>
    </w:p>
    <w:p w:rsidR="00E769B0" w:rsidRPr="001E0EFB" w:rsidRDefault="00E769B0" w:rsidP="00E769B0">
      <w:pPr>
        <w:pStyle w:val="BodyText1"/>
      </w:pPr>
      <w:r w:rsidRPr="001E0EFB">
        <w:t xml:space="preserve">Upon delivery of the Series </w:t>
      </w:r>
      <w:r w:rsidR="00480C95">
        <w:t>2020R</w:t>
      </w:r>
      <w:r>
        <w:t xml:space="preserve"> Certificates</w:t>
      </w:r>
      <w:r w:rsidRPr="001E0EFB">
        <w:t xml:space="preserve">, the State will execute a Continuing Disclosure Undertaking in which it will agree, for the benefit of the owners of the Series </w:t>
      </w:r>
      <w:r w:rsidR="00480C95">
        <w:t>2020R</w:t>
      </w:r>
      <w:r>
        <w:t xml:space="preserve"> Certificates</w:t>
      </w:r>
      <w:r w:rsidRPr="001E0EFB">
        <w:t xml:space="preserve">, to file such ongoing information regarding the State as described in </w:t>
      </w:r>
      <w:r w:rsidR="00A06786">
        <w:t>“</w:t>
      </w:r>
      <w:r w:rsidRPr="001E0EFB">
        <w:t>CONTINUING DISCLOSURE</w:t>
      </w:r>
      <w:r w:rsidR="00A06786">
        <w:t>”</w:t>
      </w:r>
      <w:r w:rsidRPr="001E0EFB">
        <w:t xml:space="preserve"> herein.  A form of the Continuing Disclosure Undertaking is attached hereto as </w:t>
      </w:r>
      <w:r w:rsidRPr="00FF5338">
        <w:t>Appendix C</w:t>
      </w:r>
      <w:r w:rsidRPr="001E0EFB">
        <w:t>.</w:t>
      </w:r>
    </w:p>
    <w:p w:rsidR="00E769B0" w:rsidRPr="001E0EFB" w:rsidRDefault="00E769B0" w:rsidP="003A3DD0">
      <w:pPr>
        <w:pStyle w:val="Heading2"/>
      </w:pPr>
      <w:bookmarkStart w:id="16" w:name="_Toc499890008"/>
      <w:bookmarkStart w:id="17" w:name="_Toc56668348"/>
      <w:r w:rsidRPr="001E0EFB">
        <w:t>State Economic and Demographic Information</w:t>
      </w:r>
      <w:bookmarkEnd w:id="16"/>
      <w:bookmarkEnd w:id="17"/>
    </w:p>
    <w:p w:rsidR="00E769B0" w:rsidRPr="001E0EFB" w:rsidRDefault="00E769B0" w:rsidP="00E769B0">
      <w:pPr>
        <w:pStyle w:val="BodyText1"/>
      </w:pPr>
      <w:r w:rsidRPr="001E0EFB">
        <w:t>This Official Statement contains economic and demographic information about the State prepared</w:t>
      </w:r>
      <w:r w:rsidR="00040A5C">
        <w:t xml:space="preserve"> and compiled in May</w:t>
      </w:r>
      <w:r w:rsidR="00DE1F7B">
        <w:t xml:space="preserve"> 2020</w:t>
      </w:r>
      <w:r w:rsidRPr="001E0EFB">
        <w:t xml:space="preserve"> by Development Research Partners for use by the State.  See </w:t>
      </w:r>
      <w:r w:rsidR="00A06786">
        <w:t>“</w:t>
      </w:r>
      <w:r w:rsidR="00F620BE" w:rsidRPr="00F620BE">
        <w:t>APPENDIX I</w:t>
      </w:r>
      <w:r w:rsidRPr="001E0EFB">
        <w:t xml:space="preserve"> – </w:t>
      </w:r>
      <w:r w:rsidR="00A06786">
        <w:t>“</w:t>
      </w:r>
      <w:r w:rsidRPr="001E0EFB">
        <w:t>CERTAIN STATE ECONOMIC AND DEMOGRAPHIC INFORMATION.</w:t>
      </w:r>
      <w:r w:rsidR="00A06786">
        <w:t>”</w:t>
      </w:r>
      <w:r w:rsidR="004830B4">
        <w:t xml:space="preserve">  </w:t>
      </w:r>
      <w:r w:rsidR="004830B4" w:rsidRPr="004830B4">
        <w:rPr>
          <w:b/>
        </w:rPr>
        <w:t>It is important to note that the information in Appendix I, such as employment figures, has changed materially since the date of such information</w:t>
      </w:r>
      <w:r w:rsidR="007C13AF">
        <w:rPr>
          <w:b/>
        </w:rPr>
        <w:t>.  See “CERTAIN RISK FACTORS--</w:t>
      </w:r>
      <w:r w:rsidR="004830B4" w:rsidRPr="004830B4">
        <w:rPr>
          <w:b/>
        </w:rPr>
        <w:t>Potential Impact of COVID-19 (Coronavirus).”</w:t>
      </w:r>
    </w:p>
    <w:p w:rsidR="00E769B0" w:rsidRPr="001E0EFB" w:rsidRDefault="00E769B0" w:rsidP="00E769B0">
      <w:pPr>
        <w:pStyle w:val="BodyText1"/>
      </w:pPr>
      <w:r w:rsidRPr="001E0EFB">
        <w:t xml:space="preserve">Development Research Partners has consented to the inclusion of such information in this Official Statement.  Neither the State nor the Underwriters intends to assume responsibility for the accuracy, completeness or fairness of </w:t>
      </w:r>
      <w:r>
        <w:t xml:space="preserve">such </w:t>
      </w:r>
      <w:r w:rsidRPr="001E0EFB">
        <w:t>information</w:t>
      </w:r>
      <w:r>
        <w:t>.</w:t>
      </w:r>
      <w:r w:rsidRPr="001E0EFB">
        <w:t xml:space="preserve">  The information in</w:t>
      </w:r>
      <w:r>
        <w:t xml:space="preserve"> such Appendix</w:t>
      </w:r>
      <w:r w:rsidRPr="001E0EFB">
        <w:t xml:space="preserve"> has been included in this Official Statement in reliance upon the authority of Development Research Partners as experts in the preparation of economic and demographic analyses.  Potential</w:t>
      </w:r>
      <w:r w:rsidRPr="00F97648">
        <w:t xml:space="preserve"> investors s</w:t>
      </w:r>
      <w:r w:rsidRPr="001E0EFB">
        <w:t xml:space="preserve">hould read </w:t>
      </w:r>
      <w:r w:rsidRPr="00FF5338">
        <w:t>Appendix I</w:t>
      </w:r>
      <w:r w:rsidRPr="001E0EFB">
        <w:t xml:space="preserve"> in its entirety for information with respect to the economic and demographic status of the State.</w:t>
      </w:r>
    </w:p>
    <w:p w:rsidR="00E769B0" w:rsidRPr="001E0EFB" w:rsidRDefault="00E769B0" w:rsidP="003A3DD0">
      <w:pPr>
        <w:pStyle w:val="Heading2"/>
      </w:pPr>
      <w:bookmarkStart w:id="18" w:name="_Toc499890009"/>
      <w:bookmarkStart w:id="19" w:name="_Toc56668349"/>
      <w:r w:rsidRPr="001E0EFB">
        <w:t>Other Information</w:t>
      </w:r>
      <w:bookmarkEnd w:id="18"/>
      <w:bookmarkEnd w:id="19"/>
    </w:p>
    <w:p w:rsidR="00E769B0" w:rsidRPr="001E0EFB" w:rsidRDefault="00E769B0" w:rsidP="00E769B0">
      <w:pPr>
        <w:pStyle w:val="BodyText1"/>
      </w:pPr>
      <w:r w:rsidRPr="001E0EFB">
        <w:t>This Official Statement speaks only as of its date, and the information contained herein is subject to change.</w:t>
      </w:r>
    </w:p>
    <w:p w:rsidR="00E769B0" w:rsidRPr="001E0EFB" w:rsidRDefault="00E769B0" w:rsidP="00E769B0">
      <w:pPr>
        <w:pStyle w:val="BodyText1"/>
      </w:pPr>
      <w:r w:rsidRPr="001E0EFB">
        <w:t xml:space="preserve">The quotations from, and summaries and explanations of, the statues, regulations and documents contained herein do not purport to be complete and reference is made to said laws, regulations and documents for full and complete statements of their provisions.  Copies, in reasonable quantity, of such laws, regulations and documents (including the Act) may be obtained during the offering period, upon request to the Underwriters at </w:t>
      </w:r>
      <w:r>
        <w:t>RBC Capital Markets, LLC</w:t>
      </w:r>
      <w:r w:rsidRPr="001E0EFB">
        <w:t xml:space="preserve">, as Representative of the Underwriters, </w:t>
      </w:r>
      <w:r>
        <w:t>1801 California Street, Suite 3850, Denver, Colorado 80202</w:t>
      </w:r>
      <w:r w:rsidRPr="001E0EFB">
        <w:t xml:space="preserve">, Attention: </w:t>
      </w:r>
      <w:r>
        <w:t>Dan O</w:t>
      </w:r>
      <w:r w:rsidR="00A06786">
        <w:t>’</w:t>
      </w:r>
      <w:r>
        <w:t>Connell</w:t>
      </w:r>
      <w:r w:rsidRPr="001E0EFB">
        <w:t xml:space="preserve">, telephone number:  </w:t>
      </w:r>
      <w:r>
        <w:t>(303) 595-1222</w:t>
      </w:r>
      <w:r w:rsidRPr="001E0EFB">
        <w:t>.</w:t>
      </w:r>
    </w:p>
    <w:p w:rsidR="00E769B0" w:rsidRPr="001E0EFB" w:rsidRDefault="00E769B0" w:rsidP="00E769B0">
      <w:pPr>
        <w:pStyle w:val="BodyText1"/>
      </w:pPr>
      <w:r w:rsidRPr="001E0EFB">
        <w:t xml:space="preserve">Any statements in this Official Statement involving matters of opinion, whether or not expressly so stated, are intended as such and not as representations of fact.  This Official Statement is not to be construed as a contract or agreement between the State or the Series </w:t>
      </w:r>
      <w:r w:rsidR="00480C95">
        <w:t>2020R</w:t>
      </w:r>
      <w:r w:rsidRPr="001E0EFB">
        <w:t xml:space="preserve"> Participating K-12 Institutions and the purchasers or holders of any of the Series </w:t>
      </w:r>
      <w:r w:rsidR="00480C95">
        <w:t>2020R</w:t>
      </w:r>
      <w:r>
        <w:t xml:space="preserve"> Certificates</w:t>
      </w:r>
      <w:r w:rsidRPr="001E0EFB">
        <w:t>.</w:t>
      </w:r>
    </w:p>
    <w:p w:rsidR="006123A1" w:rsidRDefault="006123A1" w:rsidP="003A3DD0">
      <w:pPr>
        <w:pStyle w:val="Heading1"/>
      </w:pPr>
      <w:bookmarkStart w:id="20" w:name="_Toc56668350"/>
      <w:r>
        <w:t>PLAN OF FINANCING</w:t>
      </w:r>
      <w:bookmarkEnd w:id="20"/>
    </w:p>
    <w:p w:rsidR="006123A1" w:rsidRDefault="006123A1" w:rsidP="003A3DD0">
      <w:pPr>
        <w:pStyle w:val="Heading2"/>
      </w:pPr>
      <w:bookmarkStart w:id="21" w:name="_Toc56668351"/>
      <w:r>
        <w:t>The Program</w:t>
      </w:r>
      <w:bookmarkEnd w:id="21"/>
    </w:p>
    <w:p w:rsidR="006123A1" w:rsidRDefault="006123A1" w:rsidP="00437E52">
      <w:pPr>
        <w:pStyle w:val="BodyText1"/>
      </w:pPr>
      <w:r>
        <w:t xml:space="preserve">The Series </w:t>
      </w:r>
      <w:r w:rsidR="00480C95">
        <w:t>2020R</w:t>
      </w:r>
      <w:r>
        <w:t xml:space="preserve"> Certificates are being delivered under authority granted by the Act and pursuant to the Indenture.  The Act creates the Assistance Fund and authorizes the State Treasurer to enter into Leases for Projects approved by the State, provided that the maximum total amount of annual lease payments payable by the State during any Fiscal Year under the Leases is less than the maximum total amount of annual lease payments set forth in the Act for the applicable Fiscal Year (the </w:t>
      </w:r>
      <w:r w:rsidR="00A06786">
        <w:t>“</w:t>
      </w:r>
      <w:r>
        <w:t>Maximum Annual Lease Payments</w:t>
      </w:r>
      <w:r w:rsidR="00A06786">
        <w:t>”</w:t>
      </w:r>
      <w:r w:rsidR="00DE1F7B">
        <w:t>), currently $</w:t>
      </w:r>
      <w:r w:rsidR="004830B4">
        <w:t xml:space="preserve">125 </w:t>
      </w:r>
      <w:r w:rsidR="00DE1F7B">
        <w:t>million for Fiscal Years 2020-21</w:t>
      </w:r>
      <w:r>
        <w:t xml:space="preserve"> and thereafter.  If the maximum total amount of annual lease payments of principal or interest payable by the State during any Fiscal Year under the Leases is greater than one-half of the Maximum Annual Lease Payments for the applicable Fiscal Year, the aggregate amount of Matching Moneys expected to be credited to the Assistance Fund pursuant to the Act and any interest or income derived from the deposit and investment of the Matching Moneys must be at least equal to the annual amount of lease payments of principal and interest payable by the State during any Fiscal Year under the Leases that exceeds one-half of the Maximum Annual Lease Payments applicable to such Fiscal Year.  See </w:t>
      </w:r>
      <w:r w:rsidR="00A06786">
        <w:t>“</w:t>
      </w:r>
      <w:r>
        <w:t>APPENDIX G – PUBLIC SCHOOL CAPITAL CONSTRUCTION ASSISTANCE FUND – Matching Moneys.</w:t>
      </w:r>
      <w:r w:rsidR="00A06786">
        <w:t>”</w:t>
      </w:r>
      <w:r>
        <w:t xml:space="preserve">  For example, if the total amount of annual lease payments payable by </w:t>
      </w:r>
      <w:r w:rsidR="00897442">
        <w:t>the State in Fiscal Year 2020-21</w:t>
      </w:r>
      <w:r w:rsidR="004830B4">
        <w:t xml:space="preserve"> was $75</w:t>
      </w:r>
      <w:r>
        <w:t xml:space="preserve"> million, the State would need to expect at the time that it enters into a Lease that at least </w:t>
      </w:r>
      <w:r w:rsidR="00897442">
        <w:t>$</w:t>
      </w:r>
      <w:r w:rsidR="004830B4">
        <w:t xml:space="preserve">12.5 </w:t>
      </w:r>
      <w:r>
        <w:t xml:space="preserve">million </w:t>
      </w:r>
      <w:r w:rsidR="00897442">
        <w:t>($</w:t>
      </w:r>
      <w:r w:rsidR="004830B4">
        <w:t>75 million – ($125 million/2) =</w:t>
      </w:r>
      <w:r w:rsidR="00897442">
        <w:t xml:space="preserve"> $</w:t>
      </w:r>
      <w:r w:rsidR="004830B4">
        <w:t>12.5</w:t>
      </w:r>
      <w:r w:rsidR="00897442">
        <w:t xml:space="preserve"> million)</w:t>
      </w:r>
      <w:r w:rsidR="004830B4">
        <w:t xml:space="preserve"> </w:t>
      </w:r>
      <w:r>
        <w:t>in aggregate Matching Moneys would be credited to the Assist</w:t>
      </w:r>
      <w:r w:rsidR="00897442">
        <w:t>ance Fund in Fiscal Year 2020-21</w:t>
      </w:r>
      <w:r>
        <w:t>.</w:t>
      </w:r>
    </w:p>
    <w:p w:rsidR="006123A1" w:rsidRDefault="006123A1" w:rsidP="005F2BAE">
      <w:pPr>
        <w:pStyle w:val="BodyText1"/>
      </w:pPr>
      <w:r>
        <w:t xml:space="preserve">For purposes of complying with the limitations on Maximum Annual Lease Payments, the </w:t>
      </w:r>
      <w:r w:rsidR="00A06786">
        <w:t>“</w:t>
      </w:r>
      <w:r>
        <w:t>Colorado Recovery and Reinvestment Finance Act of 2009,</w:t>
      </w:r>
      <w:r w:rsidR="00A06786">
        <w:t>”</w:t>
      </w:r>
      <w:r>
        <w:t xml:space="preserve"> codified as Section 11-59.7-105(4), C.R.S. (the </w:t>
      </w:r>
      <w:r w:rsidR="00A06786">
        <w:t>“</w:t>
      </w:r>
      <w:r>
        <w:t>CRRFA</w:t>
      </w:r>
      <w:r w:rsidR="00A06786">
        <w:t>”</w:t>
      </w:r>
      <w:r>
        <w:t>), permits the Base Rent due under the Leases to be netted against, and reduced by, certain federal moneys to be received for the purpose of making such payments (</w:t>
      </w:r>
      <w:r w:rsidR="00A06786">
        <w:t>“</w:t>
      </w:r>
      <w:r>
        <w:t>Federal Direct Payments</w:t>
      </w:r>
      <w:r w:rsidR="00A06786">
        <w:t>”</w:t>
      </w:r>
      <w:r>
        <w:t xml:space="preserve">).  Federal Direct Payments are expected to be received by the Trustee on behalf of the State pursuant to the Indenture in connection with the Series 2010D Certificates as a result of their designation as </w:t>
      </w:r>
      <w:r w:rsidR="00A06786">
        <w:t>“</w:t>
      </w:r>
      <w:r>
        <w:t>Qualified School Construction Bonds</w:t>
      </w:r>
      <w:r w:rsidR="00A06786">
        <w:t>”</w:t>
      </w:r>
      <w:r>
        <w:t xml:space="preserve"> for purposes of the</w:t>
      </w:r>
      <w:r w:rsidR="009F5B62">
        <w:t xml:space="preserve"> Internal Revenue Code of 1986, as amended</w:t>
      </w:r>
      <w:r>
        <w:t xml:space="preserve"> </w:t>
      </w:r>
      <w:r w:rsidR="009F5B62">
        <w:t>(the “</w:t>
      </w:r>
      <w:r>
        <w:t>Tax Code</w:t>
      </w:r>
      <w:r w:rsidR="009F5B62">
        <w:t>”)</w:t>
      </w:r>
      <w:r>
        <w:t xml:space="preserve">.  See also </w:t>
      </w:r>
      <w:r w:rsidR="00A06786">
        <w:t>“</w:t>
      </w:r>
      <w:r>
        <w:t>SECURITY AND SOURCES OF PAYMENT – Federal Direct Payments.</w:t>
      </w:r>
      <w:r w:rsidR="00A06786">
        <w:t>”</w:t>
      </w:r>
    </w:p>
    <w:p w:rsidR="006123A1" w:rsidRDefault="006123A1" w:rsidP="005F2BAE">
      <w:pPr>
        <w:pStyle w:val="BodyText1"/>
      </w:pPr>
      <w:r>
        <w:t xml:space="preserve">The annual lease payments due under the Leases and payable by the State in any Fiscal Year during the term of such Leases, net of the aggregate amount of Matching Moneys expected to be credited to the Assistance Fund pursuant to the Act and any interest or income derived from the deposit and investment of the Matching Moneys and net of the Federal Direct Payments expected to be received by the Trustee on behalf of the State pursuant to the Indenture, are expected to be less than one-half of the Maximum Annual Lease </w:t>
      </w:r>
      <w:r w:rsidR="00897442">
        <w:t>Payments for Fiscal Year 2020-21</w:t>
      </w:r>
      <w:r>
        <w:t xml:space="preserve"> and thereafter.  For this purpose, the impact of sequestration on Federal Di</w:t>
      </w:r>
      <w:r w:rsidR="00897442">
        <w:t>rect Payments in Fiscal Year 2020-21</w:t>
      </w:r>
      <w:r>
        <w:t xml:space="preserve"> has been taken into account by reducing the amount of Federal Direct Payments expected to be credited to</w:t>
      </w:r>
      <w:r w:rsidR="00897442">
        <w:t xml:space="preserve"> the Assistance Fund by the applicable</w:t>
      </w:r>
      <w:r>
        <w:t xml:space="preserve"> sequestration reduction percentage.  See </w:t>
      </w:r>
      <w:r w:rsidR="00A06786">
        <w:t>“</w:t>
      </w:r>
      <w:r>
        <w:t xml:space="preserve">BASE RENT AND SERIES </w:t>
      </w:r>
      <w:r w:rsidR="00480C95">
        <w:t>2020R</w:t>
      </w:r>
      <w:r>
        <w:t xml:space="preserve"> CERTIFICATES PAYMENT SCHEDULE</w:t>
      </w:r>
      <w:r w:rsidR="00A06786">
        <w:t>”</w:t>
      </w:r>
      <w:r>
        <w:t xml:space="preserve"> and </w:t>
      </w:r>
      <w:r w:rsidR="00A06786">
        <w:t>“</w:t>
      </w:r>
      <w:r>
        <w:t>SECURITY AND SOURCES OF PAYMENT – Federal Direct Payments.</w:t>
      </w:r>
      <w:r w:rsidR="00A06786">
        <w:t>”</w:t>
      </w:r>
    </w:p>
    <w:p w:rsidR="006123A1" w:rsidRDefault="006123A1" w:rsidP="005F2BAE">
      <w:pPr>
        <w:pStyle w:val="BodyText1"/>
      </w:pPr>
      <w:r>
        <w:t xml:space="preserve">The General Assembly has established the Program in order to implement the Act.  See </w:t>
      </w:r>
      <w:r w:rsidR="00A06786">
        <w:t>“</w:t>
      </w:r>
      <w:r>
        <w:t>INTRODUCTION – The Program.</w:t>
      </w:r>
      <w:r w:rsidR="00A06786">
        <w:t>”</w:t>
      </w:r>
      <w:r>
        <w:t xml:space="preserve">  Each Series of Certificates evidences undivided interests in the right to receive certain payments by the State under the Leases.  The following table sets forth the aggregate principal amount of Certificates to be outstanding after the execution and delivery of the Series </w:t>
      </w:r>
      <w:r w:rsidR="00480C95">
        <w:t>2020R</w:t>
      </w:r>
      <w:r w:rsidR="00B53E33">
        <w:t xml:space="preserve"> Certificates.</w:t>
      </w:r>
    </w:p>
    <w:p w:rsidR="006123A1" w:rsidRPr="00F14BD9" w:rsidRDefault="00F27774" w:rsidP="004F70E5">
      <w:pPr>
        <w:keepNext/>
        <w:jc w:val="center"/>
        <w:rPr>
          <w:b/>
        </w:rPr>
      </w:pPr>
      <w:r>
        <w:rPr>
          <w:b/>
        </w:rPr>
        <w:t>Certificates to be Outstanding u</w:t>
      </w:r>
      <w:r w:rsidR="006123A1" w:rsidRPr="00F14BD9">
        <w:rPr>
          <w:b/>
        </w:rPr>
        <w:t>pon the</w:t>
      </w:r>
      <w:r w:rsidR="00F14BD9" w:rsidRPr="00F14BD9">
        <w:rPr>
          <w:b/>
        </w:rPr>
        <w:br/>
      </w:r>
      <w:r w:rsidR="006123A1" w:rsidRPr="00F14BD9">
        <w:rPr>
          <w:b/>
        </w:rPr>
        <w:t xml:space="preserve">Execution and Delivery of the Series </w:t>
      </w:r>
      <w:r w:rsidR="00480C95">
        <w:rPr>
          <w:b/>
        </w:rPr>
        <w:t>2020R</w:t>
      </w:r>
      <w:r w:rsidR="006123A1" w:rsidRPr="00F14BD9">
        <w:rPr>
          <w:b/>
        </w:rPr>
        <w:t xml:space="preserve"> Certificates</w:t>
      </w:r>
    </w:p>
    <w:p w:rsidR="00F14BD9" w:rsidRDefault="00F14BD9" w:rsidP="004F70E5">
      <w:pPr>
        <w:keepNext/>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752"/>
        <w:gridCol w:w="2016"/>
      </w:tblGrid>
      <w:tr w:rsidR="00935E4E" w:rsidRPr="004D72DD" w:rsidTr="00107A5A">
        <w:trPr>
          <w:jc w:val="center"/>
        </w:trPr>
        <w:tc>
          <w:tcPr>
            <w:tcW w:w="4752" w:type="dxa"/>
            <w:vAlign w:val="bottom"/>
          </w:tcPr>
          <w:p w:rsidR="00935E4E" w:rsidRPr="004D72DD" w:rsidRDefault="00935E4E" w:rsidP="004F70E5">
            <w:pPr>
              <w:pStyle w:val="BodyText1"/>
              <w:keepNext/>
              <w:spacing w:after="80"/>
              <w:ind w:firstLine="0"/>
              <w:jc w:val="center"/>
              <w:rPr>
                <w:b/>
                <w:sz w:val="20"/>
                <w:szCs w:val="20"/>
                <w:u w:val="single"/>
              </w:rPr>
            </w:pPr>
            <w:r w:rsidRPr="004D72DD">
              <w:rPr>
                <w:b/>
                <w:sz w:val="20"/>
                <w:szCs w:val="20"/>
                <w:u w:val="single"/>
              </w:rPr>
              <w:t>Series</w:t>
            </w:r>
          </w:p>
        </w:tc>
        <w:tc>
          <w:tcPr>
            <w:tcW w:w="2016" w:type="dxa"/>
          </w:tcPr>
          <w:p w:rsidR="00935E4E" w:rsidRPr="004D72DD" w:rsidRDefault="00935E4E" w:rsidP="004F70E5">
            <w:pPr>
              <w:pStyle w:val="BodyText1"/>
              <w:keepNext/>
              <w:spacing w:after="80"/>
              <w:ind w:firstLine="0"/>
              <w:jc w:val="center"/>
              <w:rPr>
                <w:b/>
                <w:sz w:val="20"/>
                <w:szCs w:val="20"/>
              </w:rPr>
            </w:pPr>
            <w:r w:rsidRPr="004D72DD">
              <w:rPr>
                <w:b/>
                <w:sz w:val="20"/>
                <w:szCs w:val="20"/>
              </w:rPr>
              <w:t xml:space="preserve">Principal </w:t>
            </w:r>
            <w:r w:rsidRPr="004D72DD">
              <w:rPr>
                <w:b/>
                <w:sz w:val="20"/>
                <w:szCs w:val="20"/>
              </w:rPr>
              <w:br/>
            </w:r>
            <w:r w:rsidRPr="004D72DD">
              <w:rPr>
                <w:b/>
                <w:sz w:val="20"/>
                <w:szCs w:val="20"/>
                <w:u w:val="single"/>
              </w:rPr>
              <w:t>Amount Outstanding</w:t>
            </w:r>
          </w:p>
        </w:tc>
      </w:tr>
      <w:tr w:rsidR="00935E4E" w:rsidRPr="004D72DD" w:rsidTr="00107A5A">
        <w:trPr>
          <w:jc w:val="center"/>
        </w:trPr>
        <w:tc>
          <w:tcPr>
            <w:tcW w:w="4752" w:type="dxa"/>
          </w:tcPr>
          <w:p w:rsidR="00935E4E" w:rsidRPr="004D72DD" w:rsidRDefault="00935E4E" w:rsidP="00107A5A">
            <w:pPr>
              <w:pStyle w:val="BodyText1"/>
              <w:keepNext/>
              <w:spacing w:after="0"/>
              <w:ind w:firstLine="0"/>
              <w:jc w:val="left"/>
              <w:rPr>
                <w:b/>
                <w:sz w:val="20"/>
                <w:szCs w:val="20"/>
              </w:rPr>
            </w:pPr>
            <w:r w:rsidRPr="004D72DD">
              <w:rPr>
                <w:b/>
                <w:sz w:val="20"/>
                <w:szCs w:val="20"/>
              </w:rPr>
              <w:t>Prior Certificates</w:t>
            </w:r>
          </w:p>
        </w:tc>
        <w:tc>
          <w:tcPr>
            <w:tcW w:w="2016" w:type="dxa"/>
          </w:tcPr>
          <w:p w:rsidR="00935E4E" w:rsidRPr="004D72DD" w:rsidRDefault="00935E4E" w:rsidP="00107A5A">
            <w:pPr>
              <w:pStyle w:val="BodyText1"/>
              <w:keepNext/>
              <w:tabs>
                <w:tab w:val="decimal" w:pos="1584"/>
              </w:tabs>
              <w:spacing w:after="0"/>
              <w:ind w:firstLine="0"/>
              <w:rPr>
                <w:sz w:val="20"/>
                <w:szCs w:val="20"/>
              </w:rPr>
            </w:pPr>
          </w:p>
        </w:tc>
      </w:tr>
      <w:tr w:rsidR="00935E4E" w:rsidRPr="004D72DD" w:rsidTr="00107A5A">
        <w:trPr>
          <w:jc w:val="center"/>
        </w:trPr>
        <w:tc>
          <w:tcPr>
            <w:tcW w:w="4752" w:type="dxa"/>
          </w:tcPr>
          <w:p w:rsidR="00935E4E" w:rsidRPr="004D72DD" w:rsidRDefault="00935E4E" w:rsidP="0048305E">
            <w:pPr>
              <w:keepNext/>
              <w:tabs>
                <w:tab w:val="left" w:pos="216"/>
              </w:tabs>
              <w:rPr>
                <w:sz w:val="20"/>
                <w:szCs w:val="20"/>
              </w:rPr>
            </w:pPr>
            <w:r w:rsidRPr="004D72DD">
              <w:tab/>
            </w:r>
            <w:r w:rsidRPr="004D72DD">
              <w:rPr>
                <w:sz w:val="20"/>
                <w:szCs w:val="20"/>
              </w:rPr>
              <w:t>Series 2009A Certificates</w:t>
            </w:r>
            <w:r w:rsidR="00DD5A0B">
              <w:rPr>
                <w:rStyle w:val="FootnoteReference"/>
                <w:sz w:val="20"/>
                <w:szCs w:val="20"/>
              </w:rPr>
              <w:footnoteReference w:customMarkFollows="1" w:id="3"/>
              <w:t>1</w:t>
            </w:r>
          </w:p>
        </w:tc>
        <w:tc>
          <w:tcPr>
            <w:tcW w:w="2016" w:type="dxa"/>
          </w:tcPr>
          <w:p w:rsidR="00935E4E" w:rsidRPr="004D72DD" w:rsidRDefault="00C71AC6" w:rsidP="00C71AC6">
            <w:pPr>
              <w:pStyle w:val="BodyText1"/>
              <w:keepNext/>
              <w:tabs>
                <w:tab w:val="decimal" w:pos="1557"/>
              </w:tabs>
              <w:spacing w:after="0"/>
              <w:ind w:firstLine="0"/>
              <w:rPr>
                <w:sz w:val="20"/>
                <w:szCs w:val="20"/>
                <w:highlight w:val="yellow"/>
              </w:rPr>
            </w:pPr>
            <w:r>
              <w:rPr>
                <w:sz w:val="20"/>
                <w:szCs w:val="20"/>
              </w:rPr>
              <w:t>$  87</w:t>
            </w:r>
            <w:r w:rsidR="00935E4E" w:rsidRPr="004D72DD">
              <w:rPr>
                <w:sz w:val="20"/>
                <w:szCs w:val="20"/>
              </w:rPr>
              <w:t>,</w:t>
            </w:r>
            <w:r>
              <w:rPr>
                <w:sz w:val="20"/>
                <w:szCs w:val="20"/>
              </w:rPr>
              <w:t>145</w:t>
            </w:r>
            <w:r w:rsidR="00935E4E" w:rsidRPr="004D72DD">
              <w:rPr>
                <w:sz w:val="20"/>
                <w:szCs w:val="20"/>
              </w:rPr>
              <w:t>,000</w:t>
            </w:r>
          </w:p>
        </w:tc>
      </w:tr>
      <w:tr w:rsidR="00935E4E" w:rsidRPr="004D72DD" w:rsidTr="00107A5A">
        <w:trPr>
          <w:jc w:val="center"/>
        </w:trPr>
        <w:tc>
          <w:tcPr>
            <w:tcW w:w="4752" w:type="dxa"/>
          </w:tcPr>
          <w:p w:rsidR="00935E4E" w:rsidRPr="004D72DD" w:rsidRDefault="00935E4E" w:rsidP="00107A5A">
            <w:pPr>
              <w:keepNext/>
              <w:tabs>
                <w:tab w:val="left" w:pos="216"/>
              </w:tabs>
              <w:rPr>
                <w:sz w:val="20"/>
                <w:szCs w:val="20"/>
              </w:rPr>
            </w:pPr>
            <w:r w:rsidRPr="004D72DD">
              <w:rPr>
                <w:sz w:val="20"/>
                <w:szCs w:val="20"/>
              </w:rPr>
              <w:tab/>
              <w:t>Series 2010D Certificates</w:t>
            </w:r>
            <w:r w:rsidR="00FE757B">
              <w:rPr>
                <w:sz w:val="20"/>
                <w:szCs w:val="20"/>
                <w:vertAlign w:val="superscript"/>
              </w:rPr>
              <w:t>1</w:t>
            </w:r>
          </w:p>
        </w:tc>
        <w:tc>
          <w:tcPr>
            <w:tcW w:w="2016" w:type="dxa"/>
          </w:tcPr>
          <w:p w:rsidR="00935E4E" w:rsidRPr="004D72DD" w:rsidRDefault="00935E4E" w:rsidP="00107A5A">
            <w:pPr>
              <w:pStyle w:val="BodyText1"/>
              <w:keepNext/>
              <w:tabs>
                <w:tab w:val="decimal" w:pos="1557"/>
              </w:tabs>
              <w:spacing w:after="0"/>
              <w:ind w:firstLine="0"/>
              <w:rPr>
                <w:sz w:val="20"/>
                <w:szCs w:val="20"/>
              </w:rPr>
            </w:pPr>
            <w:r w:rsidRPr="004D72DD">
              <w:rPr>
                <w:sz w:val="20"/>
                <w:szCs w:val="20"/>
              </w:rPr>
              <w:t>95,690,000</w:t>
            </w:r>
          </w:p>
        </w:tc>
      </w:tr>
      <w:tr w:rsidR="00935E4E" w:rsidRPr="004D72DD" w:rsidTr="00107A5A">
        <w:trPr>
          <w:jc w:val="center"/>
        </w:trPr>
        <w:tc>
          <w:tcPr>
            <w:tcW w:w="4752" w:type="dxa"/>
          </w:tcPr>
          <w:p w:rsidR="00935E4E" w:rsidRPr="004D72DD" w:rsidRDefault="00935E4E" w:rsidP="00107A5A">
            <w:pPr>
              <w:keepNext/>
              <w:tabs>
                <w:tab w:val="left" w:pos="216"/>
              </w:tabs>
              <w:rPr>
                <w:sz w:val="20"/>
                <w:szCs w:val="20"/>
              </w:rPr>
            </w:pPr>
            <w:r w:rsidRPr="004D72DD">
              <w:rPr>
                <w:sz w:val="20"/>
                <w:szCs w:val="20"/>
              </w:rPr>
              <w:tab/>
              <w:t>Series 2012H Certificates</w:t>
            </w:r>
          </w:p>
        </w:tc>
        <w:tc>
          <w:tcPr>
            <w:tcW w:w="2016" w:type="dxa"/>
          </w:tcPr>
          <w:p w:rsidR="00935E4E" w:rsidRPr="004D72DD" w:rsidRDefault="00E31651" w:rsidP="00107A5A">
            <w:pPr>
              <w:pStyle w:val="BodyText1"/>
              <w:keepNext/>
              <w:tabs>
                <w:tab w:val="decimal" w:pos="1557"/>
              </w:tabs>
              <w:spacing w:after="0"/>
              <w:ind w:firstLine="0"/>
              <w:rPr>
                <w:sz w:val="20"/>
                <w:szCs w:val="20"/>
              </w:rPr>
            </w:pPr>
            <w:r>
              <w:rPr>
                <w:sz w:val="20"/>
                <w:szCs w:val="20"/>
              </w:rPr>
              <w:t>21,680,000</w:t>
            </w:r>
          </w:p>
        </w:tc>
      </w:tr>
      <w:tr w:rsidR="00935E4E" w:rsidRPr="004D72DD" w:rsidTr="00107A5A">
        <w:trPr>
          <w:jc w:val="center"/>
        </w:trPr>
        <w:tc>
          <w:tcPr>
            <w:tcW w:w="4752" w:type="dxa"/>
          </w:tcPr>
          <w:p w:rsidR="00935E4E" w:rsidRPr="004D72DD" w:rsidRDefault="00935E4E" w:rsidP="00107A5A">
            <w:pPr>
              <w:keepNext/>
              <w:tabs>
                <w:tab w:val="left" w:pos="216"/>
              </w:tabs>
              <w:rPr>
                <w:sz w:val="20"/>
                <w:szCs w:val="20"/>
              </w:rPr>
            </w:pPr>
            <w:r w:rsidRPr="004D72DD">
              <w:rPr>
                <w:sz w:val="20"/>
                <w:szCs w:val="20"/>
              </w:rPr>
              <w:tab/>
              <w:t>Series 2013I Certificates</w:t>
            </w:r>
          </w:p>
        </w:tc>
        <w:tc>
          <w:tcPr>
            <w:tcW w:w="2016" w:type="dxa"/>
          </w:tcPr>
          <w:p w:rsidR="00935E4E" w:rsidRPr="004D72DD" w:rsidRDefault="00E31651" w:rsidP="00107A5A">
            <w:pPr>
              <w:pStyle w:val="BodyText1"/>
              <w:keepNext/>
              <w:tabs>
                <w:tab w:val="decimal" w:pos="1557"/>
              </w:tabs>
              <w:spacing w:after="0"/>
              <w:ind w:firstLine="0"/>
              <w:rPr>
                <w:sz w:val="20"/>
                <w:szCs w:val="20"/>
              </w:rPr>
            </w:pPr>
            <w:r>
              <w:rPr>
                <w:sz w:val="20"/>
                <w:szCs w:val="20"/>
              </w:rPr>
              <w:t>15,810,000</w:t>
            </w:r>
          </w:p>
        </w:tc>
      </w:tr>
      <w:tr w:rsidR="00935E4E" w:rsidRPr="004D72DD" w:rsidTr="00107A5A">
        <w:trPr>
          <w:jc w:val="center"/>
        </w:trPr>
        <w:tc>
          <w:tcPr>
            <w:tcW w:w="4752" w:type="dxa"/>
          </w:tcPr>
          <w:p w:rsidR="00935E4E" w:rsidRPr="004D72DD" w:rsidRDefault="00935E4E" w:rsidP="00107A5A">
            <w:pPr>
              <w:keepNext/>
              <w:tabs>
                <w:tab w:val="left" w:pos="216"/>
              </w:tabs>
              <w:rPr>
                <w:sz w:val="20"/>
                <w:szCs w:val="20"/>
              </w:rPr>
            </w:pPr>
            <w:r w:rsidRPr="004D72DD">
              <w:rPr>
                <w:sz w:val="20"/>
                <w:szCs w:val="20"/>
              </w:rPr>
              <w:tab/>
              <w:t>Series 2017J Certificates</w:t>
            </w:r>
          </w:p>
        </w:tc>
        <w:tc>
          <w:tcPr>
            <w:tcW w:w="2016" w:type="dxa"/>
          </w:tcPr>
          <w:p w:rsidR="00935E4E" w:rsidRPr="004D72DD" w:rsidRDefault="00E31651" w:rsidP="00107A5A">
            <w:pPr>
              <w:pStyle w:val="BodyText1"/>
              <w:keepNext/>
              <w:tabs>
                <w:tab w:val="decimal" w:pos="1557"/>
              </w:tabs>
              <w:spacing w:after="0"/>
              <w:ind w:firstLine="0"/>
              <w:rPr>
                <w:sz w:val="20"/>
                <w:szCs w:val="20"/>
              </w:rPr>
            </w:pPr>
            <w:r>
              <w:rPr>
                <w:sz w:val="20"/>
                <w:szCs w:val="20"/>
              </w:rPr>
              <w:t>156,305,000</w:t>
            </w:r>
          </w:p>
        </w:tc>
      </w:tr>
      <w:tr w:rsidR="00935E4E" w:rsidRPr="004D72DD" w:rsidTr="00107A5A">
        <w:trPr>
          <w:jc w:val="center"/>
        </w:trPr>
        <w:tc>
          <w:tcPr>
            <w:tcW w:w="4752" w:type="dxa"/>
          </w:tcPr>
          <w:p w:rsidR="00935E4E" w:rsidRPr="004D72DD" w:rsidRDefault="00935E4E" w:rsidP="00107A5A">
            <w:pPr>
              <w:keepNext/>
              <w:tabs>
                <w:tab w:val="left" w:pos="216"/>
              </w:tabs>
              <w:rPr>
                <w:sz w:val="20"/>
                <w:szCs w:val="20"/>
              </w:rPr>
            </w:pPr>
            <w:r w:rsidRPr="004D72DD">
              <w:rPr>
                <w:sz w:val="20"/>
                <w:szCs w:val="20"/>
              </w:rPr>
              <w:tab/>
              <w:t>Series 2017K Certificates</w:t>
            </w:r>
          </w:p>
        </w:tc>
        <w:tc>
          <w:tcPr>
            <w:tcW w:w="2016" w:type="dxa"/>
          </w:tcPr>
          <w:p w:rsidR="00935E4E" w:rsidRPr="00854A67" w:rsidRDefault="00E31651" w:rsidP="00107A5A">
            <w:pPr>
              <w:pStyle w:val="BodyText1"/>
              <w:keepNext/>
              <w:tabs>
                <w:tab w:val="decimal" w:pos="1557"/>
              </w:tabs>
              <w:spacing w:after="0"/>
              <w:ind w:firstLine="0"/>
              <w:rPr>
                <w:sz w:val="20"/>
                <w:szCs w:val="20"/>
              </w:rPr>
            </w:pPr>
            <w:r>
              <w:rPr>
                <w:sz w:val="20"/>
                <w:szCs w:val="20"/>
              </w:rPr>
              <w:t>85,105,000</w:t>
            </w:r>
          </w:p>
        </w:tc>
      </w:tr>
      <w:tr w:rsidR="00854A67" w:rsidRPr="004D72DD" w:rsidTr="00107A5A">
        <w:trPr>
          <w:jc w:val="center"/>
        </w:trPr>
        <w:tc>
          <w:tcPr>
            <w:tcW w:w="4752" w:type="dxa"/>
          </w:tcPr>
          <w:p w:rsidR="00854A67" w:rsidRPr="004D72DD" w:rsidRDefault="00854A67" w:rsidP="00107A5A">
            <w:pPr>
              <w:keepNext/>
              <w:tabs>
                <w:tab w:val="left" w:pos="216"/>
              </w:tabs>
              <w:rPr>
                <w:sz w:val="20"/>
                <w:szCs w:val="20"/>
              </w:rPr>
            </w:pPr>
            <w:r>
              <w:rPr>
                <w:sz w:val="20"/>
                <w:szCs w:val="20"/>
              </w:rPr>
              <w:tab/>
            </w:r>
            <w:r w:rsidRPr="004D72DD">
              <w:rPr>
                <w:sz w:val="20"/>
                <w:szCs w:val="20"/>
              </w:rPr>
              <w:t>Series 2018L Certificates</w:t>
            </w:r>
          </w:p>
        </w:tc>
        <w:tc>
          <w:tcPr>
            <w:tcW w:w="2016" w:type="dxa"/>
          </w:tcPr>
          <w:p w:rsidR="00854A67" w:rsidRPr="00E31651" w:rsidRDefault="00E31651" w:rsidP="00107A5A">
            <w:pPr>
              <w:pStyle w:val="BodyText1"/>
              <w:keepNext/>
              <w:tabs>
                <w:tab w:val="decimal" w:pos="1557"/>
              </w:tabs>
              <w:spacing w:after="0"/>
              <w:ind w:firstLine="0"/>
              <w:rPr>
                <w:sz w:val="20"/>
                <w:szCs w:val="20"/>
              </w:rPr>
            </w:pPr>
            <w:r w:rsidRPr="00E31651">
              <w:rPr>
                <w:sz w:val="20"/>
                <w:szCs w:val="20"/>
              </w:rPr>
              <w:t>70,405,000</w:t>
            </w:r>
          </w:p>
        </w:tc>
      </w:tr>
      <w:tr w:rsidR="00854A67" w:rsidRPr="004D72DD" w:rsidTr="00107A5A">
        <w:trPr>
          <w:jc w:val="center"/>
        </w:trPr>
        <w:tc>
          <w:tcPr>
            <w:tcW w:w="4752" w:type="dxa"/>
          </w:tcPr>
          <w:p w:rsidR="00854A67" w:rsidRPr="004D72DD" w:rsidRDefault="00854A67" w:rsidP="00107A5A">
            <w:pPr>
              <w:keepNext/>
              <w:tabs>
                <w:tab w:val="left" w:pos="216"/>
              </w:tabs>
              <w:rPr>
                <w:sz w:val="20"/>
                <w:szCs w:val="20"/>
              </w:rPr>
            </w:pPr>
            <w:r>
              <w:rPr>
                <w:sz w:val="20"/>
                <w:szCs w:val="20"/>
              </w:rPr>
              <w:tab/>
            </w:r>
            <w:r w:rsidRPr="004D72DD">
              <w:rPr>
                <w:sz w:val="20"/>
                <w:szCs w:val="20"/>
              </w:rPr>
              <w:t>Series 2018M Certificates</w:t>
            </w:r>
          </w:p>
        </w:tc>
        <w:tc>
          <w:tcPr>
            <w:tcW w:w="2016" w:type="dxa"/>
          </w:tcPr>
          <w:p w:rsidR="00854A67" w:rsidRPr="00E31651" w:rsidRDefault="00E31651" w:rsidP="00107A5A">
            <w:pPr>
              <w:pStyle w:val="BodyText1"/>
              <w:keepNext/>
              <w:tabs>
                <w:tab w:val="decimal" w:pos="1557"/>
              </w:tabs>
              <w:spacing w:after="0"/>
              <w:ind w:firstLine="0"/>
              <w:rPr>
                <w:sz w:val="20"/>
                <w:szCs w:val="20"/>
              </w:rPr>
            </w:pPr>
            <w:r w:rsidRPr="00E31651">
              <w:rPr>
                <w:sz w:val="20"/>
                <w:szCs w:val="20"/>
              </w:rPr>
              <w:t>86,385,000</w:t>
            </w:r>
          </w:p>
        </w:tc>
      </w:tr>
      <w:tr w:rsidR="00E31651" w:rsidRPr="004D72DD" w:rsidTr="00107A5A">
        <w:trPr>
          <w:jc w:val="center"/>
        </w:trPr>
        <w:tc>
          <w:tcPr>
            <w:tcW w:w="4752" w:type="dxa"/>
          </w:tcPr>
          <w:p w:rsidR="00E31651" w:rsidRPr="004D72DD" w:rsidRDefault="00E31651" w:rsidP="00E31651">
            <w:pPr>
              <w:keepNext/>
              <w:tabs>
                <w:tab w:val="left" w:pos="216"/>
              </w:tabs>
              <w:rPr>
                <w:sz w:val="20"/>
                <w:szCs w:val="20"/>
              </w:rPr>
            </w:pPr>
            <w:r>
              <w:rPr>
                <w:sz w:val="20"/>
                <w:szCs w:val="20"/>
              </w:rPr>
              <w:tab/>
              <w:t>Series 2018N Certificates</w:t>
            </w:r>
          </w:p>
        </w:tc>
        <w:tc>
          <w:tcPr>
            <w:tcW w:w="2016" w:type="dxa"/>
          </w:tcPr>
          <w:p w:rsidR="00E31651" w:rsidRPr="00E31651" w:rsidRDefault="00E31651" w:rsidP="00107A5A">
            <w:pPr>
              <w:pStyle w:val="BodyText1"/>
              <w:keepNext/>
              <w:tabs>
                <w:tab w:val="decimal" w:pos="1557"/>
              </w:tabs>
              <w:spacing w:after="0"/>
              <w:ind w:firstLine="0"/>
              <w:rPr>
                <w:sz w:val="20"/>
                <w:szCs w:val="20"/>
              </w:rPr>
            </w:pPr>
            <w:r w:rsidRPr="00E31651">
              <w:rPr>
                <w:sz w:val="20"/>
                <w:szCs w:val="20"/>
              </w:rPr>
              <w:t>233,755,000</w:t>
            </w:r>
          </w:p>
        </w:tc>
      </w:tr>
      <w:tr w:rsidR="00E31651" w:rsidRPr="004D72DD" w:rsidTr="00107A5A">
        <w:trPr>
          <w:jc w:val="center"/>
        </w:trPr>
        <w:tc>
          <w:tcPr>
            <w:tcW w:w="4752" w:type="dxa"/>
          </w:tcPr>
          <w:p w:rsidR="00E31651" w:rsidRPr="004D72DD" w:rsidRDefault="004830B4" w:rsidP="00E31651">
            <w:pPr>
              <w:keepNext/>
              <w:tabs>
                <w:tab w:val="left" w:pos="216"/>
              </w:tabs>
              <w:rPr>
                <w:sz w:val="20"/>
                <w:szCs w:val="20"/>
              </w:rPr>
            </w:pPr>
            <w:r>
              <w:rPr>
                <w:sz w:val="20"/>
                <w:szCs w:val="20"/>
              </w:rPr>
              <w:tab/>
              <w:t>Series 2019O</w:t>
            </w:r>
            <w:r w:rsidR="00E31651">
              <w:rPr>
                <w:sz w:val="20"/>
                <w:szCs w:val="20"/>
              </w:rPr>
              <w:t xml:space="preserve"> Certificates</w:t>
            </w:r>
          </w:p>
        </w:tc>
        <w:tc>
          <w:tcPr>
            <w:tcW w:w="2016" w:type="dxa"/>
          </w:tcPr>
          <w:p w:rsidR="00E31651" w:rsidRPr="00E31651" w:rsidRDefault="00E31651" w:rsidP="00107A5A">
            <w:pPr>
              <w:pStyle w:val="BodyText1"/>
              <w:keepNext/>
              <w:tabs>
                <w:tab w:val="decimal" w:pos="1557"/>
              </w:tabs>
              <w:spacing w:after="0"/>
              <w:ind w:firstLine="0"/>
              <w:rPr>
                <w:sz w:val="20"/>
                <w:szCs w:val="20"/>
              </w:rPr>
            </w:pPr>
            <w:r w:rsidRPr="00E31651">
              <w:rPr>
                <w:sz w:val="20"/>
                <w:szCs w:val="20"/>
              </w:rPr>
              <w:t>161,170,000</w:t>
            </w:r>
          </w:p>
        </w:tc>
      </w:tr>
      <w:tr w:rsidR="00E31651" w:rsidRPr="004D72DD" w:rsidTr="00107A5A">
        <w:trPr>
          <w:jc w:val="center"/>
        </w:trPr>
        <w:tc>
          <w:tcPr>
            <w:tcW w:w="4752" w:type="dxa"/>
          </w:tcPr>
          <w:p w:rsidR="00E31651" w:rsidRPr="004D72DD" w:rsidRDefault="00E31651" w:rsidP="00E31651">
            <w:pPr>
              <w:keepNext/>
              <w:tabs>
                <w:tab w:val="left" w:pos="216"/>
              </w:tabs>
              <w:rPr>
                <w:sz w:val="20"/>
                <w:szCs w:val="20"/>
              </w:rPr>
            </w:pPr>
            <w:r>
              <w:rPr>
                <w:sz w:val="20"/>
                <w:szCs w:val="20"/>
              </w:rPr>
              <w:tab/>
              <w:t>Series 2019P Certificates</w:t>
            </w:r>
          </w:p>
        </w:tc>
        <w:tc>
          <w:tcPr>
            <w:tcW w:w="2016" w:type="dxa"/>
          </w:tcPr>
          <w:p w:rsidR="00E31651" w:rsidRPr="00E31651" w:rsidRDefault="00E31651" w:rsidP="00107A5A">
            <w:pPr>
              <w:pStyle w:val="BodyText1"/>
              <w:keepNext/>
              <w:tabs>
                <w:tab w:val="decimal" w:pos="1557"/>
              </w:tabs>
              <w:spacing w:after="0"/>
              <w:ind w:firstLine="0"/>
              <w:rPr>
                <w:sz w:val="20"/>
                <w:szCs w:val="20"/>
              </w:rPr>
            </w:pPr>
            <w:r w:rsidRPr="00E31651">
              <w:rPr>
                <w:sz w:val="20"/>
                <w:szCs w:val="20"/>
              </w:rPr>
              <w:t>154,835,000</w:t>
            </w:r>
          </w:p>
        </w:tc>
      </w:tr>
      <w:tr w:rsidR="00E31651" w:rsidRPr="004D72DD" w:rsidTr="00107A5A">
        <w:trPr>
          <w:jc w:val="center"/>
        </w:trPr>
        <w:tc>
          <w:tcPr>
            <w:tcW w:w="4752" w:type="dxa"/>
          </w:tcPr>
          <w:p w:rsidR="00E31651" w:rsidRPr="004D72DD" w:rsidRDefault="00E31651" w:rsidP="00E31651">
            <w:pPr>
              <w:keepNext/>
              <w:tabs>
                <w:tab w:val="left" w:pos="216"/>
              </w:tabs>
              <w:rPr>
                <w:sz w:val="20"/>
                <w:szCs w:val="20"/>
              </w:rPr>
            </w:pPr>
            <w:r>
              <w:rPr>
                <w:sz w:val="20"/>
                <w:szCs w:val="20"/>
              </w:rPr>
              <w:tab/>
              <w:t>Series 2019Q Certificates</w:t>
            </w:r>
          </w:p>
        </w:tc>
        <w:tc>
          <w:tcPr>
            <w:tcW w:w="2016" w:type="dxa"/>
          </w:tcPr>
          <w:p w:rsidR="00E31651" w:rsidRPr="00D2047F" w:rsidRDefault="00E31651" w:rsidP="00107A5A">
            <w:pPr>
              <w:pStyle w:val="BodyText1"/>
              <w:keepNext/>
              <w:tabs>
                <w:tab w:val="decimal" w:pos="1557"/>
              </w:tabs>
              <w:spacing w:after="0"/>
              <w:ind w:firstLine="0"/>
              <w:rPr>
                <w:sz w:val="20"/>
                <w:szCs w:val="20"/>
              </w:rPr>
            </w:pPr>
            <w:r w:rsidRPr="00D2047F">
              <w:rPr>
                <w:sz w:val="20"/>
                <w:szCs w:val="20"/>
              </w:rPr>
              <w:t>74,525,000</w:t>
            </w:r>
          </w:p>
        </w:tc>
      </w:tr>
      <w:tr w:rsidR="00935E4E" w:rsidRPr="004D72DD" w:rsidTr="00D2047F">
        <w:trPr>
          <w:trHeight w:val="171"/>
          <w:jc w:val="center"/>
        </w:trPr>
        <w:tc>
          <w:tcPr>
            <w:tcW w:w="4752" w:type="dxa"/>
          </w:tcPr>
          <w:p w:rsidR="00935E4E" w:rsidRPr="00D2047F" w:rsidRDefault="00D2047F" w:rsidP="00D2047F">
            <w:pPr>
              <w:keepNext/>
              <w:tabs>
                <w:tab w:val="left" w:pos="216"/>
              </w:tabs>
              <w:rPr>
                <w:sz w:val="20"/>
                <w:szCs w:val="20"/>
              </w:rPr>
            </w:pPr>
            <w:r>
              <w:rPr>
                <w:sz w:val="20"/>
                <w:szCs w:val="20"/>
              </w:rPr>
              <w:tab/>
            </w:r>
            <w:r w:rsidR="00935E4E" w:rsidRPr="00D2047F">
              <w:rPr>
                <w:sz w:val="20"/>
                <w:szCs w:val="20"/>
              </w:rPr>
              <w:t xml:space="preserve">Series </w:t>
            </w:r>
            <w:r w:rsidR="00480C95" w:rsidRPr="00D2047F">
              <w:rPr>
                <w:sz w:val="20"/>
                <w:szCs w:val="20"/>
              </w:rPr>
              <w:t>2020R</w:t>
            </w:r>
            <w:r w:rsidR="00935E4E" w:rsidRPr="00D2047F">
              <w:rPr>
                <w:sz w:val="20"/>
                <w:szCs w:val="20"/>
              </w:rPr>
              <w:t xml:space="preserve"> Certificates</w:t>
            </w:r>
          </w:p>
        </w:tc>
        <w:tc>
          <w:tcPr>
            <w:tcW w:w="2016" w:type="dxa"/>
            <w:vAlign w:val="bottom"/>
          </w:tcPr>
          <w:p w:rsidR="00935E4E" w:rsidRPr="000C6843" w:rsidRDefault="00D2047F" w:rsidP="000A6530">
            <w:pPr>
              <w:pStyle w:val="BodyText1"/>
              <w:keepNext/>
              <w:tabs>
                <w:tab w:val="decimal" w:pos="1557"/>
              </w:tabs>
              <w:spacing w:after="0"/>
              <w:ind w:firstLine="0"/>
              <w:jc w:val="left"/>
              <w:rPr>
                <w:sz w:val="20"/>
                <w:szCs w:val="20"/>
              </w:rPr>
            </w:pPr>
            <w:r>
              <w:rPr>
                <w:sz w:val="20"/>
                <w:szCs w:val="20"/>
              </w:rPr>
              <w:t>98,030,000</w:t>
            </w:r>
          </w:p>
        </w:tc>
      </w:tr>
      <w:tr w:rsidR="00935E4E" w:rsidRPr="004D72DD" w:rsidTr="00107A5A">
        <w:trPr>
          <w:jc w:val="center"/>
        </w:trPr>
        <w:tc>
          <w:tcPr>
            <w:tcW w:w="4752" w:type="dxa"/>
          </w:tcPr>
          <w:p w:rsidR="00935E4E" w:rsidRPr="004D72DD" w:rsidRDefault="00935E4E" w:rsidP="00107A5A">
            <w:pPr>
              <w:pStyle w:val="BodyText1"/>
              <w:keepNext/>
              <w:tabs>
                <w:tab w:val="left" w:pos="216"/>
              </w:tabs>
              <w:spacing w:after="0"/>
              <w:ind w:firstLine="0"/>
              <w:jc w:val="left"/>
              <w:rPr>
                <w:sz w:val="20"/>
                <w:szCs w:val="20"/>
              </w:rPr>
            </w:pPr>
          </w:p>
        </w:tc>
        <w:tc>
          <w:tcPr>
            <w:tcW w:w="2016" w:type="dxa"/>
          </w:tcPr>
          <w:p w:rsidR="00935E4E" w:rsidRPr="000C6843" w:rsidRDefault="00935E4E" w:rsidP="00107A5A">
            <w:pPr>
              <w:pStyle w:val="BodyText1"/>
              <w:keepNext/>
              <w:tabs>
                <w:tab w:val="decimal" w:pos="1557"/>
              </w:tabs>
              <w:spacing w:after="0"/>
              <w:ind w:firstLine="0"/>
              <w:rPr>
                <w:sz w:val="20"/>
                <w:szCs w:val="20"/>
                <w:u w:val="single"/>
              </w:rPr>
            </w:pPr>
          </w:p>
        </w:tc>
      </w:tr>
      <w:tr w:rsidR="00935E4E" w:rsidRPr="004D72DD" w:rsidTr="00107A5A">
        <w:trPr>
          <w:jc w:val="center"/>
        </w:trPr>
        <w:tc>
          <w:tcPr>
            <w:tcW w:w="4752" w:type="dxa"/>
          </w:tcPr>
          <w:p w:rsidR="00935E4E" w:rsidRPr="004D72DD" w:rsidRDefault="00935E4E" w:rsidP="00107A5A">
            <w:pPr>
              <w:pStyle w:val="BodyText1"/>
              <w:keepNext/>
              <w:tabs>
                <w:tab w:val="left" w:pos="216"/>
              </w:tabs>
              <w:spacing w:after="0"/>
              <w:ind w:firstLine="0"/>
              <w:jc w:val="left"/>
              <w:rPr>
                <w:b/>
                <w:sz w:val="20"/>
                <w:szCs w:val="20"/>
              </w:rPr>
            </w:pPr>
            <w:r w:rsidRPr="004D72DD">
              <w:rPr>
                <w:b/>
                <w:sz w:val="20"/>
                <w:szCs w:val="20"/>
              </w:rPr>
              <w:t>Total Certificates</w:t>
            </w:r>
          </w:p>
        </w:tc>
        <w:tc>
          <w:tcPr>
            <w:tcW w:w="2016" w:type="dxa"/>
          </w:tcPr>
          <w:p w:rsidR="007A5DD4" w:rsidRPr="007A5DD4" w:rsidRDefault="00D2047F" w:rsidP="007A5DD4">
            <w:pPr>
              <w:pStyle w:val="BodyText1"/>
              <w:keepNext/>
              <w:tabs>
                <w:tab w:val="decimal" w:pos="1557"/>
              </w:tabs>
              <w:spacing w:after="0"/>
              <w:ind w:firstLine="0"/>
              <w:rPr>
                <w:sz w:val="20"/>
                <w:szCs w:val="20"/>
                <w:u w:val="double"/>
              </w:rPr>
            </w:pPr>
            <w:r>
              <w:rPr>
                <w:sz w:val="20"/>
                <w:szCs w:val="20"/>
                <w:u w:val="double"/>
              </w:rPr>
              <w:t>$1,340,84</w:t>
            </w:r>
            <w:r w:rsidR="00E31651">
              <w:rPr>
                <w:sz w:val="20"/>
                <w:szCs w:val="20"/>
                <w:u w:val="double"/>
              </w:rPr>
              <w:t>0,000</w:t>
            </w:r>
          </w:p>
        </w:tc>
      </w:tr>
      <w:tr w:rsidR="00E31651" w:rsidRPr="004D72DD" w:rsidTr="00107A5A">
        <w:trPr>
          <w:jc w:val="center"/>
        </w:trPr>
        <w:tc>
          <w:tcPr>
            <w:tcW w:w="4752" w:type="dxa"/>
          </w:tcPr>
          <w:p w:rsidR="00E31651" w:rsidRPr="004D72DD" w:rsidRDefault="00E31651" w:rsidP="00107A5A">
            <w:pPr>
              <w:pStyle w:val="BodyText1"/>
              <w:keepNext/>
              <w:tabs>
                <w:tab w:val="left" w:pos="216"/>
              </w:tabs>
              <w:spacing w:after="0"/>
              <w:ind w:firstLine="0"/>
              <w:jc w:val="left"/>
              <w:rPr>
                <w:b/>
                <w:sz w:val="20"/>
                <w:szCs w:val="20"/>
              </w:rPr>
            </w:pPr>
          </w:p>
        </w:tc>
        <w:tc>
          <w:tcPr>
            <w:tcW w:w="2016" w:type="dxa"/>
          </w:tcPr>
          <w:p w:rsidR="00E31651" w:rsidRDefault="00E31651" w:rsidP="007A5DD4">
            <w:pPr>
              <w:pStyle w:val="BodyText1"/>
              <w:keepNext/>
              <w:tabs>
                <w:tab w:val="decimal" w:pos="1557"/>
              </w:tabs>
              <w:spacing w:after="0"/>
              <w:ind w:firstLine="0"/>
              <w:rPr>
                <w:sz w:val="20"/>
                <w:szCs w:val="20"/>
                <w:u w:val="double"/>
              </w:rPr>
            </w:pPr>
          </w:p>
        </w:tc>
      </w:tr>
    </w:tbl>
    <w:p w:rsidR="006123A1" w:rsidRDefault="006123A1" w:rsidP="00935E4E">
      <w:pPr>
        <w:pStyle w:val="BodyText1"/>
      </w:pPr>
      <w:r>
        <w:t xml:space="preserve">The Master Indenture permits the execution of additional Leases, and the execution and delivery of additional Series of Certificates under the Master Indenture on a parity basis, in order to fund additional Projects under the Program.  See </w:t>
      </w:r>
      <w:r w:rsidR="00A06786">
        <w:t>“</w:t>
      </w:r>
      <w:r>
        <w:t xml:space="preserve">INTRODUCTION – Authorization – </w:t>
      </w:r>
      <w:r w:rsidRPr="00935E4E">
        <w:rPr>
          <w:i/>
        </w:rPr>
        <w:t>The Program</w:t>
      </w:r>
      <w:r w:rsidR="00A06786">
        <w:t>”</w:t>
      </w:r>
      <w:r>
        <w:t xml:space="preserve"> and </w:t>
      </w:r>
      <w:r w:rsidR="00A06786">
        <w:t>“</w:t>
      </w:r>
      <w:r>
        <w:t>SECURITY AND SOURCES OF PAYMENT – Additional Series of Certificates</w:t>
      </w:r>
      <w:r w:rsidR="00AC0456">
        <w:t>.</w:t>
      </w:r>
      <w:r w:rsidR="00A06786">
        <w:t>”</w:t>
      </w:r>
      <w:r>
        <w:t xml:space="preserve"> </w:t>
      </w:r>
      <w:r w:rsidR="00AC0456">
        <w:t xml:space="preserve"> </w:t>
      </w:r>
      <w:r>
        <w:t xml:space="preserve">The State could also choose to fund future projects under the Program with the proceeds of certificates of participation that are not executed and delivered pursuant to the Master Indenture, in which case the related leased property would not secure the Certificates.  The execution by the State of future Leases or an amendment to a Lease for additional Projects would require authorization by the State and additional authorization from the General Assembly to the extent that Rent under the existing Leases and such additional Leases would exceed the annual lease payment limit described above.  It is </w:t>
      </w:r>
      <w:r w:rsidR="006B25D7">
        <w:t>possible</w:t>
      </w:r>
      <w:r>
        <w:t xml:space="preserve"> that after the Series </w:t>
      </w:r>
      <w:r w:rsidR="00480C95">
        <w:t>2020R</w:t>
      </w:r>
      <w:r>
        <w:t xml:space="preserve"> Certificates are executed and delivered, the currently imposed annual lease payment limits would permit the funding of </w:t>
      </w:r>
      <w:r w:rsidR="006B25D7">
        <w:t xml:space="preserve">a few </w:t>
      </w:r>
      <w:r>
        <w:t>future Projects through the execution and delivery of additional Series of Certificates.</w:t>
      </w:r>
    </w:p>
    <w:p w:rsidR="007B5EE3" w:rsidRDefault="007B5EE3" w:rsidP="007B5EE3">
      <w:pPr>
        <w:pStyle w:val="Heading2"/>
        <w:keepNext/>
      </w:pPr>
      <w:bookmarkStart w:id="22" w:name="_Toc56668352"/>
      <w:r>
        <w:t>Sources and Uses of Funds</w:t>
      </w:r>
      <w:bookmarkEnd w:id="22"/>
    </w:p>
    <w:p w:rsidR="007B5EE3" w:rsidRDefault="007B5EE3" w:rsidP="007B5EE3">
      <w:pPr>
        <w:pStyle w:val="BodyText1"/>
        <w:keepNext/>
      </w:pPr>
      <w:r>
        <w:t xml:space="preserve">The sources and uses of funds relating to the Series </w:t>
      </w:r>
      <w:r w:rsidR="00480C95">
        <w:t>2020R</w:t>
      </w:r>
      <w:r>
        <w:t xml:space="preserve"> Certificates are set forth</w:t>
      </w:r>
      <w:r w:rsidR="000A6530">
        <w:t xml:space="preserve"> below:</w:t>
      </w:r>
      <w: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84"/>
        <w:gridCol w:w="1440"/>
      </w:tblGrid>
      <w:tr w:rsidR="007B5EE3" w:rsidRPr="004D72DD" w:rsidTr="007B6F29">
        <w:trPr>
          <w:jc w:val="center"/>
        </w:trPr>
        <w:tc>
          <w:tcPr>
            <w:tcW w:w="5184" w:type="dxa"/>
          </w:tcPr>
          <w:p w:rsidR="007B5EE3" w:rsidRPr="004D72DD" w:rsidRDefault="007B5EE3" w:rsidP="007B6F29">
            <w:pPr>
              <w:keepNext/>
              <w:spacing w:after="80"/>
              <w:jc w:val="left"/>
              <w:rPr>
                <w:sz w:val="20"/>
                <w:szCs w:val="20"/>
              </w:rPr>
            </w:pPr>
          </w:p>
        </w:tc>
        <w:tc>
          <w:tcPr>
            <w:tcW w:w="1440" w:type="dxa"/>
            <w:vAlign w:val="bottom"/>
          </w:tcPr>
          <w:p w:rsidR="007B5EE3" w:rsidRPr="004D72DD" w:rsidRDefault="007B5EE3" w:rsidP="007B6F29">
            <w:pPr>
              <w:keepNext/>
              <w:spacing w:after="80"/>
              <w:jc w:val="center"/>
              <w:rPr>
                <w:b/>
                <w:sz w:val="20"/>
                <w:szCs w:val="20"/>
                <w:u w:val="single"/>
              </w:rPr>
            </w:pPr>
          </w:p>
        </w:tc>
      </w:tr>
      <w:tr w:rsidR="007B5EE3" w:rsidRPr="004D72DD" w:rsidTr="007B6F29">
        <w:trPr>
          <w:jc w:val="center"/>
        </w:trPr>
        <w:tc>
          <w:tcPr>
            <w:tcW w:w="5184" w:type="dxa"/>
          </w:tcPr>
          <w:p w:rsidR="007B5EE3" w:rsidRPr="004D72DD" w:rsidRDefault="007B5EE3" w:rsidP="007B6F29">
            <w:pPr>
              <w:keepNext/>
              <w:jc w:val="left"/>
              <w:rPr>
                <w:sz w:val="20"/>
                <w:szCs w:val="20"/>
              </w:rPr>
            </w:pPr>
            <w:r w:rsidRPr="004D72DD">
              <w:rPr>
                <w:sz w:val="20"/>
                <w:szCs w:val="20"/>
              </w:rPr>
              <w:t>Sources of Funds:</w:t>
            </w:r>
          </w:p>
        </w:tc>
        <w:tc>
          <w:tcPr>
            <w:tcW w:w="1440" w:type="dxa"/>
            <w:vAlign w:val="bottom"/>
          </w:tcPr>
          <w:p w:rsidR="007B5EE3" w:rsidRPr="004D72DD" w:rsidRDefault="007B5EE3" w:rsidP="007B6F29">
            <w:pPr>
              <w:keepNext/>
              <w:jc w:val="left"/>
              <w:rPr>
                <w:sz w:val="20"/>
                <w:szCs w:val="20"/>
              </w:rPr>
            </w:pPr>
          </w:p>
        </w:tc>
      </w:tr>
      <w:tr w:rsidR="007B5EE3" w:rsidRPr="004D72DD" w:rsidTr="007B6F29">
        <w:trPr>
          <w:jc w:val="center"/>
        </w:trPr>
        <w:tc>
          <w:tcPr>
            <w:tcW w:w="5184" w:type="dxa"/>
          </w:tcPr>
          <w:p w:rsidR="007B5EE3" w:rsidRPr="004D72DD" w:rsidRDefault="007B5EE3" w:rsidP="007B6F29">
            <w:pPr>
              <w:keepNext/>
              <w:tabs>
                <w:tab w:val="right" w:leader="dot" w:pos="6930"/>
              </w:tabs>
              <w:ind w:left="187"/>
              <w:jc w:val="left"/>
              <w:rPr>
                <w:sz w:val="20"/>
                <w:szCs w:val="20"/>
              </w:rPr>
            </w:pPr>
            <w:r w:rsidRPr="004D72DD">
              <w:rPr>
                <w:sz w:val="20"/>
                <w:szCs w:val="20"/>
              </w:rPr>
              <w:t xml:space="preserve">Par amount of the Series </w:t>
            </w:r>
            <w:r w:rsidR="00480C95">
              <w:rPr>
                <w:sz w:val="20"/>
                <w:szCs w:val="20"/>
              </w:rPr>
              <w:t>2020R</w:t>
            </w:r>
            <w:r w:rsidRPr="004D72DD">
              <w:rPr>
                <w:sz w:val="20"/>
                <w:szCs w:val="20"/>
              </w:rPr>
              <w:t xml:space="preserve"> Certificates</w:t>
            </w:r>
            <w:r w:rsidRPr="004D72DD">
              <w:rPr>
                <w:sz w:val="20"/>
                <w:szCs w:val="20"/>
              </w:rPr>
              <w:tab/>
            </w:r>
          </w:p>
        </w:tc>
        <w:tc>
          <w:tcPr>
            <w:tcW w:w="1440" w:type="dxa"/>
            <w:vAlign w:val="bottom"/>
          </w:tcPr>
          <w:p w:rsidR="007B5EE3" w:rsidRPr="004D72DD" w:rsidRDefault="009E72FC" w:rsidP="00031678">
            <w:pPr>
              <w:keepNext/>
              <w:tabs>
                <w:tab w:val="decimal" w:pos="1260"/>
              </w:tabs>
              <w:jc w:val="left"/>
              <w:rPr>
                <w:sz w:val="20"/>
                <w:szCs w:val="20"/>
              </w:rPr>
            </w:pPr>
            <w:r>
              <w:rPr>
                <w:sz w:val="20"/>
                <w:szCs w:val="20"/>
              </w:rPr>
              <w:t>$</w:t>
            </w:r>
            <w:r w:rsidR="006A4C08">
              <w:rPr>
                <w:sz w:val="20"/>
                <w:szCs w:val="20"/>
              </w:rPr>
              <w:t xml:space="preserve"> </w:t>
            </w:r>
            <w:r>
              <w:rPr>
                <w:sz w:val="20"/>
                <w:szCs w:val="20"/>
              </w:rPr>
              <w:t>98,030,000</w:t>
            </w:r>
          </w:p>
        </w:tc>
      </w:tr>
      <w:tr w:rsidR="007B5EE3" w:rsidRPr="004D72DD" w:rsidTr="007B6F29">
        <w:trPr>
          <w:jc w:val="center"/>
        </w:trPr>
        <w:tc>
          <w:tcPr>
            <w:tcW w:w="5184" w:type="dxa"/>
          </w:tcPr>
          <w:p w:rsidR="007B5EE3" w:rsidRPr="004D72DD" w:rsidRDefault="007B5EE3" w:rsidP="00031678">
            <w:pPr>
              <w:keepNext/>
              <w:tabs>
                <w:tab w:val="right" w:leader="dot" w:pos="6930"/>
              </w:tabs>
              <w:ind w:left="187"/>
              <w:jc w:val="left"/>
              <w:rPr>
                <w:sz w:val="20"/>
                <w:szCs w:val="20"/>
              </w:rPr>
            </w:pPr>
            <w:r w:rsidRPr="004D72DD">
              <w:rPr>
                <w:sz w:val="20"/>
                <w:szCs w:val="20"/>
              </w:rPr>
              <w:t>Original issue premium</w:t>
            </w:r>
            <w:r w:rsidRPr="004D72DD">
              <w:rPr>
                <w:sz w:val="20"/>
                <w:szCs w:val="20"/>
              </w:rPr>
              <w:tab/>
            </w:r>
          </w:p>
        </w:tc>
        <w:tc>
          <w:tcPr>
            <w:tcW w:w="1440" w:type="dxa"/>
            <w:vAlign w:val="bottom"/>
          </w:tcPr>
          <w:p w:rsidR="007B5EE3" w:rsidRPr="00031678" w:rsidRDefault="00A21C91" w:rsidP="007B6F29">
            <w:pPr>
              <w:keepNext/>
              <w:tabs>
                <w:tab w:val="decimal" w:pos="1260"/>
              </w:tabs>
              <w:jc w:val="left"/>
              <w:rPr>
                <w:sz w:val="20"/>
                <w:szCs w:val="20"/>
              </w:rPr>
            </w:pPr>
            <w:r>
              <w:rPr>
                <w:sz w:val="20"/>
                <w:szCs w:val="20"/>
              </w:rPr>
              <w:t>19,932,334</w:t>
            </w:r>
          </w:p>
        </w:tc>
      </w:tr>
      <w:tr w:rsidR="007B5EE3" w:rsidRPr="004D72DD" w:rsidTr="007B6F29">
        <w:trPr>
          <w:jc w:val="center"/>
        </w:trPr>
        <w:tc>
          <w:tcPr>
            <w:tcW w:w="5184" w:type="dxa"/>
          </w:tcPr>
          <w:p w:rsidR="007B5EE3" w:rsidRPr="004D72DD" w:rsidRDefault="00031678" w:rsidP="00031678">
            <w:pPr>
              <w:keepNext/>
              <w:tabs>
                <w:tab w:val="right" w:leader="dot" w:pos="6930"/>
              </w:tabs>
              <w:ind w:left="187"/>
              <w:jc w:val="left"/>
              <w:rPr>
                <w:sz w:val="20"/>
                <w:szCs w:val="20"/>
              </w:rPr>
            </w:pPr>
            <w:r>
              <w:rPr>
                <w:sz w:val="20"/>
                <w:szCs w:val="20"/>
              </w:rPr>
              <w:t>Matching Money Cash Contribution</w:t>
            </w:r>
            <w:r>
              <w:rPr>
                <w:sz w:val="20"/>
                <w:szCs w:val="20"/>
              </w:rPr>
              <w:tab/>
            </w:r>
          </w:p>
        </w:tc>
        <w:tc>
          <w:tcPr>
            <w:tcW w:w="1440" w:type="dxa"/>
            <w:vAlign w:val="bottom"/>
          </w:tcPr>
          <w:p w:rsidR="007B5EE3" w:rsidRPr="00031678" w:rsidRDefault="00031678" w:rsidP="00031678">
            <w:pPr>
              <w:keepNext/>
              <w:tabs>
                <w:tab w:val="decimal" w:pos="1260"/>
              </w:tabs>
              <w:jc w:val="left"/>
              <w:rPr>
                <w:sz w:val="20"/>
                <w:szCs w:val="20"/>
                <w:u w:val="single"/>
              </w:rPr>
            </w:pPr>
            <w:r>
              <w:rPr>
                <w:sz w:val="20"/>
                <w:szCs w:val="20"/>
                <w:u w:val="single"/>
              </w:rPr>
              <w:t xml:space="preserve">     </w:t>
            </w:r>
            <w:r w:rsidRPr="00031678">
              <w:rPr>
                <w:sz w:val="20"/>
                <w:szCs w:val="20"/>
                <w:u w:val="single"/>
              </w:rPr>
              <w:t>1,841,466</w:t>
            </w:r>
          </w:p>
        </w:tc>
      </w:tr>
      <w:tr w:rsidR="007B5EE3" w:rsidRPr="004D72DD" w:rsidTr="007B6F29">
        <w:trPr>
          <w:jc w:val="center"/>
        </w:trPr>
        <w:tc>
          <w:tcPr>
            <w:tcW w:w="5184" w:type="dxa"/>
          </w:tcPr>
          <w:p w:rsidR="007B5EE3" w:rsidRPr="004D72DD" w:rsidRDefault="007B5EE3" w:rsidP="007B6F29">
            <w:pPr>
              <w:keepNext/>
              <w:jc w:val="left"/>
              <w:rPr>
                <w:sz w:val="20"/>
                <w:szCs w:val="20"/>
              </w:rPr>
            </w:pPr>
          </w:p>
        </w:tc>
        <w:tc>
          <w:tcPr>
            <w:tcW w:w="1440" w:type="dxa"/>
            <w:vAlign w:val="bottom"/>
          </w:tcPr>
          <w:p w:rsidR="007B5EE3" w:rsidRPr="004D72DD" w:rsidRDefault="00031678" w:rsidP="007B6F29">
            <w:pPr>
              <w:keepNext/>
              <w:tabs>
                <w:tab w:val="decimal" w:pos="1260"/>
              </w:tabs>
              <w:jc w:val="left"/>
              <w:rPr>
                <w:sz w:val="20"/>
                <w:szCs w:val="20"/>
              </w:rPr>
            </w:pPr>
            <w:r>
              <w:rPr>
                <w:sz w:val="20"/>
                <w:szCs w:val="20"/>
              </w:rPr>
              <w:t>$119,803,800</w:t>
            </w:r>
          </w:p>
        </w:tc>
      </w:tr>
      <w:tr w:rsidR="007B5EE3" w:rsidRPr="004D72DD" w:rsidTr="007B6F29">
        <w:trPr>
          <w:jc w:val="center"/>
        </w:trPr>
        <w:tc>
          <w:tcPr>
            <w:tcW w:w="5184" w:type="dxa"/>
          </w:tcPr>
          <w:p w:rsidR="007B5EE3" w:rsidRPr="004D72DD" w:rsidRDefault="007B5EE3" w:rsidP="007B6F29">
            <w:pPr>
              <w:keepNext/>
              <w:jc w:val="left"/>
              <w:rPr>
                <w:sz w:val="20"/>
                <w:szCs w:val="20"/>
              </w:rPr>
            </w:pPr>
            <w:r w:rsidRPr="004D72DD">
              <w:rPr>
                <w:sz w:val="20"/>
                <w:szCs w:val="20"/>
              </w:rPr>
              <w:t>Uses of Funds:</w:t>
            </w:r>
          </w:p>
        </w:tc>
        <w:tc>
          <w:tcPr>
            <w:tcW w:w="1440" w:type="dxa"/>
            <w:vAlign w:val="bottom"/>
          </w:tcPr>
          <w:p w:rsidR="007B5EE3" w:rsidRPr="004D72DD" w:rsidRDefault="007B5EE3" w:rsidP="007B6F29">
            <w:pPr>
              <w:keepNext/>
              <w:tabs>
                <w:tab w:val="decimal" w:pos="1260"/>
              </w:tabs>
              <w:jc w:val="left"/>
              <w:rPr>
                <w:sz w:val="20"/>
                <w:szCs w:val="20"/>
              </w:rPr>
            </w:pPr>
          </w:p>
        </w:tc>
      </w:tr>
      <w:tr w:rsidR="007B5EE3" w:rsidRPr="004D72DD" w:rsidTr="007B6F29">
        <w:trPr>
          <w:jc w:val="center"/>
        </w:trPr>
        <w:tc>
          <w:tcPr>
            <w:tcW w:w="5184" w:type="dxa"/>
          </w:tcPr>
          <w:p w:rsidR="007B5EE3" w:rsidRPr="004D72DD" w:rsidRDefault="007B5EE3" w:rsidP="004D1918">
            <w:pPr>
              <w:keepNext/>
              <w:tabs>
                <w:tab w:val="left" w:pos="365"/>
                <w:tab w:val="right" w:leader="dot" w:pos="6930"/>
              </w:tabs>
              <w:ind w:left="187"/>
              <w:jc w:val="left"/>
              <w:rPr>
                <w:sz w:val="20"/>
                <w:szCs w:val="20"/>
              </w:rPr>
            </w:pPr>
            <w:r w:rsidRPr="004D72DD">
              <w:rPr>
                <w:sz w:val="20"/>
                <w:szCs w:val="20"/>
              </w:rPr>
              <w:t xml:space="preserve">Deposit to the Series </w:t>
            </w:r>
            <w:r w:rsidR="00480C95">
              <w:rPr>
                <w:sz w:val="20"/>
                <w:szCs w:val="20"/>
              </w:rPr>
              <w:t>2020R</w:t>
            </w:r>
            <w:r w:rsidRPr="004D72DD">
              <w:rPr>
                <w:sz w:val="20"/>
                <w:szCs w:val="20"/>
              </w:rPr>
              <w:t xml:space="preserve"> </w:t>
            </w:r>
            <w:r>
              <w:rPr>
                <w:sz w:val="20"/>
                <w:szCs w:val="20"/>
              </w:rPr>
              <w:t xml:space="preserve">Project Account of Capital </w:t>
            </w:r>
            <w:r w:rsidR="004D1918">
              <w:rPr>
                <w:sz w:val="20"/>
                <w:szCs w:val="20"/>
              </w:rPr>
              <w:t xml:space="preserve">   </w:t>
            </w:r>
            <w:r w:rsidR="004D1918">
              <w:rPr>
                <w:sz w:val="20"/>
                <w:szCs w:val="20"/>
              </w:rPr>
              <w:tab/>
            </w:r>
            <w:r>
              <w:rPr>
                <w:sz w:val="20"/>
                <w:szCs w:val="20"/>
              </w:rPr>
              <w:t>Construction Fund</w:t>
            </w:r>
            <w:r w:rsidRPr="004D72DD">
              <w:rPr>
                <w:sz w:val="20"/>
                <w:szCs w:val="20"/>
              </w:rPr>
              <w:tab/>
            </w:r>
          </w:p>
        </w:tc>
        <w:tc>
          <w:tcPr>
            <w:tcW w:w="1440" w:type="dxa"/>
            <w:vAlign w:val="bottom"/>
          </w:tcPr>
          <w:p w:rsidR="007B5EE3" w:rsidRPr="004D72DD" w:rsidRDefault="00031678" w:rsidP="007B6F29">
            <w:pPr>
              <w:keepNext/>
              <w:tabs>
                <w:tab w:val="decimal" w:pos="1260"/>
              </w:tabs>
              <w:jc w:val="left"/>
              <w:rPr>
                <w:sz w:val="20"/>
                <w:szCs w:val="20"/>
              </w:rPr>
            </w:pPr>
            <w:r>
              <w:rPr>
                <w:sz w:val="20"/>
                <w:szCs w:val="20"/>
              </w:rPr>
              <w:t>118,823,259</w:t>
            </w:r>
          </w:p>
        </w:tc>
      </w:tr>
      <w:tr w:rsidR="007B5EE3" w:rsidRPr="004D72DD" w:rsidTr="007B6F29">
        <w:trPr>
          <w:jc w:val="center"/>
        </w:trPr>
        <w:tc>
          <w:tcPr>
            <w:tcW w:w="5184" w:type="dxa"/>
          </w:tcPr>
          <w:p w:rsidR="007B5EE3" w:rsidRPr="004D72DD" w:rsidRDefault="007B5EE3" w:rsidP="004D1918">
            <w:pPr>
              <w:keepNext/>
              <w:tabs>
                <w:tab w:val="right" w:leader="dot" w:pos="6930"/>
              </w:tabs>
              <w:ind w:left="187"/>
              <w:jc w:val="left"/>
              <w:rPr>
                <w:sz w:val="20"/>
                <w:szCs w:val="20"/>
              </w:rPr>
            </w:pPr>
            <w:r w:rsidRPr="004D72DD">
              <w:rPr>
                <w:sz w:val="20"/>
                <w:szCs w:val="20"/>
              </w:rPr>
              <w:t>Costs of issuance, including Underwriters</w:t>
            </w:r>
            <w:r w:rsidR="00A06786">
              <w:rPr>
                <w:sz w:val="20"/>
                <w:szCs w:val="20"/>
              </w:rPr>
              <w:t>’</w:t>
            </w:r>
            <w:r w:rsidRPr="004D72DD">
              <w:rPr>
                <w:sz w:val="20"/>
                <w:szCs w:val="20"/>
              </w:rPr>
              <w:t xml:space="preserve"> discount</w:t>
            </w:r>
            <w:r w:rsidR="00DD2960">
              <w:rPr>
                <w:sz w:val="20"/>
                <w:szCs w:val="20"/>
                <w:vertAlign w:val="superscript"/>
              </w:rPr>
              <w:t>1</w:t>
            </w:r>
            <w:r w:rsidRPr="004D72DD">
              <w:rPr>
                <w:sz w:val="20"/>
                <w:szCs w:val="20"/>
              </w:rPr>
              <w:tab/>
            </w:r>
          </w:p>
        </w:tc>
        <w:tc>
          <w:tcPr>
            <w:tcW w:w="1440" w:type="dxa"/>
            <w:vAlign w:val="bottom"/>
          </w:tcPr>
          <w:p w:rsidR="007B5EE3" w:rsidRPr="004D72DD" w:rsidRDefault="00031678" w:rsidP="007B6F29">
            <w:pPr>
              <w:keepNext/>
              <w:tabs>
                <w:tab w:val="decimal" w:pos="1260"/>
              </w:tabs>
              <w:jc w:val="left"/>
              <w:rPr>
                <w:sz w:val="20"/>
                <w:szCs w:val="20"/>
                <w:u w:val="single"/>
              </w:rPr>
            </w:pPr>
            <w:r>
              <w:rPr>
                <w:sz w:val="20"/>
                <w:szCs w:val="20"/>
                <w:u w:val="single"/>
              </w:rPr>
              <w:t xml:space="preserve">         980,541</w:t>
            </w:r>
          </w:p>
        </w:tc>
      </w:tr>
      <w:tr w:rsidR="007B5EE3" w:rsidRPr="004D72DD" w:rsidTr="007B6F29">
        <w:trPr>
          <w:jc w:val="center"/>
        </w:trPr>
        <w:tc>
          <w:tcPr>
            <w:tcW w:w="5184" w:type="dxa"/>
          </w:tcPr>
          <w:p w:rsidR="007B5EE3" w:rsidRPr="004D72DD" w:rsidRDefault="007B5EE3" w:rsidP="007B6F29">
            <w:pPr>
              <w:keepNext/>
              <w:tabs>
                <w:tab w:val="right" w:leader="dot" w:pos="6930"/>
              </w:tabs>
              <w:ind w:left="446"/>
              <w:jc w:val="left"/>
              <w:rPr>
                <w:sz w:val="20"/>
                <w:szCs w:val="20"/>
              </w:rPr>
            </w:pPr>
          </w:p>
        </w:tc>
        <w:tc>
          <w:tcPr>
            <w:tcW w:w="1440" w:type="dxa"/>
            <w:vAlign w:val="bottom"/>
          </w:tcPr>
          <w:p w:rsidR="007B5EE3" w:rsidRPr="004D72DD" w:rsidRDefault="00031678" w:rsidP="007B6F29">
            <w:pPr>
              <w:keepNext/>
              <w:tabs>
                <w:tab w:val="decimal" w:pos="1260"/>
              </w:tabs>
              <w:jc w:val="left"/>
              <w:rPr>
                <w:sz w:val="20"/>
                <w:szCs w:val="20"/>
                <w:u w:val="double"/>
              </w:rPr>
            </w:pPr>
            <w:r>
              <w:rPr>
                <w:sz w:val="20"/>
                <w:szCs w:val="20"/>
                <w:u w:val="double"/>
              </w:rPr>
              <w:t>$119,803,800</w:t>
            </w:r>
          </w:p>
        </w:tc>
      </w:tr>
    </w:tbl>
    <w:p w:rsidR="007B5EE3" w:rsidRPr="008E459C" w:rsidRDefault="007B5EE3" w:rsidP="007B5EE3">
      <w:pPr>
        <w:pStyle w:val="OStablenotes"/>
        <w:keepNext w:val="0"/>
        <w:spacing w:before="80" w:after="0"/>
        <w:rPr>
          <w:spacing w:val="-3"/>
        </w:rPr>
      </w:pPr>
      <w:r>
        <w:rPr>
          <w:spacing w:val="-3"/>
        </w:rPr>
        <w:t>________________________</w:t>
      </w:r>
    </w:p>
    <w:p w:rsidR="007B5EE3" w:rsidRPr="00520E5D" w:rsidRDefault="004D1918" w:rsidP="007B5EE3">
      <w:pPr>
        <w:pStyle w:val="OStablenotes"/>
        <w:keepNext w:val="0"/>
        <w:spacing w:before="80" w:after="80"/>
        <w:rPr>
          <w:szCs w:val="16"/>
        </w:rPr>
      </w:pPr>
      <w:r>
        <w:rPr>
          <w:szCs w:val="16"/>
          <w:vertAlign w:val="superscript"/>
        </w:rPr>
        <w:t>1</w:t>
      </w:r>
      <w:r>
        <w:rPr>
          <w:szCs w:val="16"/>
          <w:vertAlign w:val="superscript"/>
        </w:rPr>
        <w:tab/>
      </w:r>
      <w:r w:rsidR="007B5EE3" w:rsidRPr="00520E5D">
        <w:rPr>
          <w:szCs w:val="16"/>
        </w:rPr>
        <w:t>This amount (other than the Underwriters</w:t>
      </w:r>
      <w:r w:rsidR="00A06786">
        <w:rPr>
          <w:szCs w:val="16"/>
        </w:rPr>
        <w:t>’</w:t>
      </w:r>
      <w:r w:rsidR="007B5EE3" w:rsidRPr="00520E5D">
        <w:rPr>
          <w:szCs w:val="16"/>
        </w:rPr>
        <w:t xml:space="preserve"> discount) will be deposited to the Costs of Issuance Account of the Capital Construction Fund and used to pay costs of issuance, including legal fees, rating agencies fees, printing costs and municipal advisors</w:t>
      </w:r>
      <w:r w:rsidR="00A06786">
        <w:rPr>
          <w:szCs w:val="16"/>
        </w:rPr>
        <w:t>’</w:t>
      </w:r>
      <w:r w:rsidR="007B5EE3" w:rsidRPr="00520E5D">
        <w:rPr>
          <w:szCs w:val="16"/>
        </w:rPr>
        <w:t xml:space="preserve"> fees.  For information concerning the Underwriters</w:t>
      </w:r>
      <w:r w:rsidR="00A06786">
        <w:rPr>
          <w:szCs w:val="16"/>
        </w:rPr>
        <w:t>’</w:t>
      </w:r>
      <w:r w:rsidR="007B5EE3" w:rsidRPr="00520E5D">
        <w:rPr>
          <w:szCs w:val="16"/>
        </w:rPr>
        <w:t xml:space="preserve"> discount, see </w:t>
      </w:r>
      <w:r w:rsidR="00A06786">
        <w:rPr>
          <w:szCs w:val="16"/>
        </w:rPr>
        <w:t>“</w:t>
      </w:r>
      <w:r w:rsidR="007B5EE3" w:rsidRPr="00520E5D">
        <w:rPr>
          <w:szCs w:val="16"/>
        </w:rPr>
        <w:t>UNDERWRITING.</w:t>
      </w:r>
      <w:r w:rsidR="00A06786">
        <w:rPr>
          <w:szCs w:val="16"/>
        </w:rPr>
        <w:t>”</w:t>
      </w:r>
    </w:p>
    <w:p w:rsidR="00F27774" w:rsidRDefault="00F27774">
      <w:pPr>
        <w:spacing w:after="160" w:line="259" w:lineRule="auto"/>
        <w:jc w:val="left"/>
        <w:rPr>
          <w:rFonts w:ascii="Times New Roman Bold" w:eastAsiaTheme="majorEastAsia" w:hAnsi="Times New Roman Bold" w:cstheme="majorBidi"/>
          <w:b/>
          <w:sz w:val="24"/>
          <w:szCs w:val="26"/>
        </w:rPr>
      </w:pPr>
      <w:r>
        <w:br w:type="page"/>
      </w:r>
    </w:p>
    <w:p w:rsidR="002832DB" w:rsidRDefault="002832DB" w:rsidP="003A3DD0">
      <w:pPr>
        <w:pStyle w:val="Heading2"/>
      </w:pPr>
      <w:bookmarkStart w:id="23" w:name="_Toc56668353"/>
      <w:r>
        <w:t xml:space="preserve">The Series </w:t>
      </w:r>
      <w:r w:rsidR="00480C95">
        <w:t>2020R</w:t>
      </w:r>
      <w:r>
        <w:t xml:space="preserve"> Projects and Series </w:t>
      </w:r>
      <w:r w:rsidR="00480C95">
        <w:t>2020R</w:t>
      </w:r>
      <w:r>
        <w:t xml:space="preserve"> Participating K-12 Institutions</w:t>
      </w:r>
      <w:bookmarkEnd w:id="23"/>
    </w:p>
    <w:p w:rsidR="00863B2B" w:rsidRPr="003F4EE4" w:rsidRDefault="00863B2B" w:rsidP="007A5DD4">
      <w:pPr>
        <w:pStyle w:val="BodyText1"/>
        <w:keepNext/>
      </w:pPr>
      <w:r w:rsidRPr="00183539">
        <w:t xml:space="preserve">The following table describes the Series </w:t>
      </w:r>
      <w:r w:rsidR="00480C95">
        <w:t>2020R</w:t>
      </w:r>
      <w:r w:rsidRPr="00183539">
        <w:t xml:space="preserve"> Participating K-12 Institutions and Series </w:t>
      </w:r>
      <w:r w:rsidR="00480C95">
        <w:t>2020R</w:t>
      </w:r>
      <w:r w:rsidRPr="00183539">
        <w:t xml:space="preserve"> Projects expected to be funded with proceeds of the Series </w:t>
      </w:r>
      <w:r w:rsidR="00480C95">
        <w:t>2020R</w:t>
      </w:r>
      <w:r w:rsidRPr="00183539">
        <w:t xml:space="preserve"> Certificates, moneys in the Assistance Fund in an amount equal to Matching Moneys to be deposited therein when received from such Series </w:t>
      </w:r>
      <w:r w:rsidR="00480C95">
        <w:t>2020R</w:t>
      </w:r>
      <w:r w:rsidRPr="00183539">
        <w:t xml:space="preserve"> Participating K-12 Institution and total cost of the related Series </w:t>
      </w:r>
      <w:r w:rsidR="00480C95">
        <w:t>2020R</w:t>
      </w:r>
      <w:r w:rsidRPr="00183539">
        <w:t xml:space="preserve"> Project.</w:t>
      </w:r>
    </w:p>
    <w:p w:rsidR="00863B2B" w:rsidRPr="00863B2B" w:rsidRDefault="00863B2B" w:rsidP="007A5DD4">
      <w:pPr>
        <w:keepNext/>
        <w:jc w:val="center"/>
        <w:rPr>
          <w:b/>
          <w:bCs/>
          <w:sz w:val="20"/>
        </w:rPr>
      </w:pPr>
      <w:r w:rsidRPr="00863B2B">
        <w:rPr>
          <w:b/>
          <w:bCs/>
          <w:sz w:val="20"/>
        </w:rPr>
        <w:t xml:space="preserve">Series </w:t>
      </w:r>
      <w:r w:rsidR="00480C95">
        <w:rPr>
          <w:b/>
          <w:bCs/>
          <w:sz w:val="20"/>
        </w:rPr>
        <w:t>2020R</w:t>
      </w:r>
      <w:r w:rsidRPr="00863B2B">
        <w:rPr>
          <w:b/>
          <w:bCs/>
          <w:sz w:val="20"/>
        </w:rPr>
        <w:t xml:space="preserve"> Projects and Series </w:t>
      </w:r>
      <w:r w:rsidR="00480C95">
        <w:rPr>
          <w:b/>
          <w:bCs/>
          <w:sz w:val="20"/>
        </w:rPr>
        <w:t>2020R</w:t>
      </w:r>
      <w:r w:rsidRPr="00863B2B">
        <w:rPr>
          <w:b/>
          <w:bCs/>
          <w:sz w:val="20"/>
        </w:rPr>
        <w:t xml:space="preserve"> Participating K-12 Institutions</w:t>
      </w:r>
    </w:p>
    <w:p w:rsidR="00863B2B" w:rsidRDefault="00863B2B" w:rsidP="007A5DD4">
      <w:pPr>
        <w:keepNext/>
      </w:pPr>
    </w:p>
    <w:tbl>
      <w:tblPr>
        <w:tblW w:w="9450" w:type="dxa"/>
        <w:tblInd w:w="-90" w:type="dxa"/>
        <w:tblLayout w:type="fixed"/>
        <w:tblLook w:val="01E0" w:firstRow="1" w:lastRow="1" w:firstColumn="1" w:lastColumn="1" w:noHBand="0" w:noVBand="0"/>
      </w:tblPr>
      <w:tblGrid>
        <w:gridCol w:w="2970"/>
        <w:gridCol w:w="3060"/>
        <w:gridCol w:w="1710"/>
        <w:gridCol w:w="1710"/>
      </w:tblGrid>
      <w:tr w:rsidR="00863B2B" w:rsidRPr="00942B3C" w:rsidTr="00B21DA1">
        <w:tc>
          <w:tcPr>
            <w:tcW w:w="2970" w:type="dxa"/>
            <w:shd w:val="clear" w:color="auto" w:fill="auto"/>
            <w:vAlign w:val="bottom"/>
          </w:tcPr>
          <w:p w:rsidR="00863B2B" w:rsidRPr="00942B3C" w:rsidRDefault="00863B2B" w:rsidP="007A5DD4">
            <w:pPr>
              <w:pStyle w:val="BodyText"/>
              <w:keepNext/>
              <w:keepLines/>
              <w:spacing w:after="0"/>
              <w:jc w:val="center"/>
              <w:rPr>
                <w:b/>
                <w:sz w:val="20"/>
              </w:rPr>
            </w:pPr>
            <w:r>
              <w:rPr>
                <w:b/>
                <w:sz w:val="20"/>
              </w:rPr>
              <w:t xml:space="preserve">Series </w:t>
            </w:r>
            <w:r w:rsidR="00480C95">
              <w:rPr>
                <w:b/>
                <w:sz w:val="20"/>
              </w:rPr>
              <w:t>2020R</w:t>
            </w:r>
            <w:r>
              <w:rPr>
                <w:b/>
                <w:sz w:val="20"/>
              </w:rPr>
              <w:t xml:space="preserve"> Participating</w:t>
            </w:r>
          </w:p>
          <w:p w:rsidR="00863B2B" w:rsidRPr="00942B3C" w:rsidRDefault="00863B2B" w:rsidP="007A5DD4">
            <w:pPr>
              <w:pStyle w:val="BodyText"/>
              <w:keepNext/>
              <w:keepLines/>
              <w:spacing w:after="0"/>
              <w:jc w:val="center"/>
              <w:rPr>
                <w:b/>
                <w:sz w:val="20"/>
              </w:rPr>
            </w:pPr>
            <w:r w:rsidRPr="00942B3C">
              <w:rPr>
                <w:b/>
                <w:sz w:val="20"/>
                <w:u w:val="single"/>
              </w:rPr>
              <w:t>K-12 Institution</w:t>
            </w:r>
          </w:p>
        </w:tc>
        <w:tc>
          <w:tcPr>
            <w:tcW w:w="3060" w:type="dxa"/>
            <w:shd w:val="clear" w:color="auto" w:fill="auto"/>
            <w:vAlign w:val="bottom"/>
          </w:tcPr>
          <w:p w:rsidR="00863B2B" w:rsidRPr="00942B3C" w:rsidRDefault="00863B2B" w:rsidP="007A5DD4">
            <w:pPr>
              <w:pStyle w:val="BodyText"/>
              <w:keepNext/>
              <w:keepLines/>
              <w:spacing w:after="0"/>
              <w:jc w:val="center"/>
              <w:rPr>
                <w:b/>
                <w:sz w:val="20"/>
              </w:rPr>
            </w:pPr>
            <w:r>
              <w:rPr>
                <w:b/>
                <w:sz w:val="20"/>
              </w:rPr>
              <w:t xml:space="preserve">Series </w:t>
            </w:r>
            <w:r w:rsidR="00480C95">
              <w:rPr>
                <w:b/>
                <w:sz w:val="20"/>
              </w:rPr>
              <w:t>2020R</w:t>
            </w:r>
            <w:r w:rsidRPr="00942B3C">
              <w:rPr>
                <w:b/>
                <w:sz w:val="20"/>
              </w:rPr>
              <w:t xml:space="preserve"> Project</w:t>
            </w:r>
          </w:p>
          <w:p w:rsidR="00863B2B" w:rsidRPr="00942B3C" w:rsidRDefault="00863B2B" w:rsidP="007A5DD4">
            <w:pPr>
              <w:pStyle w:val="BodyText"/>
              <w:keepNext/>
              <w:keepLines/>
              <w:spacing w:after="0"/>
              <w:jc w:val="center"/>
              <w:rPr>
                <w:b/>
                <w:sz w:val="20"/>
              </w:rPr>
            </w:pPr>
            <w:r w:rsidRPr="00942B3C">
              <w:rPr>
                <w:b/>
                <w:sz w:val="20"/>
                <w:u w:val="single"/>
              </w:rPr>
              <w:t>Description</w:t>
            </w:r>
          </w:p>
        </w:tc>
        <w:tc>
          <w:tcPr>
            <w:tcW w:w="1710" w:type="dxa"/>
            <w:shd w:val="clear" w:color="auto" w:fill="auto"/>
            <w:vAlign w:val="bottom"/>
          </w:tcPr>
          <w:p w:rsidR="00863B2B" w:rsidRPr="00942B3C" w:rsidRDefault="00863B2B" w:rsidP="007A5DD4">
            <w:pPr>
              <w:pStyle w:val="BodyText"/>
              <w:keepNext/>
              <w:keepLines/>
              <w:spacing w:after="0"/>
              <w:ind w:left="-208" w:right="-308"/>
              <w:jc w:val="center"/>
              <w:rPr>
                <w:b/>
                <w:sz w:val="20"/>
              </w:rPr>
            </w:pPr>
            <w:r w:rsidRPr="00942B3C">
              <w:rPr>
                <w:b/>
                <w:sz w:val="20"/>
              </w:rPr>
              <w:t>Matching</w:t>
            </w:r>
          </w:p>
          <w:p w:rsidR="00863B2B" w:rsidRPr="00942B3C" w:rsidRDefault="00863B2B" w:rsidP="007A5DD4">
            <w:pPr>
              <w:pStyle w:val="BodyText"/>
              <w:keepNext/>
              <w:keepLines/>
              <w:spacing w:after="0"/>
              <w:ind w:left="-208" w:right="-308"/>
              <w:jc w:val="center"/>
              <w:rPr>
                <w:b/>
                <w:sz w:val="20"/>
                <w:u w:val="single"/>
              </w:rPr>
            </w:pPr>
            <w:r w:rsidRPr="00942B3C">
              <w:rPr>
                <w:b/>
                <w:sz w:val="20"/>
                <w:u w:val="single"/>
              </w:rPr>
              <w:t>Moneys</w:t>
            </w:r>
            <w:r w:rsidR="00966F37">
              <w:rPr>
                <w:b/>
                <w:sz w:val="20"/>
                <w:vertAlign w:val="superscript"/>
              </w:rPr>
              <w:t>1</w:t>
            </w:r>
          </w:p>
        </w:tc>
        <w:tc>
          <w:tcPr>
            <w:tcW w:w="1710" w:type="dxa"/>
            <w:shd w:val="clear" w:color="auto" w:fill="auto"/>
            <w:vAlign w:val="bottom"/>
          </w:tcPr>
          <w:p w:rsidR="00863B2B" w:rsidRPr="00942B3C" w:rsidRDefault="00863B2B" w:rsidP="007A5DD4">
            <w:pPr>
              <w:pStyle w:val="BodyText"/>
              <w:keepNext/>
              <w:keepLines/>
              <w:spacing w:after="0"/>
              <w:ind w:left="-108" w:right="-108"/>
              <w:jc w:val="center"/>
              <w:rPr>
                <w:b/>
                <w:sz w:val="20"/>
                <w:u w:val="single"/>
              </w:rPr>
            </w:pPr>
            <w:r w:rsidRPr="00942B3C">
              <w:rPr>
                <w:b/>
                <w:sz w:val="20"/>
              </w:rPr>
              <w:t>Total</w:t>
            </w:r>
            <w:r w:rsidRPr="00942B3C">
              <w:rPr>
                <w:b/>
                <w:sz w:val="20"/>
              </w:rPr>
              <w:br/>
            </w:r>
            <w:r w:rsidRPr="00942B3C">
              <w:rPr>
                <w:b/>
                <w:sz w:val="20"/>
                <w:u w:val="single"/>
              </w:rPr>
              <w:t>Project Cost</w:t>
            </w:r>
          </w:p>
        </w:tc>
      </w:tr>
      <w:tr w:rsidR="009B5D91" w:rsidTr="00B21DA1">
        <w:tc>
          <w:tcPr>
            <w:tcW w:w="2970" w:type="dxa"/>
            <w:shd w:val="clear" w:color="auto" w:fill="auto"/>
          </w:tcPr>
          <w:p w:rsidR="009B5D91" w:rsidRDefault="00BA5E10" w:rsidP="007A5DD4">
            <w:pPr>
              <w:pStyle w:val="BodyText"/>
              <w:keepNext/>
              <w:keepLines/>
              <w:spacing w:after="0"/>
              <w:ind w:right="92"/>
              <w:jc w:val="left"/>
              <w:rPr>
                <w:sz w:val="20"/>
              </w:rPr>
            </w:pPr>
            <w:r>
              <w:rPr>
                <w:sz w:val="20"/>
              </w:rPr>
              <w:t>Johnstown-Milliken RE-5J</w:t>
            </w:r>
          </w:p>
          <w:p w:rsidR="00AD71DB" w:rsidRDefault="00AD71DB" w:rsidP="007A5DD4">
            <w:pPr>
              <w:pStyle w:val="BodyText"/>
              <w:keepNext/>
              <w:keepLines/>
              <w:spacing w:after="0"/>
              <w:ind w:right="92"/>
              <w:jc w:val="left"/>
              <w:rPr>
                <w:sz w:val="20"/>
              </w:rPr>
            </w:pPr>
          </w:p>
        </w:tc>
        <w:tc>
          <w:tcPr>
            <w:tcW w:w="3060" w:type="dxa"/>
            <w:shd w:val="clear" w:color="auto" w:fill="auto"/>
          </w:tcPr>
          <w:p w:rsidR="00AF52CB" w:rsidRDefault="00082CA8" w:rsidP="00AF52CB">
            <w:pPr>
              <w:pStyle w:val="BodyText"/>
              <w:keepNext/>
              <w:keepLines/>
              <w:spacing w:after="0"/>
              <w:ind w:right="86"/>
              <w:jc w:val="left"/>
              <w:rPr>
                <w:sz w:val="20"/>
                <w:szCs w:val="20"/>
              </w:rPr>
            </w:pPr>
            <w:r>
              <w:rPr>
                <w:sz w:val="20"/>
                <w:szCs w:val="20"/>
              </w:rPr>
              <w:t xml:space="preserve">New </w:t>
            </w:r>
            <w:r w:rsidR="009B5D91">
              <w:rPr>
                <w:sz w:val="20"/>
                <w:szCs w:val="20"/>
              </w:rPr>
              <w:t xml:space="preserve"> E</w:t>
            </w:r>
            <w:r w:rsidR="00AD71DB">
              <w:rPr>
                <w:sz w:val="20"/>
                <w:szCs w:val="20"/>
              </w:rPr>
              <w:t xml:space="preserve">lementary </w:t>
            </w:r>
            <w:r w:rsidR="009B5D91">
              <w:rPr>
                <w:sz w:val="20"/>
                <w:szCs w:val="20"/>
              </w:rPr>
              <w:t>S</w:t>
            </w:r>
            <w:r w:rsidR="00AD71DB">
              <w:rPr>
                <w:sz w:val="20"/>
                <w:szCs w:val="20"/>
              </w:rPr>
              <w:t>chool</w:t>
            </w:r>
            <w:r w:rsidR="009B5D91">
              <w:rPr>
                <w:sz w:val="20"/>
                <w:szCs w:val="20"/>
              </w:rPr>
              <w:t xml:space="preserve"> Replacement</w:t>
            </w:r>
          </w:p>
          <w:p w:rsidR="00AC0456" w:rsidRPr="00C86D4A" w:rsidRDefault="00BA5E10" w:rsidP="00AF52CB">
            <w:pPr>
              <w:pStyle w:val="BodyText"/>
              <w:keepNext/>
              <w:keepLines/>
              <w:spacing w:after="160"/>
              <w:ind w:right="86"/>
              <w:jc w:val="left"/>
              <w:rPr>
                <w:sz w:val="20"/>
                <w:szCs w:val="20"/>
              </w:rPr>
            </w:pPr>
            <w:r>
              <w:rPr>
                <w:sz w:val="20"/>
                <w:szCs w:val="20"/>
              </w:rPr>
              <w:t>80,000</w:t>
            </w:r>
            <w:r w:rsidR="00082CA8">
              <w:rPr>
                <w:sz w:val="20"/>
                <w:szCs w:val="20"/>
              </w:rPr>
              <w:t xml:space="preserve"> SF w/ </w:t>
            </w:r>
            <w:r>
              <w:rPr>
                <w:sz w:val="20"/>
                <w:szCs w:val="20"/>
              </w:rPr>
              <w:t>40</w:t>
            </w:r>
            <w:r w:rsidR="00AD71DB">
              <w:rPr>
                <w:sz w:val="20"/>
                <w:szCs w:val="20"/>
              </w:rPr>
              <w:t xml:space="preserve"> classrooms</w:t>
            </w:r>
          </w:p>
        </w:tc>
        <w:tc>
          <w:tcPr>
            <w:tcW w:w="1710" w:type="dxa"/>
            <w:shd w:val="clear" w:color="auto" w:fill="auto"/>
          </w:tcPr>
          <w:p w:rsidR="009B5D91" w:rsidRDefault="00BA5E10" w:rsidP="00AC0456">
            <w:pPr>
              <w:pStyle w:val="BodyText"/>
              <w:keepNext/>
              <w:keepLines/>
              <w:tabs>
                <w:tab w:val="decimal" w:pos="972"/>
              </w:tabs>
              <w:spacing w:after="0"/>
              <w:jc w:val="right"/>
              <w:rPr>
                <w:sz w:val="20"/>
              </w:rPr>
            </w:pPr>
            <w:r>
              <w:rPr>
                <w:sz w:val="20"/>
              </w:rPr>
              <w:t>$24,553,305</w:t>
            </w:r>
          </w:p>
        </w:tc>
        <w:tc>
          <w:tcPr>
            <w:tcW w:w="1710" w:type="dxa"/>
            <w:shd w:val="clear" w:color="auto" w:fill="auto"/>
          </w:tcPr>
          <w:p w:rsidR="009B5D91" w:rsidRPr="00831B6B" w:rsidRDefault="00BA5E10" w:rsidP="00AC0456">
            <w:pPr>
              <w:pStyle w:val="BodyText"/>
              <w:keepNext/>
              <w:keepLines/>
              <w:tabs>
                <w:tab w:val="decimal" w:pos="1062"/>
              </w:tabs>
              <w:spacing w:after="0"/>
              <w:ind w:right="-8"/>
              <w:jc w:val="right"/>
              <w:rPr>
                <w:sz w:val="20"/>
              </w:rPr>
            </w:pPr>
            <w:r>
              <w:rPr>
                <w:sz w:val="20"/>
              </w:rPr>
              <w:t>$34,101,813</w:t>
            </w:r>
          </w:p>
        </w:tc>
      </w:tr>
      <w:tr w:rsidR="00863B2B" w:rsidTr="00B21DA1">
        <w:tc>
          <w:tcPr>
            <w:tcW w:w="2970" w:type="dxa"/>
            <w:shd w:val="clear" w:color="auto" w:fill="auto"/>
          </w:tcPr>
          <w:p w:rsidR="00863B2B" w:rsidRDefault="00863B2B" w:rsidP="007A5DD4">
            <w:pPr>
              <w:pStyle w:val="BodyText"/>
              <w:keepNext/>
              <w:keepLines/>
              <w:spacing w:after="0"/>
              <w:ind w:right="92"/>
              <w:jc w:val="left"/>
              <w:rPr>
                <w:sz w:val="20"/>
              </w:rPr>
            </w:pPr>
            <w:bookmarkStart w:id="24" w:name="_Hlk273352889"/>
          </w:p>
          <w:p w:rsidR="00863B2B" w:rsidRPr="00942B3C" w:rsidRDefault="00082CA8" w:rsidP="009D566A">
            <w:pPr>
              <w:pStyle w:val="BodyText"/>
              <w:keepNext/>
              <w:keepLines/>
              <w:spacing w:after="0"/>
              <w:ind w:right="92"/>
              <w:jc w:val="left"/>
              <w:rPr>
                <w:sz w:val="20"/>
              </w:rPr>
            </w:pPr>
            <w:r>
              <w:rPr>
                <w:sz w:val="20"/>
              </w:rPr>
              <w:t xml:space="preserve">Pueblo </w:t>
            </w:r>
            <w:r w:rsidR="009D566A">
              <w:rPr>
                <w:sz w:val="20"/>
              </w:rPr>
              <w:t>School District</w:t>
            </w:r>
            <w:r>
              <w:rPr>
                <w:sz w:val="20"/>
              </w:rPr>
              <w:t xml:space="preserve"> </w:t>
            </w:r>
            <w:r w:rsidR="009D566A">
              <w:rPr>
                <w:sz w:val="20"/>
              </w:rPr>
              <w:t xml:space="preserve">No. </w:t>
            </w:r>
            <w:r>
              <w:rPr>
                <w:sz w:val="20"/>
              </w:rPr>
              <w:t>60</w:t>
            </w:r>
          </w:p>
        </w:tc>
        <w:tc>
          <w:tcPr>
            <w:tcW w:w="3060" w:type="dxa"/>
            <w:shd w:val="clear" w:color="auto" w:fill="auto"/>
          </w:tcPr>
          <w:p w:rsidR="00863B2B" w:rsidRDefault="00AC0456" w:rsidP="007A5DD4">
            <w:pPr>
              <w:pStyle w:val="BodyText"/>
              <w:keepNext/>
              <w:keepLines/>
              <w:spacing w:after="0"/>
              <w:ind w:right="92"/>
              <w:jc w:val="left"/>
              <w:rPr>
                <w:sz w:val="20"/>
                <w:szCs w:val="20"/>
              </w:rPr>
            </w:pPr>
            <w:r>
              <w:rPr>
                <w:sz w:val="20"/>
                <w:szCs w:val="20"/>
              </w:rPr>
              <w:t xml:space="preserve">New </w:t>
            </w:r>
            <w:r w:rsidR="00082CA8">
              <w:rPr>
                <w:sz w:val="20"/>
                <w:szCs w:val="20"/>
              </w:rPr>
              <w:t>Elementary School</w:t>
            </w:r>
            <w:r w:rsidR="00863B2B" w:rsidRPr="00C86D4A">
              <w:rPr>
                <w:sz w:val="20"/>
                <w:szCs w:val="20"/>
              </w:rPr>
              <w:t xml:space="preserve"> </w:t>
            </w:r>
          </w:p>
          <w:p w:rsidR="00863B2B" w:rsidRDefault="00FE3F0A" w:rsidP="007A5DD4">
            <w:pPr>
              <w:pStyle w:val="BodyText"/>
              <w:keepNext/>
              <w:keepLines/>
              <w:spacing w:after="0"/>
              <w:ind w:right="92"/>
              <w:jc w:val="left"/>
              <w:rPr>
                <w:sz w:val="20"/>
                <w:szCs w:val="20"/>
              </w:rPr>
            </w:pPr>
            <w:r>
              <w:rPr>
                <w:sz w:val="20"/>
                <w:szCs w:val="20"/>
              </w:rPr>
              <w:t>56</w:t>
            </w:r>
            <w:r w:rsidR="00082CA8">
              <w:rPr>
                <w:sz w:val="20"/>
                <w:szCs w:val="20"/>
              </w:rPr>
              <w:t xml:space="preserve">,000 </w:t>
            </w:r>
            <w:r w:rsidR="00863B2B" w:rsidRPr="00C86D4A">
              <w:rPr>
                <w:sz w:val="20"/>
                <w:szCs w:val="20"/>
              </w:rPr>
              <w:t>SF w/</w:t>
            </w:r>
            <w:r>
              <w:rPr>
                <w:sz w:val="20"/>
                <w:szCs w:val="20"/>
              </w:rPr>
              <w:t xml:space="preserve"> 24</w:t>
            </w:r>
            <w:r w:rsidR="00863B2B" w:rsidRPr="00C86D4A">
              <w:rPr>
                <w:sz w:val="20"/>
                <w:szCs w:val="20"/>
              </w:rPr>
              <w:t xml:space="preserve"> classrooms</w:t>
            </w:r>
          </w:p>
          <w:p w:rsidR="00863B2B" w:rsidRPr="00C86D4A" w:rsidRDefault="00863B2B" w:rsidP="007A5DD4">
            <w:pPr>
              <w:pStyle w:val="BodyText"/>
              <w:keepNext/>
              <w:keepLines/>
              <w:spacing w:after="0"/>
              <w:ind w:right="92"/>
              <w:jc w:val="left"/>
              <w:rPr>
                <w:sz w:val="20"/>
                <w:szCs w:val="20"/>
              </w:rPr>
            </w:pPr>
          </w:p>
        </w:tc>
        <w:tc>
          <w:tcPr>
            <w:tcW w:w="1710" w:type="dxa"/>
            <w:shd w:val="clear" w:color="auto" w:fill="auto"/>
          </w:tcPr>
          <w:p w:rsidR="00863B2B" w:rsidRPr="00942B3C" w:rsidRDefault="00FE3F0A" w:rsidP="00FE3F0A">
            <w:pPr>
              <w:pStyle w:val="BodyText"/>
              <w:keepNext/>
              <w:keepLines/>
              <w:tabs>
                <w:tab w:val="decimal" w:pos="972"/>
              </w:tabs>
              <w:spacing w:after="0"/>
              <w:jc w:val="right"/>
              <w:rPr>
                <w:sz w:val="20"/>
              </w:rPr>
            </w:pPr>
            <w:r>
              <w:rPr>
                <w:sz w:val="20"/>
              </w:rPr>
              <w:t>6</w:t>
            </w:r>
            <w:r w:rsidR="00082CA8">
              <w:rPr>
                <w:sz w:val="20"/>
              </w:rPr>
              <w:t>,</w:t>
            </w:r>
            <w:r>
              <w:rPr>
                <w:sz w:val="20"/>
              </w:rPr>
              <w:t>277</w:t>
            </w:r>
            <w:r w:rsidR="00082CA8">
              <w:rPr>
                <w:sz w:val="20"/>
              </w:rPr>
              <w:t>,</w:t>
            </w:r>
            <w:r>
              <w:rPr>
                <w:sz w:val="20"/>
              </w:rPr>
              <w:t>513</w:t>
            </w:r>
          </w:p>
        </w:tc>
        <w:tc>
          <w:tcPr>
            <w:tcW w:w="1710" w:type="dxa"/>
            <w:shd w:val="clear" w:color="auto" w:fill="auto"/>
          </w:tcPr>
          <w:p w:rsidR="00863B2B" w:rsidRPr="00831B6B" w:rsidRDefault="00FE3F0A" w:rsidP="00FE3F0A">
            <w:pPr>
              <w:pStyle w:val="BodyText"/>
              <w:keepNext/>
              <w:keepLines/>
              <w:tabs>
                <w:tab w:val="decimal" w:pos="1062"/>
              </w:tabs>
              <w:spacing w:after="0"/>
              <w:ind w:right="-8"/>
              <w:jc w:val="right"/>
              <w:rPr>
                <w:sz w:val="20"/>
              </w:rPr>
            </w:pPr>
            <w:r>
              <w:rPr>
                <w:sz w:val="20"/>
              </w:rPr>
              <w:t>22</w:t>
            </w:r>
            <w:r w:rsidR="00082CA8">
              <w:rPr>
                <w:sz w:val="20"/>
              </w:rPr>
              <w:t>,</w:t>
            </w:r>
            <w:r>
              <w:rPr>
                <w:sz w:val="20"/>
              </w:rPr>
              <w:t>419</w:t>
            </w:r>
            <w:r w:rsidR="00082CA8">
              <w:rPr>
                <w:sz w:val="20"/>
              </w:rPr>
              <w:t>,</w:t>
            </w:r>
            <w:r>
              <w:rPr>
                <w:sz w:val="20"/>
              </w:rPr>
              <w:t>688</w:t>
            </w:r>
          </w:p>
        </w:tc>
      </w:tr>
      <w:tr w:rsidR="00FE3F0A" w:rsidTr="00B21DA1">
        <w:tc>
          <w:tcPr>
            <w:tcW w:w="2970" w:type="dxa"/>
            <w:shd w:val="clear" w:color="auto" w:fill="auto"/>
          </w:tcPr>
          <w:p w:rsidR="00FE3F0A" w:rsidRDefault="00FE3F0A" w:rsidP="009D566A">
            <w:pPr>
              <w:pStyle w:val="BodyText"/>
              <w:keepNext/>
              <w:keepLines/>
              <w:spacing w:after="0"/>
              <w:ind w:right="92"/>
              <w:jc w:val="left"/>
              <w:rPr>
                <w:sz w:val="20"/>
              </w:rPr>
            </w:pPr>
            <w:r>
              <w:rPr>
                <w:sz w:val="20"/>
              </w:rPr>
              <w:t xml:space="preserve">Pueblo </w:t>
            </w:r>
            <w:r w:rsidR="009D566A">
              <w:rPr>
                <w:sz w:val="20"/>
              </w:rPr>
              <w:t>School District No.</w:t>
            </w:r>
            <w:r>
              <w:rPr>
                <w:sz w:val="20"/>
              </w:rPr>
              <w:t xml:space="preserve"> 60</w:t>
            </w:r>
          </w:p>
        </w:tc>
        <w:tc>
          <w:tcPr>
            <w:tcW w:w="3060" w:type="dxa"/>
            <w:shd w:val="clear" w:color="auto" w:fill="auto"/>
          </w:tcPr>
          <w:p w:rsidR="00FE3F0A" w:rsidRDefault="00FE3F0A" w:rsidP="00FE3F0A">
            <w:pPr>
              <w:pStyle w:val="BodyText"/>
              <w:keepNext/>
              <w:keepLines/>
              <w:spacing w:after="0"/>
              <w:ind w:right="92"/>
              <w:jc w:val="left"/>
              <w:rPr>
                <w:sz w:val="20"/>
                <w:szCs w:val="20"/>
              </w:rPr>
            </w:pPr>
            <w:r>
              <w:rPr>
                <w:sz w:val="20"/>
                <w:szCs w:val="20"/>
              </w:rPr>
              <w:t>New Elementary School</w:t>
            </w:r>
            <w:r w:rsidRPr="00C86D4A">
              <w:rPr>
                <w:sz w:val="20"/>
                <w:szCs w:val="20"/>
              </w:rPr>
              <w:t xml:space="preserve"> </w:t>
            </w:r>
          </w:p>
          <w:p w:rsidR="00FE3F0A" w:rsidRDefault="00FE3F0A" w:rsidP="00FE3F0A">
            <w:pPr>
              <w:pStyle w:val="BodyText"/>
              <w:keepNext/>
              <w:keepLines/>
              <w:spacing w:after="0"/>
              <w:ind w:right="92"/>
              <w:jc w:val="left"/>
              <w:rPr>
                <w:sz w:val="20"/>
                <w:szCs w:val="20"/>
              </w:rPr>
            </w:pPr>
            <w:r>
              <w:rPr>
                <w:sz w:val="20"/>
                <w:szCs w:val="20"/>
              </w:rPr>
              <w:t xml:space="preserve">56,000 </w:t>
            </w:r>
            <w:r w:rsidRPr="00C86D4A">
              <w:rPr>
                <w:sz w:val="20"/>
                <w:szCs w:val="20"/>
              </w:rPr>
              <w:t>SF w/</w:t>
            </w:r>
            <w:r>
              <w:rPr>
                <w:sz w:val="20"/>
                <w:szCs w:val="20"/>
              </w:rPr>
              <w:t xml:space="preserve"> 24</w:t>
            </w:r>
            <w:r w:rsidRPr="00C86D4A">
              <w:rPr>
                <w:sz w:val="20"/>
                <w:szCs w:val="20"/>
              </w:rPr>
              <w:t xml:space="preserve"> classrooms</w:t>
            </w:r>
          </w:p>
          <w:p w:rsidR="00FE3F0A" w:rsidRDefault="00FE3F0A" w:rsidP="007A5DD4">
            <w:pPr>
              <w:pStyle w:val="BodyText"/>
              <w:keepNext/>
              <w:keepLines/>
              <w:spacing w:after="0"/>
              <w:ind w:right="92"/>
              <w:jc w:val="left"/>
              <w:rPr>
                <w:sz w:val="20"/>
                <w:szCs w:val="20"/>
              </w:rPr>
            </w:pPr>
          </w:p>
        </w:tc>
        <w:tc>
          <w:tcPr>
            <w:tcW w:w="1710" w:type="dxa"/>
            <w:shd w:val="clear" w:color="auto" w:fill="auto"/>
          </w:tcPr>
          <w:p w:rsidR="00FE3F0A" w:rsidRDefault="004920DD" w:rsidP="00FE3F0A">
            <w:pPr>
              <w:pStyle w:val="BodyText"/>
              <w:keepNext/>
              <w:keepLines/>
              <w:tabs>
                <w:tab w:val="decimal" w:pos="972"/>
              </w:tabs>
              <w:spacing w:after="0"/>
              <w:jc w:val="right"/>
              <w:rPr>
                <w:sz w:val="20"/>
              </w:rPr>
            </w:pPr>
            <w:r>
              <w:rPr>
                <w:sz w:val="20"/>
              </w:rPr>
              <w:t>6,203,953</w:t>
            </w:r>
          </w:p>
        </w:tc>
        <w:tc>
          <w:tcPr>
            <w:tcW w:w="1710" w:type="dxa"/>
            <w:shd w:val="clear" w:color="auto" w:fill="auto"/>
          </w:tcPr>
          <w:p w:rsidR="00FE3F0A" w:rsidRDefault="00FE3F0A" w:rsidP="00FE3F0A">
            <w:pPr>
              <w:pStyle w:val="BodyText"/>
              <w:keepNext/>
              <w:keepLines/>
              <w:tabs>
                <w:tab w:val="decimal" w:pos="1062"/>
              </w:tabs>
              <w:spacing w:after="0"/>
              <w:ind w:right="-8"/>
              <w:jc w:val="right"/>
              <w:rPr>
                <w:sz w:val="20"/>
              </w:rPr>
            </w:pPr>
            <w:r>
              <w:rPr>
                <w:sz w:val="20"/>
              </w:rPr>
              <w:t>22,156,976</w:t>
            </w:r>
          </w:p>
        </w:tc>
      </w:tr>
      <w:tr w:rsidR="00863B2B" w:rsidTr="00B21DA1">
        <w:tc>
          <w:tcPr>
            <w:tcW w:w="2970" w:type="dxa"/>
            <w:shd w:val="clear" w:color="auto" w:fill="auto"/>
          </w:tcPr>
          <w:p w:rsidR="00863B2B" w:rsidRDefault="00B21DA1" w:rsidP="0028599E">
            <w:pPr>
              <w:pStyle w:val="BodyText"/>
              <w:keepNext/>
              <w:keepLines/>
              <w:spacing w:after="0"/>
              <w:ind w:right="92"/>
              <w:jc w:val="left"/>
              <w:rPr>
                <w:sz w:val="20"/>
              </w:rPr>
            </w:pPr>
            <w:r>
              <w:rPr>
                <w:sz w:val="20"/>
              </w:rPr>
              <w:t xml:space="preserve">Springfield </w:t>
            </w:r>
            <w:r w:rsidR="0066604A">
              <w:rPr>
                <w:sz w:val="20"/>
              </w:rPr>
              <w:t>School District</w:t>
            </w:r>
            <w:r w:rsidR="00082CA8">
              <w:rPr>
                <w:sz w:val="20"/>
              </w:rPr>
              <w:t xml:space="preserve"> </w:t>
            </w:r>
            <w:r w:rsidR="0028401F">
              <w:rPr>
                <w:sz w:val="20"/>
              </w:rPr>
              <w:t xml:space="preserve">No. </w:t>
            </w:r>
            <w:r w:rsidR="00082CA8">
              <w:rPr>
                <w:sz w:val="20"/>
              </w:rPr>
              <w:t>RE-4</w:t>
            </w:r>
          </w:p>
          <w:p w:rsidR="00863B2B" w:rsidRPr="00942B3C" w:rsidRDefault="00863B2B" w:rsidP="0028599E">
            <w:pPr>
              <w:pStyle w:val="BodyText"/>
              <w:keepNext/>
              <w:keepLines/>
              <w:spacing w:after="0"/>
              <w:ind w:right="92"/>
              <w:jc w:val="left"/>
              <w:rPr>
                <w:sz w:val="20"/>
              </w:rPr>
            </w:pPr>
          </w:p>
        </w:tc>
        <w:tc>
          <w:tcPr>
            <w:tcW w:w="3060" w:type="dxa"/>
            <w:shd w:val="clear" w:color="auto" w:fill="auto"/>
          </w:tcPr>
          <w:p w:rsidR="00863B2B" w:rsidRPr="00C86D4A" w:rsidRDefault="00082CA8" w:rsidP="0028599E">
            <w:pPr>
              <w:pStyle w:val="BodyText"/>
              <w:keepNext/>
              <w:keepLines/>
              <w:spacing w:after="0"/>
              <w:ind w:right="92"/>
              <w:jc w:val="left"/>
              <w:rPr>
                <w:sz w:val="20"/>
                <w:szCs w:val="20"/>
              </w:rPr>
            </w:pPr>
            <w:r>
              <w:rPr>
                <w:sz w:val="20"/>
                <w:szCs w:val="20"/>
              </w:rPr>
              <w:t>Renovation of High School with addition of PK-8</w:t>
            </w:r>
          </w:p>
          <w:p w:rsidR="00863B2B" w:rsidRDefault="006A6C83" w:rsidP="0028599E">
            <w:pPr>
              <w:pStyle w:val="BodyText"/>
              <w:keepNext/>
              <w:keepLines/>
              <w:spacing w:after="0"/>
              <w:ind w:right="92"/>
              <w:jc w:val="left"/>
              <w:rPr>
                <w:sz w:val="20"/>
                <w:szCs w:val="20"/>
              </w:rPr>
            </w:pPr>
            <w:r>
              <w:rPr>
                <w:sz w:val="20"/>
                <w:szCs w:val="20"/>
              </w:rPr>
              <w:t>New 80,683</w:t>
            </w:r>
            <w:r w:rsidR="00863B2B">
              <w:rPr>
                <w:sz w:val="20"/>
                <w:szCs w:val="20"/>
              </w:rPr>
              <w:t xml:space="preserve"> </w:t>
            </w:r>
            <w:r w:rsidR="00863B2B" w:rsidRPr="00C86D4A">
              <w:rPr>
                <w:sz w:val="20"/>
                <w:szCs w:val="20"/>
              </w:rPr>
              <w:t>SF w/</w:t>
            </w:r>
            <w:r>
              <w:rPr>
                <w:sz w:val="20"/>
                <w:szCs w:val="20"/>
              </w:rPr>
              <w:t>32</w:t>
            </w:r>
            <w:r w:rsidR="00863B2B" w:rsidRPr="00C86D4A">
              <w:rPr>
                <w:sz w:val="20"/>
                <w:szCs w:val="20"/>
              </w:rPr>
              <w:t xml:space="preserve"> classrooms</w:t>
            </w:r>
          </w:p>
          <w:p w:rsidR="00863B2B" w:rsidRPr="00C86D4A" w:rsidRDefault="00863B2B" w:rsidP="0028599E">
            <w:pPr>
              <w:pStyle w:val="BodyText"/>
              <w:keepNext/>
              <w:keepLines/>
              <w:spacing w:after="0"/>
              <w:ind w:right="92"/>
              <w:jc w:val="left"/>
              <w:rPr>
                <w:sz w:val="20"/>
                <w:szCs w:val="20"/>
              </w:rPr>
            </w:pPr>
          </w:p>
        </w:tc>
        <w:tc>
          <w:tcPr>
            <w:tcW w:w="1710" w:type="dxa"/>
            <w:shd w:val="clear" w:color="auto" w:fill="auto"/>
          </w:tcPr>
          <w:p w:rsidR="00863B2B" w:rsidRPr="00942B3C" w:rsidRDefault="006A6C83" w:rsidP="00863B2B">
            <w:pPr>
              <w:pStyle w:val="BodyText"/>
              <w:keepNext/>
              <w:keepLines/>
              <w:tabs>
                <w:tab w:val="decimal" w:pos="972"/>
              </w:tabs>
              <w:spacing w:after="0"/>
              <w:jc w:val="right"/>
              <w:rPr>
                <w:sz w:val="20"/>
              </w:rPr>
            </w:pPr>
            <w:r>
              <w:rPr>
                <w:sz w:val="20"/>
              </w:rPr>
              <w:t>5,990,000</w:t>
            </w:r>
          </w:p>
        </w:tc>
        <w:tc>
          <w:tcPr>
            <w:tcW w:w="1710" w:type="dxa"/>
            <w:shd w:val="clear" w:color="auto" w:fill="auto"/>
          </w:tcPr>
          <w:p w:rsidR="00863B2B" w:rsidRPr="00831B6B" w:rsidRDefault="006A6C83" w:rsidP="00863B2B">
            <w:pPr>
              <w:pStyle w:val="BodyText"/>
              <w:keepNext/>
              <w:keepLines/>
              <w:tabs>
                <w:tab w:val="decimal" w:pos="1062"/>
              </w:tabs>
              <w:spacing w:after="0"/>
              <w:ind w:right="-8"/>
              <w:jc w:val="right"/>
              <w:rPr>
                <w:sz w:val="20"/>
              </w:rPr>
            </w:pPr>
            <w:r>
              <w:rPr>
                <w:sz w:val="20"/>
              </w:rPr>
              <w:t>40,144,782</w:t>
            </w:r>
          </w:p>
        </w:tc>
      </w:tr>
      <w:bookmarkEnd w:id="24"/>
      <w:tr w:rsidR="00863B2B" w:rsidTr="00B21DA1">
        <w:tc>
          <w:tcPr>
            <w:tcW w:w="2970" w:type="dxa"/>
            <w:shd w:val="clear" w:color="auto" w:fill="auto"/>
          </w:tcPr>
          <w:p w:rsidR="00863B2B" w:rsidRPr="00942B3C" w:rsidRDefault="00863B2B" w:rsidP="0028599E">
            <w:pPr>
              <w:pStyle w:val="BodyText"/>
              <w:keepNext/>
              <w:keepLines/>
              <w:spacing w:after="0"/>
              <w:ind w:right="92"/>
              <w:jc w:val="left"/>
              <w:rPr>
                <w:sz w:val="20"/>
              </w:rPr>
            </w:pPr>
            <w:r w:rsidRPr="00942B3C">
              <w:rPr>
                <w:sz w:val="20"/>
              </w:rPr>
              <w:t>Total</w:t>
            </w:r>
          </w:p>
        </w:tc>
        <w:tc>
          <w:tcPr>
            <w:tcW w:w="3060" w:type="dxa"/>
            <w:shd w:val="clear" w:color="auto" w:fill="auto"/>
          </w:tcPr>
          <w:p w:rsidR="00863B2B" w:rsidRPr="00942B3C" w:rsidRDefault="00863B2B" w:rsidP="0028599E">
            <w:pPr>
              <w:pStyle w:val="BodyText"/>
              <w:keepNext/>
              <w:keepLines/>
              <w:spacing w:after="0"/>
              <w:ind w:right="92"/>
              <w:jc w:val="left"/>
              <w:rPr>
                <w:sz w:val="20"/>
              </w:rPr>
            </w:pPr>
          </w:p>
        </w:tc>
        <w:tc>
          <w:tcPr>
            <w:tcW w:w="1710" w:type="dxa"/>
            <w:shd w:val="clear" w:color="auto" w:fill="auto"/>
            <w:vAlign w:val="center"/>
          </w:tcPr>
          <w:p w:rsidR="00863B2B" w:rsidRPr="00942B3C" w:rsidRDefault="006A6C83" w:rsidP="000A6530">
            <w:pPr>
              <w:pStyle w:val="BodyText"/>
              <w:keepNext/>
              <w:keepLines/>
              <w:tabs>
                <w:tab w:val="decimal" w:pos="972"/>
              </w:tabs>
              <w:spacing w:after="0"/>
              <w:jc w:val="right"/>
              <w:rPr>
                <w:sz w:val="20"/>
              </w:rPr>
            </w:pPr>
            <w:r>
              <w:rPr>
                <w:sz w:val="20"/>
              </w:rPr>
              <w:t>$43,024,771</w:t>
            </w:r>
          </w:p>
        </w:tc>
        <w:tc>
          <w:tcPr>
            <w:tcW w:w="1710" w:type="dxa"/>
            <w:shd w:val="clear" w:color="auto" w:fill="auto"/>
            <w:vAlign w:val="center"/>
          </w:tcPr>
          <w:p w:rsidR="00863B2B" w:rsidRPr="00942B3C" w:rsidRDefault="00863B2B" w:rsidP="00232028">
            <w:pPr>
              <w:pStyle w:val="BodyText"/>
              <w:keepNext/>
              <w:keepLines/>
              <w:tabs>
                <w:tab w:val="decimal" w:pos="1062"/>
              </w:tabs>
              <w:spacing w:after="0"/>
              <w:ind w:right="-8"/>
              <w:jc w:val="right"/>
              <w:rPr>
                <w:sz w:val="20"/>
              </w:rPr>
            </w:pPr>
            <w:r>
              <w:rPr>
                <w:sz w:val="20"/>
              </w:rPr>
              <w:t>$</w:t>
            </w:r>
            <w:r w:rsidR="006A6C83">
              <w:rPr>
                <w:sz w:val="20"/>
              </w:rPr>
              <w:t>118,823,259</w:t>
            </w:r>
          </w:p>
        </w:tc>
      </w:tr>
    </w:tbl>
    <w:p w:rsidR="00520E5D" w:rsidRPr="008E459C" w:rsidRDefault="00520E5D" w:rsidP="00520E5D">
      <w:pPr>
        <w:pStyle w:val="OStablenotes"/>
        <w:keepNext w:val="0"/>
        <w:spacing w:before="80" w:after="0"/>
        <w:rPr>
          <w:spacing w:val="-3"/>
        </w:rPr>
      </w:pPr>
      <w:r>
        <w:rPr>
          <w:spacing w:val="-3"/>
        </w:rPr>
        <w:t>________________________</w:t>
      </w:r>
    </w:p>
    <w:p w:rsidR="00863B2B" w:rsidRDefault="007A5DD4" w:rsidP="004B2DCB">
      <w:pPr>
        <w:pStyle w:val="OStablenotes"/>
        <w:keepNext w:val="0"/>
        <w:spacing w:before="80" w:after="80"/>
        <w:rPr>
          <w:b/>
          <w:szCs w:val="16"/>
        </w:rPr>
      </w:pPr>
      <w:r w:rsidRPr="004B2DCB">
        <w:rPr>
          <w:szCs w:val="16"/>
          <w:vertAlign w:val="superscript"/>
        </w:rPr>
        <w:t>1</w:t>
      </w:r>
      <w:r w:rsidR="00863B2B" w:rsidRPr="004B2DCB">
        <w:rPr>
          <w:szCs w:val="16"/>
        </w:rPr>
        <w:tab/>
        <w:t xml:space="preserve">The respective amounts shown on this chart as Matching Moneys are required to be funded as described in Appendix G hereto by the related Series </w:t>
      </w:r>
      <w:r w:rsidR="00480C95">
        <w:rPr>
          <w:szCs w:val="16"/>
        </w:rPr>
        <w:t>2020R</w:t>
      </w:r>
      <w:r w:rsidR="00863B2B" w:rsidRPr="004B2DCB">
        <w:rPr>
          <w:szCs w:val="16"/>
        </w:rPr>
        <w:t xml:space="preserve"> Participating K-12 Institution and are to be deposited into the Assistance Fund when received.  See the form of </w:t>
      </w:r>
      <w:r w:rsidR="00480C95">
        <w:rPr>
          <w:szCs w:val="16"/>
        </w:rPr>
        <w:t>2020R</w:t>
      </w:r>
      <w:r w:rsidR="00863B2B" w:rsidRPr="004B2DCB">
        <w:rPr>
          <w:szCs w:val="16"/>
        </w:rPr>
        <w:t xml:space="preserve"> Sublease </w:t>
      </w:r>
      <w:r w:rsidR="00A06786">
        <w:rPr>
          <w:szCs w:val="16"/>
        </w:rPr>
        <w:t>“</w:t>
      </w:r>
      <w:r w:rsidR="00863B2B" w:rsidRPr="004B2DCB">
        <w:rPr>
          <w:szCs w:val="16"/>
        </w:rPr>
        <w:t>– Costs of Sublessee</w:t>
      </w:r>
      <w:r w:rsidR="00A06786">
        <w:rPr>
          <w:szCs w:val="16"/>
        </w:rPr>
        <w:t>’</w:t>
      </w:r>
      <w:r w:rsidR="00863B2B" w:rsidRPr="004B2DCB">
        <w:rPr>
          <w:szCs w:val="16"/>
        </w:rPr>
        <w:t>s Project</w:t>
      </w:r>
      <w:r w:rsidR="00A06786">
        <w:rPr>
          <w:szCs w:val="16"/>
        </w:rPr>
        <w:t>”</w:t>
      </w:r>
      <w:r w:rsidR="00863B2B" w:rsidRPr="004B2DCB">
        <w:rPr>
          <w:szCs w:val="16"/>
        </w:rPr>
        <w:t xml:space="preserve"> in Appendix B attached hereto.  </w:t>
      </w:r>
      <w:r w:rsidR="00863B2B" w:rsidRPr="00D30499">
        <w:rPr>
          <w:b/>
          <w:szCs w:val="16"/>
        </w:rPr>
        <w:t xml:space="preserve">Matching Moneys and other amounts deposited in the Assistance Fund do not directly secure payment of the Series </w:t>
      </w:r>
      <w:r w:rsidR="00480C95">
        <w:rPr>
          <w:b/>
          <w:szCs w:val="16"/>
        </w:rPr>
        <w:t>2020R</w:t>
      </w:r>
      <w:r w:rsidR="00863B2B" w:rsidRPr="00D30499">
        <w:rPr>
          <w:b/>
          <w:szCs w:val="16"/>
        </w:rPr>
        <w:t xml:space="preserve"> Certificates.  Once Matching Moneys are deposited in the Assistance Fund, such amounts, together with other amounts on deposit in the Assistance Fund, are available to be appropriated by the Colorado General Assembly to pay principal and interest on the Series </w:t>
      </w:r>
      <w:r w:rsidR="00480C95">
        <w:rPr>
          <w:b/>
          <w:szCs w:val="16"/>
        </w:rPr>
        <w:t>2020R</w:t>
      </w:r>
      <w:r w:rsidR="00863B2B" w:rsidRPr="00D30499">
        <w:rPr>
          <w:b/>
          <w:szCs w:val="16"/>
        </w:rPr>
        <w:t xml:space="preserve"> Certificates or for other purposes permitted by the Act, including, without limitation, defraying the cost of Projects or projects that are not financed with Certificates.  See Appendix G for a description of the Assistance Fund.</w:t>
      </w:r>
    </w:p>
    <w:p w:rsidR="00F27774" w:rsidRDefault="00F27774" w:rsidP="00DE0F4F"/>
    <w:p w:rsidR="002832DB" w:rsidRPr="003F4EE4" w:rsidRDefault="002832DB" w:rsidP="00863B2B">
      <w:pPr>
        <w:pStyle w:val="BodyText1"/>
      </w:pPr>
      <w:r w:rsidRPr="001B01CC">
        <w:t xml:space="preserve">Under the </w:t>
      </w:r>
      <w:r w:rsidR="00480C95">
        <w:t>2020R</w:t>
      </w:r>
      <w:r w:rsidRPr="001B01CC">
        <w:t xml:space="preserve"> Subleases, the Series </w:t>
      </w:r>
      <w:r w:rsidR="00480C95">
        <w:t>2020R</w:t>
      </w:r>
      <w:r w:rsidRPr="001B01CC">
        <w:t xml:space="preserve"> Participating K-12 Institutions will agree to construct and use the respective Series </w:t>
      </w:r>
      <w:r w:rsidR="00480C95">
        <w:t>2020R</w:t>
      </w:r>
      <w:r w:rsidRPr="001B01CC">
        <w:t xml:space="preserve"> Projects in a manner which satisfies the restrictions of the </w:t>
      </w:r>
      <w:r w:rsidR="00557115">
        <w:t xml:space="preserve">Tax </w:t>
      </w:r>
      <w:r w:rsidRPr="001B01CC">
        <w:t xml:space="preserve">Code and the Act.  In accordance with the terms of the </w:t>
      </w:r>
      <w:r w:rsidR="00480C95">
        <w:t>2020R</w:t>
      </w:r>
      <w:r w:rsidRPr="001B01CC">
        <w:t xml:space="preserve"> Subleases between the State and the Series </w:t>
      </w:r>
      <w:r w:rsidR="00480C95">
        <w:t>2020R</w:t>
      </w:r>
      <w:r w:rsidRPr="001B01CC">
        <w:t xml:space="preserve"> Participating K-12 Institutions, each of the Series </w:t>
      </w:r>
      <w:r w:rsidR="00480C95">
        <w:t>2020R</w:t>
      </w:r>
      <w:r w:rsidRPr="001B01CC">
        <w:t xml:space="preserve"> Participating K-12 Institutions agrees to construct the respective facilities.  In accordance with the </w:t>
      </w:r>
      <w:r w:rsidR="00480C95">
        <w:t>2020R</w:t>
      </w:r>
      <w:r w:rsidRPr="001B01CC">
        <w:t xml:space="preserve"> Lease, the State has agreed to cause such Projects to be constructed by causing a Series </w:t>
      </w:r>
      <w:r w:rsidR="00480C95">
        <w:t>2020R</w:t>
      </w:r>
      <w:r w:rsidRPr="001B01CC">
        <w:t xml:space="preserve"> Participating K-12 Institution to comply with its related </w:t>
      </w:r>
      <w:r w:rsidR="00480C95">
        <w:t>2020R</w:t>
      </w:r>
      <w:r w:rsidRPr="001B01CC">
        <w:t xml:space="preserve"> Sublease, but no failure of the related Series </w:t>
      </w:r>
      <w:r w:rsidR="00480C95">
        <w:t>2020R</w:t>
      </w:r>
      <w:r w:rsidRPr="001B01CC">
        <w:t xml:space="preserve"> Participating K-12 Institution to comply with the relevant provisions of its </w:t>
      </w:r>
      <w:r w:rsidR="00480C95">
        <w:t>2020R</w:t>
      </w:r>
      <w:r w:rsidRPr="001B01CC">
        <w:t xml:space="preserve"> Sublease will relieve the State of its obligation to cause the facilities to be constructed.  See </w:t>
      </w:r>
      <w:r w:rsidR="00A06786">
        <w:t>“</w:t>
      </w:r>
      <w:r w:rsidRPr="001B01CC">
        <w:t xml:space="preserve">SECURITY AND SOURCES OF PAYMENT – The Leased Property – The </w:t>
      </w:r>
      <w:r w:rsidR="00480C95">
        <w:t>2020R</w:t>
      </w:r>
      <w:r w:rsidRPr="001B01CC">
        <w:t xml:space="preserve"> Subleases and Matching Moneys</w:t>
      </w:r>
      <w:r w:rsidR="00A06786">
        <w:t>”</w:t>
      </w:r>
      <w:r w:rsidRPr="001B01CC">
        <w:t xml:space="preserve"> and </w:t>
      </w:r>
      <w:r w:rsidR="00A06786">
        <w:t>“</w:t>
      </w:r>
      <w:r w:rsidRPr="001B01CC">
        <w:t xml:space="preserve">CERTAIN RISK FACTORS – Actions under the </w:t>
      </w:r>
      <w:r w:rsidR="00480C95">
        <w:t>2020R</w:t>
      </w:r>
      <w:r w:rsidRPr="001B01CC">
        <w:t xml:space="preserve"> Subleases.</w:t>
      </w:r>
      <w:r w:rsidR="00A06786">
        <w:t>”</w:t>
      </w:r>
    </w:p>
    <w:p w:rsidR="006123A1" w:rsidRDefault="006123A1" w:rsidP="00DE0F4F">
      <w:pPr>
        <w:pStyle w:val="Heading1"/>
      </w:pPr>
      <w:bookmarkStart w:id="25" w:name="_Toc56668354"/>
      <w:r>
        <w:t xml:space="preserve">THE SERIES </w:t>
      </w:r>
      <w:r w:rsidR="00480C95">
        <w:t>2020R</w:t>
      </w:r>
      <w:r>
        <w:t xml:space="preserve"> CERTIFICATES</w:t>
      </w:r>
      <w:bookmarkEnd w:id="25"/>
    </w:p>
    <w:p w:rsidR="006123A1" w:rsidRDefault="006123A1" w:rsidP="00DE0F4F">
      <w:pPr>
        <w:pStyle w:val="BodyText1"/>
      </w:pPr>
      <w:r>
        <w:t xml:space="preserve">The following is a summary of certain provisions of the Series </w:t>
      </w:r>
      <w:r w:rsidR="00480C95">
        <w:t>2020R</w:t>
      </w:r>
      <w:r>
        <w:t xml:space="preserve"> Certificates during such time as the Series </w:t>
      </w:r>
      <w:r w:rsidR="00480C95">
        <w:t>2020R</w:t>
      </w:r>
      <w:r>
        <w:t xml:space="preserve"> Certificates are subject to the DTC book-entry system.  Reference is hereby made to the Master Indenture</w:t>
      </w:r>
      <w:r w:rsidR="002324E1">
        <w:t xml:space="preserve"> and</w:t>
      </w:r>
      <w:r>
        <w:t xml:space="preserve"> the </w:t>
      </w:r>
      <w:r w:rsidR="00480C95">
        <w:t>2020R</w:t>
      </w:r>
      <w:r>
        <w:t xml:space="preserve"> Supplemental Indenture, the forms of which are appended to this Official Statement, for the detailed provisions pertaining to the Series </w:t>
      </w:r>
      <w:r w:rsidR="00480C95">
        <w:t>2020R</w:t>
      </w:r>
      <w:r>
        <w:t xml:space="preserve"> Certificates, including provisions applicable in the event of the discontinuance of participation in the DTC book-entry system.</w:t>
      </w:r>
    </w:p>
    <w:p w:rsidR="006123A1" w:rsidRDefault="006123A1" w:rsidP="00DE0F4F">
      <w:pPr>
        <w:pStyle w:val="Heading2"/>
        <w:keepNext/>
      </w:pPr>
      <w:bookmarkStart w:id="26" w:name="_Toc56668355"/>
      <w:r>
        <w:t>Generally</w:t>
      </w:r>
      <w:bookmarkEnd w:id="26"/>
    </w:p>
    <w:p w:rsidR="006123A1" w:rsidRDefault="006123A1" w:rsidP="00DE0F4F">
      <w:pPr>
        <w:pStyle w:val="BodyText1"/>
        <w:keepNext/>
      </w:pPr>
      <w:r>
        <w:t xml:space="preserve">The Series </w:t>
      </w:r>
      <w:r w:rsidR="00480C95">
        <w:t>2020R</w:t>
      </w:r>
      <w:r>
        <w:t xml:space="preserve"> Certificates are being executed and delivered under authority granted by the laws of the State, including specifically the Act, and pursuant to the Indenture.</w:t>
      </w:r>
    </w:p>
    <w:p w:rsidR="006123A1" w:rsidRDefault="006123A1" w:rsidP="00107A5A">
      <w:pPr>
        <w:pStyle w:val="BodyText1"/>
      </w:pPr>
      <w:r>
        <w:t xml:space="preserve">The </w:t>
      </w:r>
      <w:r w:rsidR="00480C95">
        <w:t>2020R</w:t>
      </w:r>
      <w:r>
        <w:t xml:space="preserve"> Certificates will be dated the Closing Date, will mature on the dates and in the principal amounts set forth on the inside front cover of this Official Statement and will be subject to optional, mandatory and extraordinary redemption prior to maturity as described in </w:t>
      </w:r>
      <w:r w:rsidR="00A06786">
        <w:t>“</w:t>
      </w:r>
      <w:r>
        <w:t>Redemption Prior to Maturity</w:t>
      </w:r>
      <w:r w:rsidR="00A06786">
        <w:t>”</w:t>
      </w:r>
      <w:r>
        <w:t xml:space="preserve"> in this section.</w:t>
      </w:r>
    </w:p>
    <w:p w:rsidR="006123A1" w:rsidRDefault="006123A1" w:rsidP="00107A5A">
      <w:pPr>
        <w:pStyle w:val="BodyText1"/>
      </w:pPr>
      <w:r>
        <w:t xml:space="preserve">Interest on the Series </w:t>
      </w:r>
      <w:r w:rsidR="00480C95">
        <w:t>2020R</w:t>
      </w:r>
      <w:r>
        <w:t xml:space="preserve"> Certificates, at the rates per annum (calculated on the basis of a 360 day year of twelve 30 day months) set forth on the inside front cover of this Official Statement, will accrue from the Closing Date through the maturity or prior redemption dates of the Series </w:t>
      </w:r>
      <w:r w:rsidR="00480C95">
        <w:t>2020R</w:t>
      </w:r>
      <w:r>
        <w:t xml:space="preserve"> Certificates and will be payable semiannually on each March 15 and Septemb</w:t>
      </w:r>
      <w:r w:rsidR="00DE0F4F">
        <w:t>er 15, commencing March 15, 2021</w:t>
      </w:r>
      <w:r>
        <w:t>.</w:t>
      </w:r>
    </w:p>
    <w:p w:rsidR="006123A1" w:rsidRDefault="006123A1" w:rsidP="003A3DD0">
      <w:pPr>
        <w:pStyle w:val="Heading2"/>
      </w:pPr>
      <w:bookmarkStart w:id="27" w:name="_Toc56668356"/>
      <w:r>
        <w:t>DTC Book-Entry System</w:t>
      </w:r>
      <w:bookmarkEnd w:id="27"/>
    </w:p>
    <w:p w:rsidR="006123A1" w:rsidRDefault="006123A1" w:rsidP="00107A5A">
      <w:pPr>
        <w:pStyle w:val="BodyText1"/>
      </w:pPr>
      <w:r>
        <w:t xml:space="preserve">The Series </w:t>
      </w:r>
      <w:r w:rsidR="00480C95">
        <w:t>2020R</w:t>
      </w:r>
      <w:r>
        <w:t xml:space="preserve"> Certificates will be in fully registered form (</w:t>
      </w:r>
      <w:r w:rsidRPr="00107A5A">
        <w:rPr>
          <w:i/>
        </w:rPr>
        <w:t>i.e.</w:t>
      </w:r>
      <w:r>
        <w:t xml:space="preserve">, registered as to payment of both principal and interest) and will be registered initially in the name of Cede &amp; Co., as nominee of DTC, which will serve as securities depository for the Series </w:t>
      </w:r>
      <w:r w:rsidR="00480C95">
        <w:t>2020R</w:t>
      </w:r>
      <w:r>
        <w:t xml:space="preserve"> Certificates.  Beneficial Ownership Interests in the Series </w:t>
      </w:r>
      <w:r w:rsidR="00480C95">
        <w:t>2020R</w:t>
      </w:r>
      <w:r>
        <w:t xml:space="preserve"> Certificates, in non-certificated book-entry only form, may be purchased in authorized denominations of $5,000 or any integral multiple thereof by or through DTC Participants.  Beneficial Ownership Interests will be recorded in the name of the Beneficial Owners on the books of the DTC Participants from whom they are acquired, and transfers of such Beneficial Ownership Interests will be accomplished by entries made on the books of the DTC Participants acting on behalf of the Beneficial Owners.  References herein to the Owners of the Certificates mean Cede &amp; Co. or such other nominee as may be designated by DTC, and not the Beneficial Owners.  For a more detailed description of the DTC book-entry system, see </w:t>
      </w:r>
      <w:r w:rsidR="00A06786">
        <w:t>“</w:t>
      </w:r>
      <w:r>
        <w:t>APPENDIX K – DTC BOOK-ENTRY SYSTEM.</w:t>
      </w:r>
      <w:r w:rsidR="00A06786">
        <w:t>”</w:t>
      </w:r>
    </w:p>
    <w:p w:rsidR="006123A1" w:rsidRDefault="006123A1" w:rsidP="00107A5A">
      <w:pPr>
        <w:pStyle w:val="BodyText1"/>
      </w:pPr>
      <w:r>
        <w:t xml:space="preserve">Principal and interest payments with respect to the Series </w:t>
      </w:r>
      <w:r w:rsidR="00480C95">
        <w:t>2020R</w:t>
      </w:r>
      <w:r>
        <w:t xml:space="preserve"> Certificates will be payable by the Trustee, as paying agent for the Series </w:t>
      </w:r>
      <w:r w:rsidR="00480C95">
        <w:t>2020R</w:t>
      </w:r>
      <w:r>
        <w:t xml:space="preserve"> Certificates, to Cede &amp; Co., as the Owner of the Series </w:t>
      </w:r>
      <w:r w:rsidR="00480C95">
        <w:t>2020R</w:t>
      </w:r>
      <w:r>
        <w:t xml:space="preserve"> Certificates, for subsequent credit to the accounts of the Beneficial Owners as discussed in </w:t>
      </w:r>
      <w:r w:rsidR="00A06786">
        <w:t>“</w:t>
      </w:r>
      <w:r>
        <w:t>APPENDIX K – DTC BOOK-ENTRY SYSTEM.</w:t>
      </w:r>
      <w:r w:rsidR="00A06786">
        <w:t>”</w:t>
      </w:r>
    </w:p>
    <w:p w:rsidR="006123A1" w:rsidRPr="00107A5A" w:rsidRDefault="006123A1" w:rsidP="00107A5A">
      <w:pPr>
        <w:pStyle w:val="BodyText1"/>
        <w:rPr>
          <w:i/>
        </w:rPr>
      </w:pPr>
      <w:r w:rsidRPr="00107A5A">
        <w:rPr>
          <w:i/>
        </w:rPr>
        <w:t xml:space="preserve">None of the Trustee, the State or the Underwriters has any responsibility or obligation to any Beneficial Owner with respect to (1) the accuracy of any records maintained by DTC or any DTC Participant, (2) the distribution by DTC or any DTC Participant of any notice that is permitted or required to be given to the Owners of the Series </w:t>
      </w:r>
      <w:r w:rsidR="00480C95">
        <w:rPr>
          <w:i/>
        </w:rPr>
        <w:t>2020R</w:t>
      </w:r>
      <w:r w:rsidRPr="00107A5A">
        <w:rPr>
          <w:i/>
        </w:rPr>
        <w:t xml:space="preserve"> Certificates under the Indenture, (3) the payment by DTC or any DTC Participant of any amount received under the Indenture with respect to the Series </w:t>
      </w:r>
      <w:r w:rsidR="00480C95">
        <w:rPr>
          <w:i/>
        </w:rPr>
        <w:t>2020R</w:t>
      </w:r>
      <w:r w:rsidRPr="00107A5A">
        <w:rPr>
          <w:i/>
        </w:rPr>
        <w:t xml:space="preserve"> Certificates, (4) any consent given or other action taken by DTC or its nominee as the Owner of the Series </w:t>
      </w:r>
      <w:r w:rsidR="00480C95">
        <w:rPr>
          <w:i/>
        </w:rPr>
        <w:t>2020R</w:t>
      </w:r>
      <w:r w:rsidRPr="00107A5A">
        <w:rPr>
          <w:i/>
        </w:rPr>
        <w:t xml:space="preserve"> Certificates or (5) any other related matter.</w:t>
      </w:r>
    </w:p>
    <w:p w:rsidR="006123A1" w:rsidRDefault="006123A1" w:rsidP="003A3DD0">
      <w:pPr>
        <w:pStyle w:val="Heading2"/>
      </w:pPr>
      <w:bookmarkStart w:id="28" w:name="_Toc56668357"/>
      <w:r>
        <w:t>Redemption Prior to Maturity</w:t>
      </w:r>
      <w:bookmarkEnd w:id="28"/>
    </w:p>
    <w:p w:rsidR="006123A1" w:rsidRDefault="00F27774" w:rsidP="00107A5A">
      <w:pPr>
        <w:pStyle w:val="BodyText1"/>
      </w:pPr>
      <w:r>
        <w:rPr>
          <w:b/>
          <w:i/>
        </w:rPr>
        <w:t>Extraordinary Redemption u</w:t>
      </w:r>
      <w:r w:rsidR="006123A1" w:rsidRPr="00107A5A">
        <w:rPr>
          <w:b/>
          <w:i/>
        </w:rPr>
        <w:t>pon the Occurrence of an Event of Nonappropriation or an Event of Default</w:t>
      </w:r>
      <w:r w:rsidR="006123A1">
        <w:t xml:space="preserve">.  The Series </w:t>
      </w:r>
      <w:r w:rsidR="00480C95">
        <w:t>2020R</w:t>
      </w:r>
      <w:r w:rsidR="006123A1">
        <w:t xml:space="preserve"> Certificates and all other outstanding Certificates are subject to redemption in whole, on such date as the Trustee may determine to be in the best interest of the Owners, upon the occurrence of an Event of Nonappropriation or the occurrence and continuation of an Event of Default under any Leases, at a redemption price equal to the lesser of: (i) the principal amount of the Series </w:t>
      </w:r>
      <w:r w:rsidR="00480C95">
        <w:t>2020R</w:t>
      </w:r>
      <w:r w:rsidR="006123A1">
        <w:t xml:space="preserve"> Certificates and all other outstanding Certificates (with no premium) plus accrued interest, if any, to the redemption date, or (ii) the sum of (A) the amount, if any, received by the Trustee from the exercise of remedies under the Leases with respect to the Event of Nonappropriation or the occurrence and continuation of the Event of Default under any Lease that gave rise to such redemption</w:t>
      </w:r>
      <w:r w:rsidR="00F559B8">
        <w:t>,</w:t>
      </w:r>
      <w:r w:rsidR="006123A1">
        <w:t xml:space="preserve"> and (B) the other amounts available in the Trust Estate for payment of the redemption price of the Series </w:t>
      </w:r>
      <w:r w:rsidR="00480C95">
        <w:t>2020R</w:t>
      </w:r>
      <w:r w:rsidR="006123A1">
        <w:t xml:space="preserve"> Certificates and all other outstanding Certificates that are subject to redemption upon the occurrence of an Event of Nonappropriation or the occurrence and continuation of an Event of Default under any Lease, which amounts are to be allocated among the Series </w:t>
      </w:r>
      <w:r w:rsidR="00480C95">
        <w:t>2020R</w:t>
      </w:r>
      <w:r w:rsidR="006123A1">
        <w:t xml:space="preserve"> Certificates and all other Certificates that are subject to redemption upon the occurrence of an Event of Nonappropriation or the occurrence and continuation of an Event of Default under any Lease in proportion to the principal amount of each such Certificate, provided that available moneys in any Sinking Fund Account for each Series of Qualified School Construction Certificates are to be allocated only among Certificates with the same Series designation as such Sinking Fund Account.  </w:t>
      </w:r>
      <w:r w:rsidR="006123A1" w:rsidRPr="00AF52CB">
        <w:rPr>
          <w:b/>
        </w:rPr>
        <w:t>The payment of such redemption price of any Certificate pursuant to the related supplemental indenture will be deemed to be the payment in full of such Certificate, and no Owner of any Certificate redeemed pursuant to this redemption provision will have any right to any payment from the Trustee or the State in excess of such redemption price.</w:t>
      </w:r>
    </w:p>
    <w:p w:rsidR="006123A1" w:rsidRDefault="006123A1" w:rsidP="00107A5A">
      <w:pPr>
        <w:pStyle w:val="BodyText1"/>
      </w:pPr>
      <w:r>
        <w:t>In addition to any other notice required to be given under the Indenture, immediately upon the occurrence of an Event of Nonappropriation or an Event of Default under any Lease, the Trustee is to notify the Owners of the Certificates that are subject to redemption upon the occurrence and continuation of an Event of Nonappropriation or the occurrence and continuation of an Event of Default under such Lease (i)</w:t>
      </w:r>
      <w:r w:rsidR="00F559B8">
        <w:t> </w:t>
      </w:r>
      <w:r>
        <w:t>that such event has occurred</w:t>
      </w:r>
      <w:r w:rsidR="00F559B8">
        <w:t>,</w:t>
      </w:r>
      <w:r>
        <w:t xml:space="preserve"> and (ii) whether or not the funds then available to it for such purpose are sufficient to pay the redemption price thereof.  If the funds then available to the Trustee are sufficient to pay the redemption price, such redemption price is to be paid as soon as possible.  If the funds then available to the Trustee are not sufficient to pay the redemption price of the C</w:t>
      </w:r>
      <w:r w:rsidR="00F27774">
        <w:t>ertificates, the Trustee is to (a) </w:t>
      </w:r>
      <w:r>
        <w:t>immediately pay the portion of the redemption price that can be paid from the funds available, net of any funds which, in the judgment of the Trustee, should be set aside to pursue remedies under the Leases, (b) subject to the applicable provisions of the Indenture, immediately begin to exercise and diligently pursue all remedies available to it under the Leases in connection with such Event of Nonappropriation or an Event of Default</w:t>
      </w:r>
      <w:r w:rsidR="00F559B8">
        <w:t>,</w:t>
      </w:r>
      <w:r>
        <w:t xml:space="preserve"> and (c) pay the remainder of the redemption price, if any, if and when funds become available to the Trustee from the exercise of such remedies.</w:t>
      </w:r>
    </w:p>
    <w:p w:rsidR="006123A1" w:rsidRDefault="006123A1" w:rsidP="00107A5A">
      <w:pPr>
        <w:pStyle w:val="BodyText1"/>
      </w:pPr>
      <w:r w:rsidRPr="00107A5A">
        <w:rPr>
          <w:b/>
          <w:i/>
        </w:rPr>
        <w:t xml:space="preserve">Optional Redemption of the Series </w:t>
      </w:r>
      <w:r w:rsidR="00480C95">
        <w:rPr>
          <w:b/>
          <w:i/>
        </w:rPr>
        <w:t>2020R</w:t>
      </w:r>
      <w:r w:rsidRPr="00107A5A">
        <w:rPr>
          <w:b/>
          <w:i/>
        </w:rPr>
        <w:t xml:space="preserve"> Certificates</w:t>
      </w:r>
      <w:r w:rsidR="00D71B53">
        <w:t xml:space="preserve">.  The Series </w:t>
      </w:r>
      <w:r w:rsidR="00480C95">
        <w:t>2020R</w:t>
      </w:r>
      <w:r>
        <w:t xml:space="preserve"> Certificates are subject to redemption at the option of the State, in whole or in part and if in part in Authorized Denominations from the remaining maturities bearing interest at the same rates designated by the State and by lot within any remaining maturity bearing interest at the same rate designated for redemption, on any</w:t>
      </w:r>
      <w:r w:rsidR="00D71B53">
        <w:t xml:space="preserve"> </w:t>
      </w:r>
      <w:r w:rsidR="00E40397">
        <w:t>date on and after March 15, 2031</w:t>
      </w:r>
      <w:r>
        <w:t>, at a redemption price equal to the prin</w:t>
      </w:r>
      <w:r w:rsidR="00D71B53">
        <w:t xml:space="preserve">cipal amount of the Series </w:t>
      </w:r>
      <w:r w:rsidR="00480C95">
        <w:t>2020R</w:t>
      </w:r>
      <w:r>
        <w:t xml:space="preserve"> Certificates to be redeemed (with no premium), plus accrued interest to the redemption date.</w:t>
      </w:r>
    </w:p>
    <w:p w:rsidR="006123A1" w:rsidRDefault="006123A1" w:rsidP="00107A5A">
      <w:pPr>
        <w:pStyle w:val="BodyText1"/>
      </w:pPr>
      <w:r w:rsidRPr="00107A5A">
        <w:rPr>
          <w:b/>
          <w:i/>
        </w:rPr>
        <w:t>Notice of Redemption</w:t>
      </w:r>
      <w:r>
        <w:t>.  Notice of the call for any redemption, identifying the Certificates or portions thereof to be redeemed and specifying the terms of such redemption, is to be given by the Trustee by mailing a copy of the redemption notice by United States first class mail at least 30 days prior to the date fixed for redemption, and to the Owner of each Certificate to be redeemed at the address shown on the registration books; provided, however, that failure to give such notice by mailing, or any defect therein, will not affect the validity of any proceedings of any Certificates as to which no such failure has occurred.  Any notice mailed as provided in the Indenture will be conclusively presumed to have been duly given whether or not the Owner receives the notice.  If at the time of mailing of notice of redemption there has not have been deposited with the Trustee moneys sufficient to redeem all the Certificates called for redemption, which moneys are or will be available for redemption of Certificates, such notice will state that it is conditional upon the deposit of the redemption moneys with the Trustee not later than the redemption date, and such notice will be of no effect unless such moneys are so deposited.</w:t>
      </w:r>
    </w:p>
    <w:p w:rsidR="006123A1" w:rsidRDefault="006123A1" w:rsidP="00107A5A">
      <w:pPr>
        <w:pStyle w:val="BodyText1"/>
      </w:pPr>
      <w:r w:rsidRPr="00107A5A">
        <w:rPr>
          <w:b/>
          <w:i/>
        </w:rPr>
        <w:t>Redemption Payments</w:t>
      </w:r>
      <w:r>
        <w:t xml:space="preserve">.  On or prior to the date fixed for redemption, the Trustee is required to apply funds to the payment of the Series </w:t>
      </w:r>
      <w:r w:rsidR="00480C95">
        <w:t>2020R</w:t>
      </w:r>
      <w:r>
        <w:t xml:space="preserve"> Certificates called for redemption.  The Trustee is required to pay to the Owners of Series </w:t>
      </w:r>
      <w:r w:rsidR="00480C95">
        <w:t>2020R</w:t>
      </w:r>
      <w:r>
        <w:t xml:space="preserve"> Certificates so redeemed (initially Cede &amp; Co.) the amounts due on the Series </w:t>
      </w:r>
      <w:r w:rsidR="00480C95">
        <w:t>2020R</w:t>
      </w:r>
      <w:r>
        <w:t xml:space="preserve"> Certificates at the Operation Center of the Trustee upon presentation and surrender of the Series </w:t>
      </w:r>
      <w:r w:rsidR="00480C95">
        <w:t>2020R</w:t>
      </w:r>
      <w:r>
        <w:t xml:space="preserve"> Certificates.</w:t>
      </w:r>
    </w:p>
    <w:p w:rsidR="006123A1" w:rsidRDefault="006123A1" w:rsidP="003A3DD0">
      <w:pPr>
        <w:pStyle w:val="Heading1"/>
      </w:pPr>
      <w:bookmarkStart w:id="29" w:name="_Toc56668358"/>
      <w:r>
        <w:t xml:space="preserve">BASE RENT AND SERIES </w:t>
      </w:r>
      <w:r w:rsidR="00480C95">
        <w:t>2020R</w:t>
      </w:r>
      <w:r>
        <w:t xml:space="preserve"> CERTIFICATES PAYMENT SCHEDULE</w:t>
      </w:r>
      <w:bookmarkEnd w:id="29"/>
    </w:p>
    <w:p w:rsidR="006123A1" w:rsidRDefault="006123A1" w:rsidP="00107A5A">
      <w:pPr>
        <w:pStyle w:val="BodyText1"/>
      </w:pPr>
      <w:r>
        <w:t>The following table sets forth the State</w:t>
      </w:r>
      <w:r w:rsidR="00A06786">
        <w:t>’</w:t>
      </w:r>
      <w:r>
        <w:t>s Base Rent obligati</w:t>
      </w:r>
      <w:r w:rsidR="00D71B53">
        <w:t xml:space="preserve">ons in connection with the </w:t>
      </w:r>
      <w:r w:rsidR="00480C95">
        <w:t>2020R</w:t>
      </w:r>
      <w:r>
        <w:t xml:space="preserve"> Lease (which also constitutes the payment schedule for the Series </w:t>
      </w:r>
      <w:r w:rsidR="00480C95">
        <w:t>2020R</w:t>
      </w:r>
      <w:r>
        <w:t xml:space="preserve"> Certificates), as well as the State</w:t>
      </w:r>
      <w:r w:rsidR="00A06786">
        <w:t>’</w:t>
      </w:r>
      <w:r>
        <w:t xml:space="preserve">s aggregate Base Rent obligations in connection with the other Leases to be outstanding following the execution and delivery of the Series </w:t>
      </w:r>
      <w:r w:rsidR="00480C95">
        <w:t>2020R</w:t>
      </w:r>
      <w:r>
        <w:t xml:space="preserve"> Certificates, assuming that all Leases are renewed by the State for the full Lease Term and that there is no prior redemption or defeasance of Certificates other than mandatory sinking fund redemptions.</w:t>
      </w:r>
    </w:p>
    <w:p w:rsidR="00107A5A" w:rsidRPr="004D72DD" w:rsidRDefault="00107A5A" w:rsidP="00107A5A">
      <w:pPr>
        <w:keepNext/>
        <w:jc w:val="center"/>
        <w:rPr>
          <w:b/>
          <w:bCs/>
          <w:sz w:val="20"/>
        </w:rPr>
      </w:pPr>
      <w:r w:rsidRPr="004D72DD">
        <w:rPr>
          <w:b/>
          <w:bCs/>
          <w:sz w:val="20"/>
        </w:rPr>
        <w:t>Base Rent Obligations</w:t>
      </w:r>
    </w:p>
    <w:p w:rsidR="00107A5A" w:rsidRPr="004D72DD" w:rsidRDefault="00107A5A" w:rsidP="00107A5A">
      <w:pPr>
        <w:keepNext/>
        <w:spacing w:after="120"/>
        <w:jc w:val="center"/>
        <w:rPr>
          <w:b/>
          <w:bCs/>
          <w:sz w:val="16"/>
          <w:szCs w:val="16"/>
        </w:rPr>
      </w:pPr>
      <w:r w:rsidRPr="004D72DD">
        <w:rPr>
          <w:b/>
          <w:bCs/>
          <w:sz w:val="16"/>
          <w:szCs w:val="16"/>
        </w:rPr>
        <w:t>(Totals may not add due to rounding)</w:t>
      </w:r>
    </w:p>
    <w:tbl>
      <w:tblPr>
        <w:tblW w:w="6995" w:type="dxa"/>
        <w:jc w:val="center"/>
        <w:tblLayout w:type="fixed"/>
        <w:tblCellMar>
          <w:left w:w="0" w:type="dxa"/>
          <w:right w:w="0" w:type="dxa"/>
        </w:tblCellMar>
        <w:tblLook w:val="01E0" w:firstRow="1" w:lastRow="1" w:firstColumn="1" w:lastColumn="1" w:noHBand="0" w:noVBand="0"/>
      </w:tblPr>
      <w:tblGrid>
        <w:gridCol w:w="1086"/>
        <w:gridCol w:w="1180"/>
        <w:gridCol w:w="1178"/>
        <w:gridCol w:w="1186"/>
        <w:gridCol w:w="1184"/>
        <w:gridCol w:w="1181"/>
      </w:tblGrid>
      <w:tr w:rsidR="00EF5857" w:rsidRPr="004D72DD" w:rsidTr="00EF5857">
        <w:trPr>
          <w:jc w:val="center"/>
        </w:trPr>
        <w:tc>
          <w:tcPr>
            <w:tcW w:w="1086" w:type="dxa"/>
            <w:shd w:val="clear" w:color="auto" w:fill="auto"/>
            <w:vAlign w:val="bottom"/>
          </w:tcPr>
          <w:p w:rsidR="00EF5857" w:rsidRPr="004D72DD" w:rsidRDefault="00EF5857" w:rsidP="00107A5A">
            <w:pPr>
              <w:keepNext/>
              <w:suppressAutoHyphens/>
              <w:jc w:val="center"/>
              <w:rPr>
                <w:b/>
                <w:spacing w:val="-2"/>
                <w:sz w:val="16"/>
                <w:szCs w:val="16"/>
              </w:rPr>
            </w:pPr>
          </w:p>
        </w:tc>
        <w:tc>
          <w:tcPr>
            <w:tcW w:w="2358" w:type="dxa"/>
            <w:gridSpan w:val="2"/>
            <w:shd w:val="clear" w:color="auto" w:fill="auto"/>
            <w:vAlign w:val="bottom"/>
          </w:tcPr>
          <w:p w:rsidR="00EF5857" w:rsidRPr="004D72DD" w:rsidRDefault="00EF5857" w:rsidP="00107A5A">
            <w:pPr>
              <w:pStyle w:val="Centered"/>
              <w:keepNext/>
              <w:suppressAutoHyphens/>
              <w:overflowPunct w:val="0"/>
              <w:autoSpaceDE w:val="0"/>
              <w:autoSpaceDN w:val="0"/>
              <w:adjustRightInd w:val="0"/>
              <w:spacing w:after="0"/>
              <w:textAlignment w:val="baseline"/>
              <w:rPr>
                <w:b/>
                <w:spacing w:val="-2"/>
                <w:sz w:val="16"/>
                <w:szCs w:val="16"/>
              </w:rPr>
            </w:pPr>
            <w:r w:rsidRPr="004D72DD">
              <w:rPr>
                <w:b/>
                <w:spacing w:val="-2"/>
                <w:sz w:val="16"/>
                <w:szCs w:val="16"/>
              </w:rPr>
              <w:t>Base Rent</w:t>
            </w:r>
          </w:p>
          <w:p w:rsidR="00EF5857" w:rsidRPr="004D72DD" w:rsidRDefault="00EF5857" w:rsidP="00EF5857">
            <w:pPr>
              <w:keepNext/>
              <w:suppressAutoHyphens/>
              <w:jc w:val="center"/>
              <w:rPr>
                <w:b/>
                <w:spacing w:val="-2"/>
                <w:sz w:val="16"/>
                <w:szCs w:val="16"/>
                <w:u w:val="single"/>
              </w:rPr>
            </w:pPr>
            <w:r w:rsidRPr="004D72DD">
              <w:rPr>
                <w:b/>
                <w:spacing w:val="-2"/>
                <w:sz w:val="16"/>
                <w:szCs w:val="16"/>
                <w:u w:val="single"/>
              </w:rPr>
              <w:t xml:space="preserve">Series </w:t>
            </w:r>
            <w:r w:rsidR="00480C95">
              <w:rPr>
                <w:b/>
                <w:spacing w:val="-2"/>
                <w:sz w:val="16"/>
                <w:szCs w:val="16"/>
                <w:u w:val="single"/>
              </w:rPr>
              <w:t>2020R</w:t>
            </w:r>
            <w:r w:rsidRPr="004D72DD">
              <w:rPr>
                <w:b/>
                <w:spacing w:val="-2"/>
                <w:sz w:val="16"/>
                <w:szCs w:val="16"/>
                <w:u w:val="single"/>
              </w:rPr>
              <w:t xml:space="preserve"> Certificates</w:t>
            </w:r>
          </w:p>
        </w:tc>
        <w:tc>
          <w:tcPr>
            <w:tcW w:w="1186" w:type="dxa"/>
            <w:shd w:val="clear" w:color="auto" w:fill="auto"/>
            <w:vAlign w:val="bottom"/>
          </w:tcPr>
          <w:p w:rsidR="00EF5857" w:rsidRPr="004D72DD" w:rsidRDefault="00EF5857" w:rsidP="00107A5A">
            <w:pPr>
              <w:keepNext/>
              <w:suppressAutoHyphens/>
              <w:jc w:val="center"/>
              <w:rPr>
                <w:rFonts w:ascii="Times New Roman Bold" w:hAnsi="Times New Roman Bold"/>
                <w:b/>
                <w:sz w:val="16"/>
                <w:szCs w:val="16"/>
              </w:rPr>
            </w:pPr>
            <w:r w:rsidRPr="004D72DD">
              <w:rPr>
                <w:rFonts w:ascii="Times New Roman Bold" w:hAnsi="Times New Roman Bold"/>
                <w:b/>
                <w:sz w:val="16"/>
                <w:szCs w:val="16"/>
              </w:rPr>
              <w:t>Prior</w:t>
            </w:r>
            <w:r w:rsidRPr="004D72DD">
              <w:rPr>
                <w:rFonts w:ascii="Times New Roman Bold" w:hAnsi="Times New Roman Bold"/>
                <w:b/>
                <w:sz w:val="16"/>
                <w:szCs w:val="16"/>
              </w:rPr>
              <w:br/>
              <w:t>Certificates</w:t>
            </w:r>
          </w:p>
        </w:tc>
        <w:tc>
          <w:tcPr>
            <w:tcW w:w="1184" w:type="dxa"/>
            <w:shd w:val="clear" w:color="auto" w:fill="auto"/>
            <w:vAlign w:val="bottom"/>
          </w:tcPr>
          <w:p w:rsidR="00EF5857" w:rsidRPr="004D72DD" w:rsidRDefault="00EF5857" w:rsidP="00107A5A">
            <w:pPr>
              <w:pStyle w:val="Centered"/>
              <w:keepNext/>
              <w:suppressAutoHyphens/>
              <w:overflowPunct w:val="0"/>
              <w:autoSpaceDE w:val="0"/>
              <w:autoSpaceDN w:val="0"/>
              <w:adjustRightInd w:val="0"/>
              <w:spacing w:after="0"/>
              <w:textAlignment w:val="baseline"/>
              <w:rPr>
                <w:b/>
                <w:spacing w:val="-2"/>
                <w:sz w:val="16"/>
                <w:szCs w:val="16"/>
                <w:u w:val="single"/>
              </w:rPr>
            </w:pPr>
            <w:r w:rsidRPr="004D72DD">
              <w:rPr>
                <w:b/>
                <w:spacing w:val="-2"/>
                <w:sz w:val="16"/>
                <w:szCs w:val="16"/>
              </w:rPr>
              <w:t>Less</w:t>
            </w:r>
            <w:r w:rsidRPr="004D72DD">
              <w:rPr>
                <w:b/>
                <w:spacing w:val="-2"/>
                <w:sz w:val="16"/>
                <w:szCs w:val="16"/>
                <w:u w:val="single"/>
              </w:rPr>
              <w:br/>
            </w:r>
            <w:r w:rsidRPr="004D72DD">
              <w:rPr>
                <w:b/>
                <w:spacing w:val="-2"/>
                <w:sz w:val="16"/>
                <w:szCs w:val="16"/>
              </w:rPr>
              <w:t>Anticipated</w:t>
            </w:r>
          </w:p>
        </w:tc>
        <w:tc>
          <w:tcPr>
            <w:tcW w:w="1181" w:type="dxa"/>
            <w:shd w:val="clear" w:color="auto" w:fill="auto"/>
            <w:vAlign w:val="bottom"/>
          </w:tcPr>
          <w:p w:rsidR="00EF5857" w:rsidRPr="004D72DD" w:rsidRDefault="00EF5857" w:rsidP="00107A5A">
            <w:pPr>
              <w:suppressAutoHyphens/>
              <w:jc w:val="center"/>
              <w:rPr>
                <w:b/>
                <w:spacing w:val="-2"/>
                <w:sz w:val="16"/>
                <w:szCs w:val="16"/>
              </w:rPr>
            </w:pPr>
            <w:r w:rsidRPr="004D72DD">
              <w:rPr>
                <w:b/>
                <w:spacing w:val="-2"/>
                <w:sz w:val="16"/>
                <w:szCs w:val="16"/>
              </w:rPr>
              <w:t>Total</w:t>
            </w:r>
            <w:r w:rsidRPr="004D72DD">
              <w:rPr>
                <w:b/>
                <w:spacing w:val="-2"/>
                <w:sz w:val="16"/>
                <w:szCs w:val="16"/>
              </w:rPr>
              <w:br/>
              <w:t>Net</w:t>
            </w:r>
          </w:p>
        </w:tc>
      </w:tr>
      <w:tr w:rsidR="00EF5857" w:rsidRPr="004D72DD" w:rsidTr="00EF5857">
        <w:trPr>
          <w:jc w:val="center"/>
        </w:trPr>
        <w:tc>
          <w:tcPr>
            <w:tcW w:w="1086" w:type="dxa"/>
            <w:shd w:val="clear" w:color="auto" w:fill="auto"/>
            <w:vAlign w:val="bottom"/>
          </w:tcPr>
          <w:p w:rsidR="00EF5857" w:rsidRPr="004D72DD" w:rsidRDefault="00EF5857" w:rsidP="00107A5A">
            <w:pPr>
              <w:keepNext/>
              <w:suppressAutoHyphens/>
              <w:spacing w:after="80"/>
              <w:jc w:val="center"/>
              <w:rPr>
                <w:b/>
                <w:spacing w:val="-2"/>
                <w:sz w:val="16"/>
                <w:szCs w:val="16"/>
              </w:rPr>
            </w:pPr>
            <w:r w:rsidRPr="004D72DD">
              <w:rPr>
                <w:b/>
                <w:spacing w:val="-2"/>
                <w:sz w:val="16"/>
                <w:szCs w:val="16"/>
              </w:rPr>
              <w:t>Fiscal</w:t>
            </w:r>
            <w:r w:rsidRPr="004D72DD">
              <w:rPr>
                <w:b/>
                <w:spacing w:val="-2"/>
                <w:sz w:val="16"/>
                <w:szCs w:val="16"/>
              </w:rPr>
              <w:br/>
              <w:t>Year</w:t>
            </w:r>
            <w:r w:rsidRPr="004D72DD">
              <w:rPr>
                <w:b/>
                <w:spacing w:val="-2"/>
                <w:sz w:val="16"/>
                <w:szCs w:val="16"/>
              </w:rPr>
              <w:br/>
            </w:r>
            <w:r w:rsidRPr="004D72DD">
              <w:rPr>
                <w:b/>
                <w:spacing w:val="-2"/>
                <w:sz w:val="16"/>
                <w:szCs w:val="16"/>
                <w:u w:val="single"/>
              </w:rPr>
              <w:t>(June 30)</w:t>
            </w:r>
          </w:p>
        </w:tc>
        <w:tc>
          <w:tcPr>
            <w:tcW w:w="1180" w:type="dxa"/>
            <w:shd w:val="clear" w:color="auto" w:fill="auto"/>
            <w:vAlign w:val="bottom"/>
          </w:tcPr>
          <w:p w:rsidR="00EF5857" w:rsidRPr="004D72DD" w:rsidRDefault="00EF5857" w:rsidP="00DA3617">
            <w:pPr>
              <w:keepNext/>
              <w:suppressAutoHyphens/>
              <w:spacing w:after="80"/>
              <w:jc w:val="center"/>
              <w:rPr>
                <w:b/>
                <w:spacing w:val="-2"/>
                <w:sz w:val="16"/>
                <w:szCs w:val="16"/>
                <w:u w:val="single"/>
              </w:rPr>
            </w:pPr>
            <w:r w:rsidRPr="004D72DD">
              <w:rPr>
                <w:b/>
                <w:spacing w:val="-2"/>
                <w:sz w:val="16"/>
                <w:szCs w:val="16"/>
              </w:rPr>
              <w:t>Principal</w:t>
            </w:r>
            <w:r w:rsidRPr="004D72DD">
              <w:rPr>
                <w:b/>
                <w:spacing w:val="-2"/>
                <w:sz w:val="16"/>
                <w:szCs w:val="16"/>
              </w:rPr>
              <w:br/>
            </w:r>
            <w:r w:rsidRPr="004D72DD">
              <w:rPr>
                <w:b/>
                <w:spacing w:val="-2"/>
                <w:sz w:val="16"/>
                <w:szCs w:val="16"/>
                <w:u w:val="single"/>
              </w:rPr>
              <w:t>Component</w:t>
            </w:r>
            <w:r w:rsidRPr="004D72DD">
              <w:rPr>
                <w:b/>
                <w:spacing w:val="-2"/>
                <w:sz w:val="16"/>
                <w:szCs w:val="16"/>
                <w:vertAlign w:val="superscript"/>
              </w:rPr>
              <w:t>1</w:t>
            </w:r>
          </w:p>
        </w:tc>
        <w:tc>
          <w:tcPr>
            <w:tcW w:w="1178" w:type="dxa"/>
            <w:shd w:val="clear" w:color="auto" w:fill="auto"/>
            <w:vAlign w:val="bottom"/>
          </w:tcPr>
          <w:p w:rsidR="00EF5857" w:rsidRPr="004D72DD" w:rsidRDefault="00EF5857" w:rsidP="00107A5A">
            <w:pPr>
              <w:keepNext/>
              <w:suppressAutoHyphens/>
              <w:spacing w:after="80"/>
              <w:jc w:val="center"/>
              <w:rPr>
                <w:b/>
                <w:spacing w:val="-2"/>
                <w:sz w:val="16"/>
                <w:szCs w:val="16"/>
                <w:u w:val="single"/>
              </w:rPr>
            </w:pPr>
            <w:r w:rsidRPr="004D72DD">
              <w:rPr>
                <w:b/>
                <w:spacing w:val="-2"/>
                <w:sz w:val="16"/>
                <w:szCs w:val="16"/>
              </w:rPr>
              <w:t>Interest</w:t>
            </w:r>
            <w:r w:rsidRPr="004D72DD">
              <w:rPr>
                <w:b/>
                <w:spacing w:val="-2"/>
                <w:sz w:val="16"/>
                <w:szCs w:val="16"/>
              </w:rPr>
              <w:br/>
            </w:r>
            <w:r w:rsidRPr="004D72DD">
              <w:rPr>
                <w:b/>
                <w:spacing w:val="-2"/>
                <w:sz w:val="16"/>
                <w:szCs w:val="16"/>
                <w:u w:val="single"/>
              </w:rPr>
              <w:t>Component</w:t>
            </w:r>
            <w:r w:rsidRPr="004D72DD">
              <w:rPr>
                <w:b/>
                <w:spacing w:val="-2"/>
                <w:sz w:val="16"/>
                <w:szCs w:val="16"/>
                <w:vertAlign w:val="superscript"/>
              </w:rPr>
              <w:t>1</w:t>
            </w:r>
          </w:p>
        </w:tc>
        <w:tc>
          <w:tcPr>
            <w:tcW w:w="1186" w:type="dxa"/>
            <w:shd w:val="clear" w:color="auto" w:fill="auto"/>
            <w:vAlign w:val="bottom"/>
          </w:tcPr>
          <w:p w:rsidR="00EF5857" w:rsidRPr="004D72DD" w:rsidRDefault="00EF5857" w:rsidP="00107A5A">
            <w:pPr>
              <w:keepNext/>
              <w:suppressAutoHyphens/>
              <w:spacing w:after="80"/>
              <w:jc w:val="center"/>
              <w:rPr>
                <w:b/>
                <w:spacing w:val="-2"/>
                <w:sz w:val="16"/>
                <w:szCs w:val="16"/>
              </w:rPr>
            </w:pPr>
            <w:r w:rsidRPr="004D72DD">
              <w:rPr>
                <w:b/>
                <w:spacing w:val="-2"/>
                <w:sz w:val="16"/>
                <w:szCs w:val="16"/>
              </w:rPr>
              <w:t>Total</w:t>
            </w:r>
            <w:r w:rsidRPr="004D72DD">
              <w:rPr>
                <w:b/>
                <w:spacing w:val="-2"/>
                <w:sz w:val="16"/>
                <w:szCs w:val="16"/>
              </w:rPr>
              <w:br/>
              <w:t>Base</w:t>
            </w:r>
            <w:r w:rsidRPr="004D72DD">
              <w:rPr>
                <w:b/>
                <w:spacing w:val="-2"/>
                <w:sz w:val="16"/>
                <w:szCs w:val="16"/>
                <w:u w:val="single"/>
              </w:rPr>
              <w:t xml:space="preserve"> </w:t>
            </w:r>
            <w:r w:rsidRPr="004D72DD">
              <w:rPr>
                <w:b/>
                <w:spacing w:val="-2"/>
                <w:sz w:val="16"/>
                <w:szCs w:val="16"/>
                <w:u w:val="single"/>
              </w:rPr>
              <w:br/>
              <w:t>Rent</w:t>
            </w:r>
          </w:p>
        </w:tc>
        <w:tc>
          <w:tcPr>
            <w:tcW w:w="1184" w:type="dxa"/>
            <w:shd w:val="clear" w:color="auto" w:fill="auto"/>
            <w:vAlign w:val="bottom"/>
          </w:tcPr>
          <w:p w:rsidR="00EF5857" w:rsidRPr="004D72DD" w:rsidRDefault="00EF5857" w:rsidP="00107A5A">
            <w:pPr>
              <w:pStyle w:val="Centered"/>
              <w:keepNext/>
              <w:suppressAutoHyphens/>
              <w:overflowPunct w:val="0"/>
              <w:autoSpaceDE w:val="0"/>
              <w:autoSpaceDN w:val="0"/>
              <w:adjustRightInd w:val="0"/>
              <w:spacing w:after="80"/>
              <w:textAlignment w:val="baseline"/>
              <w:rPr>
                <w:b/>
                <w:spacing w:val="-2"/>
                <w:sz w:val="16"/>
                <w:szCs w:val="16"/>
              </w:rPr>
            </w:pPr>
            <w:r w:rsidRPr="004D72DD">
              <w:rPr>
                <w:b/>
                <w:spacing w:val="-2"/>
                <w:sz w:val="16"/>
                <w:szCs w:val="16"/>
              </w:rPr>
              <w:t xml:space="preserve">Federal </w:t>
            </w:r>
            <w:r w:rsidRPr="004D72DD">
              <w:rPr>
                <w:b/>
                <w:spacing w:val="-2"/>
                <w:sz w:val="16"/>
                <w:szCs w:val="16"/>
              </w:rPr>
              <w:br/>
              <w:t>Direct</w:t>
            </w:r>
            <w:r w:rsidRPr="004D72DD">
              <w:rPr>
                <w:b/>
                <w:spacing w:val="-2"/>
                <w:sz w:val="16"/>
                <w:szCs w:val="16"/>
                <w:u w:val="single"/>
              </w:rPr>
              <w:br/>
              <w:t>Payments</w:t>
            </w:r>
            <w:r w:rsidRPr="004D72DD">
              <w:rPr>
                <w:b/>
                <w:spacing w:val="-2"/>
                <w:sz w:val="16"/>
                <w:szCs w:val="16"/>
                <w:vertAlign w:val="superscript"/>
              </w:rPr>
              <w:t>2</w:t>
            </w:r>
          </w:p>
        </w:tc>
        <w:tc>
          <w:tcPr>
            <w:tcW w:w="1181" w:type="dxa"/>
            <w:shd w:val="clear" w:color="auto" w:fill="auto"/>
            <w:vAlign w:val="bottom"/>
          </w:tcPr>
          <w:p w:rsidR="00EF5857" w:rsidRPr="004D72DD" w:rsidRDefault="00EF5857" w:rsidP="004D1918">
            <w:pPr>
              <w:suppressAutoHyphens/>
              <w:spacing w:after="80"/>
              <w:jc w:val="center"/>
              <w:rPr>
                <w:b/>
                <w:spacing w:val="-2"/>
                <w:sz w:val="16"/>
                <w:szCs w:val="16"/>
                <w:u w:val="single"/>
              </w:rPr>
            </w:pPr>
            <w:r w:rsidRPr="004D72DD">
              <w:rPr>
                <w:b/>
                <w:spacing w:val="-2"/>
                <w:sz w:val="16"/>
                <w:szCs w:val="16"/>
              </w:rPr>
              <w:t>Base Rent</w:t>
            </w:r>
            <w:r w:rsidRPr="004D72DD">
              <w:rPr>
                <w:b/>
                <w:spacing w:val="-2"/>
                <w:sz w:val="16"/>
                <w:szCs w:val="16"/>
              </w:rPr>
              <w:br/>
              <w:t>for All</w:t>
            </w:r>
            <w:r w:rsidRPr="004D72DD">
              <w:rPr>
                <w:b/>
                <w:spacing w:val="-2"/>
                <w:sz w:val="16"/>
                <w:szCs w:val="16"/>
                <w:u w:val="single"/>
              </w:rPr>
              <w:t xml:space="preserve"> Certificates</w:t>
            </w:r>
          </w:p>
        </w:tc>
      </w:tr>
      <w:tr w:rsidR="00E1056D" w:rsidRPr="004D72DD" w:rsidTr="000A6530">
        <w:trPr>
          <w:jc w:val="center"/>
        </w:trPr>
        <w:tc>
          <w:tcPr>
            <w:tcW w:w="1086" w:type="dxa"/>
            <w:shd w:val="clear" w:color="auto" w:fill="auto"/>
          </w:tcPr>
          <w:p w:rsidR="00E1056D" w:rsidRPr="004D72DD" w:rsidRDefault="00E1056D" w:rsidP="00E1056D">
            <w:pPr>
              <w:keepNext/>
              <w:tabs>
                <w:tab w:val="center" w:pos="1008"/>
                <w:tab w:val="center" w:pos="2448"/>
                <w:tab w:val="center" w:pos="4608"/>
                <w:tab w:val="center" w:pos="6768"/>
                <w:tab w:val="center" w:pos="8208"/>
              </w:tabs>
              <w:suppressAutoHyphens/>
              <w:jc w:val="center"/>
              <w:rPr>
                <w:rFonts w:cs="Times New Roman"/>
                <w:spacing w:val="-2"/>
                <w:sz w:val="16"/>
                <w:szCs w:val="16"/>
              </w:rPr>
            </w:pPr>
            <w:r w:rsidRPr="004D72DD">
              <w:rPr>
                <w:rFonts w:cs="Times New Roman"/>
                <w:spacing w:val="-2"/>
                <w:sz w:val="16"/>
                <w:szCs w:val="16"/>
              </w:rPr>
              <w:t>2021</w:t>
            </w:r>
          </w:p>
        </w:tc>
        <w:tc>
          <w:tcPr>
            <w:tcW w:w="1180" w:type="dxa"/>
            <w:shd w:val="clear" w:color="auto" w:fill="auto"/>
            <w:vAlign w:val="bottom"/>
          </w:tcPr>
          <w:p w:rsidR="00E1056D" w:rsidRPr="00E1056D" w:rsidRDefault="00E1056D" w:rsidP="00E1056D">
            <w:pPr>
              <w:tabs>
                <w:tab w:val="decimal" w:pos="984"/>
              </w:tabs>
              <w:rPr>
                <w:rFonts w:cs="Times New Roman"/>
                <w:sz w:val="16"/>
                <w:szCs w:val="20"/>
              </w:rPr>
            </w:pPr>
            <w:r w:rsidRPr="00E1056D">
              <w:rPr>
                <w:rFonts w:cs="Times New Roman"/>
                <w:sz w:val="16"/>
                <w:szCs w:val="20"/>
              </w:rPr>
              <w:t>$3,465,000</w:t>
            </w:r>
          </w:p>
        </w:tc>
        <w:tc>
          <w:tcPr>
            <w:tcW w:w="1178" w:type="dxa"/>
            <w:shd w:val="clear" w:color="auto" w:fill="auto"/>
            <w:vAlign w:val="bottom"/>
          </w:tcPr>
          <w:p w:rsidR="00E1056D" w:rsidRPr="004D72DD" w:rsidRDefault="004844A4" w:rsidP="00E1056D">
            <w:pPr>
              <w:tabs>
                <w:tab w:val="decimal" w:pos="966"/>
              </w:tabs>
              <w:jc w:val="left"/>
              <w:rPr>
                <w:sz w:val="16"/>
                <w:szCs w:val="16"/>
              </w:rPr>
            </w:pPr>
            <w:r>
              <w:rPr>
                <w:sz w:val="16"/>
                <w:szCs w:val="16"/>
              </w:rPr>
              <w:t>$1,131,253</w:t>
            </w:r>
          </w:p>
        </w:tc>
        <w:tc>
          <w:tcPr>
            <w:tcW w:w="1186" w:type="dxa"/>
            <w:shd w:val="clear" w:color="auto" w:fill="auto"/>
            <w:vAlign w:val="bottom"/>
          </w:tcPr>
          <w:p w:rsidR="00E1056D" w:rsidRPr="00364544" w:rsidRDefault="00E1056D" w:rsidP="00E1056D">
            <w:pPr>
              <w:tabs>
                <w:tab w:val="decimal" w:pos="966"/>
              </w:tabs>
              <w:rPr>
                <w:rFonts w:eastAsia="Times New Roman" w:cs="Times New Roman"/>
                <w:color w:val="000000"/>
                <w:sz w:val="16"/>
              </w:rPr>
            </w:pPr>
            <w:r>
              <w:rPr>
                <w:rFonts w:eastAsia="Times New Roman" w:cs="Times New Roman"/>
                <w:color w:val="000000"/>
                <w:sz w:val="16"/>
              </w:rPr>
              <w:t>$87,714,488</w:t>
            </w:r>
          </w:p>
        </w:tc>
        <w:tc>
          <w:tcPr>
            <w:tcW w:w="1184" w:type="dxa"/>
            <w:shd w:val="clear" w:color="auto" w:fill="auto"/>
            <w:vAlign w:val="bottom"/>
          </w:tcPr>
          <w:p w:rsidR="00E1056D" w:rsidRPr="00600293" w:rsidRDefault="00E1056D" w:rsidP="00E1056D">
            <w:pPr>
              <w:tabs>
                <w:tab w:val="decimal" w:pos="950"/>
              </w:tabs>
              <w:rPr>
                <w:rFonts w:eastAsia="Times New Roman" w:cs="Times New Roman"/>
                <w:color w:val="000000"/>
                <w:sz w:val="16"/>
              </w:rPr>
            </w:pPr>
            <w:r>
              <w:rPr>
                <w:rFonts w:eastAsia="Times New Roman" w:cs="Times New Roman"/>
                <w:color w:val="000000"/>
                <w:sz w:val="16"/>
              </w:rPr>
              <w:t>$(4,867,559</w:t>
            </w:r>
            <w:r w:rsidRPr="00600293">
              <w:rPr>
                <w:rFonts w:eastAsia="Times New Roman" w:cs="Times New Roman"/>
                <w:color w:val="000000"/>
                <w:sz w:val="16"/>
              </w:rPr>
              <w:t>)</w:t>
            </w:r>
          </w:p>
        </w:tc>
        <w:tc>
          <w:tcPr>
            <w:tcW w:w="1181" w:type="dxa"/>
            <w:shd w:val="clear" w:color="auto" w:fill="auto"/>
            <w:vAlign w:val="center"/>
          </w:tcPr>
          <w:p w:rsidR="00E1056D" w:rsidRPr="002D00B9" w:rsidRDefault="001400AF" w:rsidP="00E1056D">
            <w:pPr>
              <w:keepNext/>
              <w:tabs>
                <w:tab w:val="decimal" w:pos="1091"/>
              </w:tabs>
              <w:jc w:val="left"/>
              <w:rPr>
                <w:rFonts w:cs="Times New Roman"/>
                <w:sz w:val="16"/>
                <w:szCs w:val="16"/>
              </w:rPr>
            </w:pPr>
            <w:r>
              <w:rPr>
                <w:rFonts w:cs="Times New Roman"/>
                <w:sz w:val="16"/>
                <w:szCs w:val="16"/>
              </w:rPr>
              <w:t>$87,443,182</w:t>
            </w:r>
          </w:p>
        </w:tc>
      </w:tr>
      <w:tr w:rsidR="00E1056D" w:rsidRPr="004D72DD" w:rsidTr="000A6530">
        <w:trPr>
          <w:jc w:val="center"/>
        </w:trPr>
        <w:tc>
          <w:tcPr>
            <w:tcW w:w="1086" w:type="dxa"/>
            <w:shd w:val="clear" w:color="auto" w:fill="auto"/>
          </w:tcPr>
          <w:p w:rsidR="00E1056D" w:rsidRPr="004D72DD" w:rsidRDefault="00E1056D" w:rsidP="00E1056D">
            <w:pPr>
              <w:keepNext/>
              <w:tabs>
                <w:tab w:val="center" w:pos="1008"/>
                <w:tab w:val="center" w:pos="2448"/>
                <w:tab w:val="center" w:pos="4608"/>
                <w:tab w:val="center" w:pos="6768"/>
                <w:tab w:val="center" w:pos="8208"/>
              </w:tabs>
              <w:suppressAutoHyphens/>
              <w:jc w:val="center"/>
              <w:rPr>
                <w:rFonts w:cs="Times New Roman"/>
                <w:spacing w:val="-2"/>
                <w:sz w:val="16"/>
                <w:szCs w:val="16"/>
              </w:rPr>
            </w:pPr>
            <w:r w:rsidRPr="004D72DD">
              <w:rPr>
                <w:rFonts w:cs="Times New Roman"/>
                <w:spacing w:val="-2"/>
                <w:sz w:val="16"/>
                <w:szCs w:val="16"/>
              </w:rPr>
              <w:t>2022</w:t>
            </w:r>
          </w:p>
        </w:tc>
        <w:tc>
          <w:tcPr>
            <w:tcW w:w="1180" w:type="dxa"/>
            <w:shd w:val="clear" w:color="auto" w:fill="auto"/>
            <w:vAlign w:val="bottom"/>
          </w:tcPr>
          <w:p w:rsidR="00E1056D" w:rsidRPr="00E1056D" w:rsidRDefault="00E1056D" w:rsidP="00E1056D">
            <w:pPr>
              <w:tabs>
                <w:tab w:val="decimal" w:pos="984"/>
              </w:tabs>
              <w:rPr>
                <w:rFonts w:cs="Times New Roman"/>
                <w:sz w:val="16"/>
                <w:szCs w:val="20"/>
              </w:rPr>
            </w:pPr>
            <w:r w:rsidRPr="00E1056D">
              <w:rPr>
                <w:rFonts w:cs="Times New Roman"/>
                <w:sz w:val="16"/>
                <w:szCs w:val="20"/>
              </w:rPr>
              <w:t>1,645,000</w:t>
            </w:r>
          </w:p>
        </w:tc>
        <w:tc>
          <w:tcPr>
            <w:tcW w:w="1178" w:type="dxa"/>
            <w:shd w:val="clear" w:color="auto" w:fill="auto"/>
          </w:tcPr>
          <w:p w:rsidR="00E1056D" w:rsidRPr="004D72DD" w:rsidRDefault="004844A4" w:rsidP="00E1056D">
            <w:pPr>
              <w:tabs>
                <w:tab w:val="decimal" w:pos="966"/>
              </w:tabs>
              <w:jc w:val="left"/>
              <w:rPr>
                <w:sz w:val="16"/>
                <w:szCs w:val="16"/>
              </w:rPr>
            </w:pPr>
            <w:r>
              <w:rPr>
                <w:sz w:val="16"/>
                <w:szCs w:val="16"/>
              </w:rPr>
              <w:t>4,068,950</w:t>
            </w:r>
          </w:p>
        </w:tc>
        <w:tc>
          <w:tcPr>
            <w:tcW w:w="1186" w:type="dxa"/>
            <w:shd w:val="clear" w:color="auto" w:fill="auto"/>
            <w:vAlign w:val="bottom"/>
          </w:tcPr>
          <w:p w:rsidR="00E1056D" w:rsidRPr="00364544" w:rsidRDefault="00E1056D" w:rsidP="00E1056D">
            <w:pPr>
              <w:tabs>
                <w:tab w:val="decimal" w:pos="966"/>
              </w:tabs>
              <w:rPr>
                <w:rFonts w:eastAsia="Times New Roman" w:cs="Times New Roman"/>
                <w:color w:val="000000"/>
                <w:sz w:val="16"/>
              </w:rPr>
            </w:pPr>
            <w:r>
              <w:rPr>
                <w:rFonts w:eastAsia="Times New Roman" w:cs="Times New Roman"/>
                <w:color w:val="000000"/>
                <w:sz w:val="16"/>
              </w:rPr>
              <w:t>87,650,851</w:t>
            </w:r>
          </w:p>
        </w:tc>
        <w:tc>
          <w:tcPr>
            <w:tcW w:w="1184" w:type="dxa"/>
            <w:shd w:val="clear" w:color="auto" w:fill="auto"/>
            <w:vAlign w:val="bottom"/>
          </w:tcPr>
          <w:p w:rsidR="00E1056D" w:rsidRPr="00600293" w:rsidRDefault="00E1056D" w:rsidP="00E1056D">
            <w:pPr>
              <w:tabs>
                <w:tab w:val="decimal" w:pos="950"/>
              </w:tabs>
              <w:rPr>
                <w:rFonts w:eastAsia="Times New Roman" w:cs="Times New Roman"/>
                <w:color w:val="000000"/>
                <w:sz w:val="16"/>
              </w:rPr>
            </w:pPr>
            <w:r w:rsidRPr="00600293">
              <w:rPr>
                <w:rFonts w:eastAsia="Times New Roman" w:cs="Times New Roman"/>
                <w:color w:val="000000"/>
                <w:sz w:val="16"/>
              </w:rPr>
              <w:t>(4,8</w:t>
            </w:r>
            <w:r>
              <w:rPr>
                <w:rFonts w:eastAsia="Times New Roman" w:cs="Times New Roman"/>
                <w:color w:val="000000"/>
                <w:sz w:val="16"/>
              </w:rPr>
              <w:t>72</w:t>
            </w:r>
            <w:r w:rsidRPr="00600293">
              <w:rPr>
                <w:rFonts w:eastAsia="Times New Roman" w:cs="Times New Roman"/>
                <w:color w:val="000000"/>
                <w:sz w:val="16"/>
              </w:rPr>
              <w:t>,</w:t>
            </w:r>
            <w:r>
              <w:rPr>
                <w:rFonts w:eastAsia="Times New Roman" w:cs="Times New Roman"/>
                <w:color w:val="000000"/>
                <w:sz w:val="16"/>
              </w:rPr>
              <w:t>726</w:t>
            </w:r>
            <w:r w:rsidRPr="00600293">
              <w:rPr>
                <w:rFonts w:eastAsia="Times New Roman" w:cs="Times New Roman"/>
                <w:color w:val="000000"/>
                <w:sz w:val="16"/>
              </w:rPr>
              <w:t>)</w:t>
            </w:r>
          </w:p>
        </w:tc>
        <w:tc>
          <w:tcPr>
            <w:tcW w:w="1181" w:type="dxa"/>
            <w:shd w:val="clear" w:color="auto" w:fill="auto"/>
            <w:vAlign w:val="center"/>
          </w:tcPr>
          <w:p w:rsidR="00E1056D" w:rsidRPr="002D00B9" w:rsidRDefault="001400AF" w:rsidP="00E1056D">
            <w:pPr>
              <w:keepNext/>
              <w:tabs>
                <w:tab w:val="decimal" w:pos="1091"/>
              </w:tabs>
              <w:jc w:val="left"/>
              <w:rPr>
                <w:rFonts w:cs="Times New Roman"/>
                <w:sz w:val="16"/>
                <w:szCs w:val="16"/>
              </w:rPr>
            </w:pPr>
            <w:r>
              <w:rPr>
                <w:rFonts w:cs="Times New Roman"/>
                <w:sz w:val="16"/>
                <w:szCs w:val="16"/>
              </w:rPr>
              <w:t>88,492,075</w:t>
            </w:r>
          </w:p>
        </w:tc>
      </w:tr>
      <w:tr w:rsidR="00E1056D" w:rsidRPr="004D72DD" w:rsidTr="000A6530">
        <w:trPr>
          <w:jc w:val="center"/>
        </w:trPr>
        <w:tc>
          <w:tcPr>
            <w:tcW w:w="1086" w:type="dxa"/>
            <w:shd w:val="clear" w:color="auto" w:fill="auto"/>
          </w:tcPr>
          <w:p w:rsidR="00E1056D" w:rsidRPr="004D72DD" w:rsidRDefault="00E1056D" w:rsidP="00E1056D">
            <w:pPr>
              <w:keepNext/>
              <w:tabs>
                <w:tab w:val="center" w:pos="1008"/>
                <w:tab w:val="center" w:pos="2448"/>
                <w:tab w:val="center" w:pos="4608"/>
                <w:tab w:val="center" w:pos="6768"/>
                <w:tab w:val="center" w:pos="8208"/>
              </w:tabs>
              <w:suppressAutoHyphens/>
              <w:jc w:val="center"/>
              <w:rPr>
                <w:rFonts w:cs="Times New Roman"/>
                <w:spacing w:val="-2"/>
                <w:sz w:val="16"/>
                <w:szCs w:val="16"/>
              </w:rPr>
            </w:pPr>
            <w:r w:rsidRPr="004D72DD">
              <w:rPr>
                <w:rFonts w:cs="Times New Roman"/>
                <w:spacing w:val="-2"/>
                <w:sz w:val="16"/>
                <w:szCs w:val="16"/>
              </w:rPr>
              <w:t>2023</w:t>
            </w:r>
          </w:p>
        </w:tc>
        <w:tc>
          <w:tcPr>
            <w:tcW w:w="1180" w:type="dxa"/>
            <w:shd w:val="clear" w:color="auto" w:fill="auto"/>
            <w:vAlign w:val="bottom"/>
          </w:tcPr>
          <w:p w:rsidR="00E1056D" w:rsidRPr="00E1056D" w:rsidRDefault="00E1056D" w:rsidP="00E1056D">
            <w:pPr>
              <w:tabs>
                <w:tab w:val="decimal" w:pos="984"/>
              </w:tabs>
              <w:rPr>
                <w:rFonts w:cs="Times New Roman"/>
                <w:sz w:val="16"/>
                <w:szCs w:val="20"/>
              </w:rPr>
            </w:pPr>
            <w:r w:rsidRPr="00E1056D">
              <w:rPr>
                <w:rFonts w:cs="Times New Roman"/>
                <w:sz w:val="16"/>
                <w:szCs w:val="20"/>
              </w:rPr>
              <w:t>1,710,000</w:t>
            </w:r>
          </w:p>
        </w:tc>
        <w:tc>
          <w:tcPr>
            <w:tcW w:w="1178" w:type="dxa"/>
            <w:shd w:val="clear" w:color="auto" w:fill="auto"/>
          </w:tcPr>
          <w:p w:rsidR="00E1056D" w:rsidRPr="004D72DD" w:rsidRDefault="004844A4" w:rsidP="00E1056D">
            <w:pPr>
              <w:tabs>
                <w:tab w:val="decimal" w:pos="966"/>
              </w:tabs>
              <w:jc w:val="left"/>
              <w:rPr>
                <w:sz w:val="16"/>
                <w:szCs w:val="16"/>
              </w:rPr>
            </w:pPr>
            <w:r>
              <w:rPr>
                <w:sz w:val="16"/>
                <w:szCs w:val="16"/>
              </w:rPr>
              <w:t>3,986,700</w:t>
            </w:r>
          </w:p>
        </w:tc>
        <w:tc>
          <w:tcPr>
            <w:tcW w:w="1186" w:type="dxa"/>
            <w:shd w:val="clear" w:color="auto" w:fill="auto"/>
            <w:vAlign w:val="bottom"/>
          </w:tcPr>
          <w:p w:rsidR="00E1056D" w:rsidRPr="00364544" w:rsidRDefault="00E1056D" w:rsidP="00E1056D">
            <w:pPr>
              <w:tabs>
                <w:tab w:val="decimal" w:pos="966"/>
              </w:tabs>
              <w:rPr>
                <w:rFonts w:eastAsia="Times New Roman" w:cs="Times New Roman"/>
                <w:color w:val="000000"/>
                <w:sz w:val="16"/>
              </w:rPr>
            </w:pPr>
            <w:r>
              <w:rPr>
                <w:rFonts w:eastAsia="Times New Roman" w:cs="Times New Roman"/>
                <w:color w:val="000000"/>
                <w:sz w:val="16"/>
              </w:rPr>
              <w:t>87,631,704</w:t>
            </w:r>
          </w:p>
        </w:tc>
        <w:tc>
          <w:tcPr>
            <w:tcW w:w="1184" w:type="dxa"/>
            <w:shd w:val="clear" w:color="auto" w:fill="auto"/>
            <w:vAlign w:val="bottom"/>
          </w:tcPr>
          <w:p w:rsidR="00E1056D" w:rsidRPr="00600293" w:rsidRDefault="00E1056D" w:rsidP="00E1056D">
            <w:pPr>
              <w:tabs>
                <w:tab w:val="decimal" w:pos="950"/>
              </w:tabs>
              <w:rPr>
                <w:rFonts w:eastAsia="Times New Roman" w:cs="Times New Roman"/>
                <w:color w:val="000000"/>
                <w:sz w:val="16"/>
              </w:rPr>
            </w:pPr>
            <w:r w:rsidRPr="00600293">
              <w:rPr>
                <w:rFonts w:eastAsia="Times New Roman" w:cs="Times New Roman"/>
                <w:color w:val="000000"/>
                <w:sz w:val="16"/>
              </w:rPr>
              <w:t>(4,8</w:t>
            </w:r>
            <w:r>
              <w:rPr>
                <w:rFonts w:eastAsia="Times New Roman" w:cs="Times New Roman"/>
                <w:color w:val="000000"/>
                <w:sz w:val="16"/>
              </w:rPr>
              <w:t>72</w:t>
            </w:r>
            <w:r w:rsidRPr="00600293">
              <w:rPr>
                <w:rFonts w:eastAsia="Times New Roman" w:cs="Times New Roman"/>
                <w:color w:val="000000"/>
                <w:sz w:val="16"/>
              </w:rPr>
              <w:t>,</w:t>
            </w:r>
            <w:r>
              <w:rPr>
                <w:rFonts w:eastAsia="Times New Roman" w:cs="Times New Roman"/>
                <w:color w:val="000000"/>
                <w:sz w:val="16"/>
              </w:rPr>
              <w:t>726</w:t>
            </w:r>
            <w:r w:rsidRPr="00600293">
              <w:rPr>
                <w:rFonts w:eastAsia="Times New Roman" w:cs="Times New Roman"/>
                <w:color w:val="000000"/>
                <w:sz w:val="16"/>
              </w:rPr>
              <w:t>)</w:t>
            </w:r>
          </w:p>
        </w:tc>
        <w:tc>
          <w:tcPr>
            <w:tcW w:w="1181" w:type="dxa"/>
            <w:shd w:val="clear" w:color="auto" w:fill="auto"/>
            <w:vAlign w:val="center"/>
          </w:tcPr>
          <w:p w:rsidR="00E1056D" w:rsidRPr="002D00B9" w:rsidRDefault="001400AF" w:rsidP="00E1056D">
            <w:pPr>
              <w:keepNext/>
              <w:tabs>
                <w:tab w:val="decimal" w:pos="1091"/>
              </w:tabs>
              <w:jc w:val="left"/>
              <w:rPr>
                <w:rFonts w:cs="Times New Roman"/>
                <w:sz w:val="16"/>
                <w:szCs w:val="16"/>
              </w:rPr>
            </w:pPr>
            <w:r>
              <w:rPr>
                <w:rFonts w:cs="Times New Roman"/>
                <w:sz w:val="16"/>
                <w:szCs w:val="16"/>
              </w:rPr>
              <w:t>88,455,678</w:t>
            </w:r>
          </w:p>
        </w:tc>
      </w:tr>
      <w:tr w:rsidR="00E1056D" w:rsidRPr="004D72DD" w:rsidTr="000A6530">
        <w:trPr>
          <w:jc w:val="center"/>
        </w:trPr>
        <w:tc>
          <w:tcPr>
            <w:tcW w:w="1086" w:type="dxa"/>
            <w:shd w:val="clear" w:color="auto" w:fill="auto"/>
          </w:tcPr>
          <w:p w:rsidR="00E1056D" w:rsidRPr="004D72DD" w:rsidRDefault="00E1056D" w:rsidP="00E1056D">
            <w:pPr>
              <w:keepNext/>
              <w:tabs>
                <w:tab w:val="center" w:pos="1008"/>
                <w:tab w:val="center" w:pos="2448"/>
                <w:tab w:val="center" w:pos="4608"/>
                <w:tab w:val="center" w:pos="6768"/>
                <w:tab w:val="center" w:pos="8208"/>
              </w:tabs>
              <w:suppressAutoHyphens/>
              <w:jc w:val="center"/>
              <w:rPr>
                <w:rFonts w:cs="Times New Roman"/>
                <w:spacing w:val="-2"/>
                <w:sz w:val="16"/>
                <w:szCs w:val="16"/>
              </w:rPr>
            </w:pPr>
            <w:r w:rsidRPr="004D72DD">
              <w:rPr>
                <w:rFonts w:cs="Times New Roman"/>
                <w:spacing w:val="-2"/>
                <w:sz w:val="16"/>
                <w:szCs w:val="16"/>
              </w:rPr>
              <w:t>2024</w:t>
            </w:r>
          </w:p>
        </w:tc>
        <w:tc>
          <w:tcPr>
            <w:tcW w:w="1180" w:type="dxa"/>
            <w:shd w:val="clear" w:color="auto" w:fill="auto"/>
            <w:vAlign w:val="bottom"/>
          </w:tcPr>
          <w:p w:rsidR="00E1056D" w:rsidRPr="00E1056D" w:rsidRDefault="00E1056D" w:rsidP="00E1056D">
            <w:pPr>
              <w:tabs>
                <w:tab w:val="decimal" w:pos="984"/>
              </w:tabs>
              <w:rPr>
                <w:rFonts w:cs="Times New Roman"/>
                <w:sz w:val="16"/>
                <w:szCs w:val="20"/>
              </w:rPr>
            </w:pPr>
            <w:r w:rsidRPr="00E1056D">
              <w:rPr>
                <w:rFonts w:cs="Times New Roman"/>
                <w:sz w:val="16"/>
                <w:szCs w:val="20"/>
              </w:rPr>
              <w:t>1,785,000</w:t>
            </w:r>
          </w:p>
        </w:tc>
        <w:tc>
          <w:tcPr>
            <w:tcW w:w="1178" w:type="dxa"/>
            <w:shd w:val="clear" w:color="auto" w:fill="auto"/>
          </w:tcPr>
          <w:p w:rsidR="00E1056D" w:rsidRPr="004D72DD" w:rsidRDefault="004844A4" w:rsidP="00E1056D">
            <w:pPr>
              <w:tabs>
                <w:tab w:val="decimal" w:pos="966"/>
              </w:tabs>
              <w:jc w:val="left"/>
              <w:rPr>
                <w:sz w:val="16"/>
                <w:szCs w:val="16"/>
              </w:rPr>
            </w:pPr>
            <w:r>
              <w:rPr>
                <w:sz w:val="16"/>
                <w:szCs w:val="16"/>
              </w:rPr>
              <w:t>3,901,200</w:t>
            </w:r>
          </w:p>
        </w:tc>
        <w:tc>
          <w:tcPr>
            <w:tcW w:w="1186" w:type="dxa"/>
            <w:shd w:val="clear" w:color="auto" w:fill="auto"/>
            <w:vAlign w:val="bottom"/>
          </w:tcPr>
          <w:p w:rsidR="00E1056D" w:rsidRPr="00364544" w:rsidRDefault="00E1056D" w:rsidP="00E1056D">
            <w:pPr>
              <w:tabs>
                <w:tab w:val="decimal" w:pos="966"/>
              </w:tabs>
              <w:rPr>
                <w:rFonts w:eastAsia="Times New Roman" w:cs="Times New Roman"/>
                <w:color w:val="000000"/>
                <w:sz w:val="16"/>
              </w:rPr>
            </w:pPr>
            <w:r>
              <w:rPr>
                <w:rFonts w:eastAsia="Times New Roman" w:cs="Times New Roman"/>
                <w:color w:val="000000"/>
                <w:sz w:val="16"/>
              </w:rPr>
              <w:t>87,625,758</w:t>
            </w:r>
          </w:p>
        </w:tc>
        <w:tc>
          <w:tcPr>
            <w:tcW w:w="1184" w:type="dxa"/>
            <w:shd w:val="clear" w:color="auto" w:fill="auto"/>
            <w:vAlign w:val="bottom"/>
          </w:tcPr>
          <w:p w:rsidR="00E1056D" w:rsidRPr="00600293" w:rsidRDefault="00E1056D" w:rsidP="00E1056D">
            <w:pPr>
              <w:tabs>
                <w:tab w:val="decimal" w:pos="950"/>
              </w:tabs>
              <w:rPr>
                <w:rFonts w:eastAsia="Times New Roman" w:cs="Times New Roman"/>
                <w:color w:val="000000"/>
                <w:sz w:val="16"/>
              </w:rPr>
            </w:pPr>
            <w:r w:rsidRPr="00600293">
              <w:rPr>
                <w:rFonts w:eastAsia="Times New Roman" w:cs="Times New Roman"/>
                <w:color w:val="000000"/>
                <w:sz w:val="16"/>
              </w:rPr>
              <w:t>(4,8</w:t>
            </w:r>
            <w:r>
              <w:rPr>
                <w:rFonts w:eastAsia="Times New Roman" w:cs="Times New Roman"/>
                <w:color w:val="000000"/>
                <w:sz w:val="16"/>
              </w:rPr>
              <w:t>72</w:t>
            </w:r>
            <w:r w:rsidRPr="00600293">
              <w:rPr>
                <w:rFonts w:eastAsia="Times New Roman" w:cs="Times New Roman"/>
                <w:color w:val="000000"/>
                <w:sz w:val="16"/>
              </w:rPr>
              <w:t>,</w:t>
            </w:r>
            <w:r>
              <w:rPr>
                <w:rFonts w:eastAsia="Times New Roman" w:cs="Times New Roman"/>
                <w:color w:val="000000"/>
                <w:sz w:val="16"/>
              </w:rPr>
              <w:t>726</w:t>
            </w:r>
            <w:r w:rsidRPr="00600293">
              <w:rPr>
                <w:rFonts w:eastAsia="Times New Roman" w:cs="Times New Roman"/>
                <w:color w:val="000000"/>
                <w:sz w:val="16"/>
              </w:rPr>
              <w:t>)</w:t>
            </w:r>
          </w:p>
        </w:tc>
        <w:tc>
          <w:tcPr>
            <w:tcW w:w="1181" w:type="dxa"/>
            <w:shd w:val="clear" w:color="auto" w:fill="auto"/>
            <w:vAlign w:val="center"/>
          </w:tcPr>
          <w:p w:rsidR="00E1056D" w:rsidRPr="002D00B9" w:rsidRDefault="001400AF" w:rsidP="00E1056D">
            <w:pPr>
              <w:keepNext/>
              <w:tabs>
                <w:tab w:val="decimal" w:pos="1091"/>
              </w:tabs>
              <w:jc w:val="left"/>
              <w:rPr>
                <w:rFonts w:cs="Times New Roman"/>
                <w:sz w:val="16"/>
                <w:szCs w:val="16"/>
              </w:rPr>
            </w:pPr>
            <w:r>
              <w:rPr>
                <w:rFonts w:cs="Times New Roman"/>
                <w:sz w:val="16"/>
                <w:szCs w:val="16"/>
              </w:rPr>
              <w:t>88,439,232</w:t>
            </w:r>
          </w:p>
        </w:tc>
      </w:tr>
      <w:tr w:rsidR="00E1056D" w:rsidRPr="004D72DD" w:rsidTr="000A6530">
        <w:trPr>
          <w:jc w:val="center"/>
        </w:trPr>
        <w:tc>
          <w:tcPr>
            <w:tcW w:w="1086" w:type="dxa"/>
            <w:shd w:val="clear" w:color="auto" w:fill="auto"/>
          </w:tcPr>
          <w:p w:rsidR="00E1056D" w:rsidRPr="004D72DD" w:rsidRDefault="00E1056D" w:rsidP="00E1056D">
            <w:pPr>
              <w:keepNext/>
              <w:tabs>
                <w:tab w:val="center" w:pos="1008"/>
                <w:tab w:val="center" w:pos="2448"/>
                <w:tab w:val="center" w:pos="4608"/>
                <w:tab w:val="center" w:pos="6768"/>
                <w:tab w:val="center" w:pos="8208"/>
              </w:tabs>
              <w:suppressAutoHyphens/>
              <w:jc w:val="center"/>
              <w:rPr>
                <w:rFonts w:cs="Times New Roman"/>
                <w:spacing w:val="-2"/>
                <w:sz w:val="16"/>
                <w:szCs w:val="16"/>
              </w:rPr>
            </w:pPr>
            <w:r w:rsidRPr="004D72DD">
              <w:rPr>
                <w:rFonts w:cs="Times New Roman"/>
                <w:spacing w:val="-2"/>
                <w:sz w:val="16"/>
                <w:szCs w:val="16"/>
              </w:rPr>
              <w:t>2025</w:t>
            </w:r>
          </w:p>
        </w:tc>
        <w:tc>
          <w:tcPr>
            <w:tcW w:w="1180" w:type="dxa"/>
            <w:shd w:val="clear" w:color="auto" w:fill="auto"/>
            <w:vAlign w:val="bottom"/>
          </w:tcPr>
          <w:p w:rsidR="00E1056D" w:rsidRPr="00E1056D" w:rsidRDefault="00E1056D" w:rsidP="00E1056D">
            <w:pPr>
              <w:tabs>
                <w:tab w:val="decimal" w:pos="984"/>
              </w:tabs>
              <w:rPr>
                <w:rFonts w:cs="Times New Roman"/>
                <w:sz w:val="16"/>
                <w:szCs w:val="20"/>
              </w:rPr>
            </w:pPr>
            <w:r w:rsidRPr="00E1056D">
              <w:rPr>
                <w:rFonts w:cs="Times New Roman"/>
                <w:sz w:val="16"/>
                <w:szCs w:val="20"/>
              </w:rPr>
              <w:t>1,875,000</w:t>
            </w:r>
          </w:p>
        </w:tc>
        <w:tc>
          <w:tcPr>
            <w:tcW w:w="1178" w:type="dxa"/>
            <w:shd w:val="clear" w:color="auto" w:fill="auto"/>
          </w:tcPr>
          <w:p w:rsidR="00E1056D" w:rsidRPr="004D72DD" w:rsidRDefault="004844A4" w:rsidP="00E1056D">
            <w:pPr>
              <w:tabs>
                <w:tab w:val="decimal" w:pos="966"/>
              </w:tabs>
              <w:jc w:val="left"/>
              <w:rPr>
                <w:sz w:val="16"/>
                <w:szCs w:val="16"/>
              </w:rPr>
            </w:pPr>
            <w:r>
              <w:rPr>
                <w:sz w:val="16"/>
                <w:szCs w:val="16"/>
              </w:rPr>
              <w:t>3,811,950</w:t>
            </w:r>
          </w:p>
        </w:tc>
        <w:tc>
          <w:tcPr>
            <w:tcW w:w="1186" w:type="dxa"/>
            <w:shd w:val="clear" w:color="auto" w:fill="auto"/>
            <w:vAlign w:val="bottom"/>
          </w:tcPr>
          <w:p w:rsidR="00E1056D" w:rsidRPr="00364544" w:rsidRDefault="00E1056D" w:rsidP="00E1056D">
            <w:pPr>
              <w:tabs>
                <w:tab w:val="decimal" w:pos="966"/>
              </w:tabs>
              <w:rPr>
                <w:rFonts w:eastAsia="Times New Roman" w:cs="Times New Roman"/>
                <w:color w:val="000000"/>
                <w:sz w:val="16"/>
              </w:rPr>
            </w:pPr>
            <w:r>
              <w:rPr>
                <w:rFonts w:eastAsia="Times New Roman" w:cs="Times New Roman"/>
                <w:color w:val="000000"/>
                <w:sz w:val="16"/>
              </w:rPr>
              <w:t>87,610,822</w:t>
            </w:r>
          </w:p>
        </w:tc>
        <w:tc>
          <w:tcPr>
            <w:tcW w:w="1184" w:type="dxa"/>
            <w:shd w:val="clear" w:color="auto" w:fill="auto"/>
            <w:vAlign w:val="bottom"/>
          </w:tcPr>
          <w:p w:rsidR="00E1056D" w:rsidRPr="00600293" w:rsidRDefault="00E1056D" w:rsidP="00E1056D">
            <w:pPr>
              <w:tabs>
                <w:tab w:val="decimal" w:pos="950"/>
              </w:tabs>
              <w:rPr>
                <w:rFonts w:eastAsia="Times New Roman" w:cs="Times New Roman"/>
                <w:color w:val="000000"/>
                <w:sz w:val="16"/>
              </w:rPr>
            </w:pPr>
            <w:r w:rsidRPr="00600293">
              <w:rPr>
                <w:rFonts w:eastAsia="Times New Roman" w:cs="Times New Roman"/>
                <w:color w:val="000000"/>
                <w:sz w:val="16"/>
              </w:rPr>
              <w:t>(4,8</w:t>
            </w:r>
            <w:r>
              <w:rPr>
                <w:rFonts w:eastAsia="Times New Roman" w:cs="Times New Roman"/>
                <w:color w:val="000000"/>
                <w:sz w:val="16"/>
              </w:rPr>
              <w:t>72</w:t>
            </w:r>
            <w:r w:rsidRPr="00600293">
              <w:rPr>
                <w:rFonts w:eastAsia="Times New Roman" w:cs="Times New Roman"/>
                <w:color w:val="000000"/>
                <w:sz w:val="16"/>
              </w:rPr>
              <w:t>,</w:t>
            </w:r>
            <w:r>
              <w:rPr>
                <w:rFonts w:eastAsia="Times New Roman" w:cs="Times New Roman"/>
                <w:color w:val="000000"/>
                <w:sz w:val="16"/>
              </w:rPr>
              <w:t>726</w:t>
            </w:r>
            <w:r w:rsidRPr="00600293">
              <w:rPr>
                <w:rFonts w:eastAsia="Times New Roman" w:cs="Times New Roman"/>
                <w:color w:val="000000"/>
                <w:sz w:val="16"/>
              </w:rPr>
              <w:t>)</w:t>
            </w:r>
          </w:p>
        </w:tc>
        <w:tc>
          <w:tcPr>
            <w:tcW w:w="1181" w:type="dxa"/>
            <w:shd w:val="clear" w:color="auto" w:fill="auto"/>
            <w:vAlign w:val="center"/>
          </w:tcPr>
          <w:p w:rsidR="00E1056D" w:rsidRPr="002D00B9" w:rsidRDefault="001400AF" w:rsidP="00E1056D">
            <w:pPr>
              <w:keepNext/>
              <w:tabs>
                <w:tab w:val="decimal" w:pos="1091"/>
              </w:tabs>
              <w:jc w:val="left"/>
              <w:rPr>
                <w:rFonts w:cs="Times New Roman"/>
                <w:sz w:val="16"/>
                <w:szCs w:val="16"/>
              </w:rPr>
            </w:pPr>
            <w:r>
              <w:rPr>
                <w:rFonts w:cs="Times New Roman"/>
                <w:sz w:val="16"/>
                <w:szCs w:val="16"/>
              </w:rPr>
              <w:t>88,425,046</w:t>
            </w:r>
          </w:p>
        </w:tc>
      </w:tr>
      <w:tr w:rsidR="00E1056D" w:rsidRPr="004D72DD" w:rsidTr="000A6530">
        <w:trPr>
          <w:jc w:val="center"/>
        </w:trPr>
        <w:tc>
          <w:tcPr>
            <w:tcW w:w="1086" w:type="dxa"/>
            <w:shd w:val="clear" w:color="auto" w:fill="auto"/>
          </w:tcPr>
          <w:p w:rsidR="00E1056D" w:rsidRPr="004D72DD" w:rsidRDefault="00E1056D" w:rsidP="00E1056D">
            <w:pPr>
              <w:keepNext/>
              <w:tabs>
                <w:tab w:val="center" w:pos="1008"/>
                <w:tab w:val="center" w:pos="2448"/>
                <w:tab w:val="center" w:pos="4608"/>
                <w:tab w:val="center" w:pos="6768"/>
                <w:tab w:val="center" w:pos="8208"/>
              </w:tabs>
              <w:suppressAutoHyphens/>
              <w:jc w:val="center"/>
              <w:rPr>
                <w:rFonts w:cs="Times New Roman"/>
                <w:spacing w:val="-2"/>
                <w:sz w:val="16"/>
                <w:szCs w:val="16"/>
              </w:rPr>
            </w:pPr>
            <w:r w:rsidRPr="004D72DD">
              <w:rPr>
                <w:rFonts w:cs="Times New Roman"/>
                <w:spacing w:val="-2"/>
                <w:sz w:val="16"/>
                <w:szCs w:val="16"/>
              </w:rPr>
              <w:t>2026</w:t>
            </w:r>
          </w:p>
        </w:tc>
        <w:tc>
          <w:tcPr>
            <w:tcW w:w="1180" w:type="dxa"/>
            <w:shd w:val="clear" w:color="auto" w:fill="auto"/>
            <w:vAlign w:val="bottom"/>
          </w:tcPr>
          <w:p w:rsidR="00E1056D" w:rsidRPr="00E1056D" w:rsidRDefault="00E1056D" w:rsidP="00E1056D">
            <w:pPr>
              <w:tabs>
                <w:tab w:val="decimal" w:pos="984"/>
              </w:tabs>
              <w:rPr>
                <w:rFonts w:cs="Times New Roman"/>
                <w:sz w:val="16"/>
                <w:szCs w:val="20"/>
              </w:rPr>
            </w:pPr>
            <w:r w:rsidRPr="00E1056D">
              <w:rPr>
                <w:rFonts w:cs="Times New Roman"/>
                <w:sz w:val="16"/>
                <w:szCs w:val="20"/>
              </w:rPr>
              <w:t>1,970,000</w:t>
            </w:r>
          </w:p>
        </w:tc>
        <w:tc>
          <w:tcPr>
            <w:tcW w:w="1178" w:type="dxa"/>
            <w:shd w:val="clear" w:color="auto" w:fill="auto"/>
          </w:tcPr>
          <w:p w:rsidR="00E1056D" w:rsidRPr="004D72DD" w:rsidRDefault="004844A4" w:rsidP="00E1056D">
            <w:pPr>
              <w:tabs>
                <w:tab w:val="decimal" w:pos="966"/>
              </w:tabs>
              <w:jc w:val="left"/>
              <w:rPr>
                <w:sz w:val="16"/>
                <w:szCs w:val="16"/>
              </w:rPr>
            </w:pPr>
            <w:r>
              <w:rPr>
                <w:sz w:val="16"/>
                <w:szCs w:val="16"/>
              </w:rPr>
              <w:t>3,718,200</w:t>
            </w:r>
          </w:p>
        </w:tc>
        <w:tc>
          <w:tcPr>
            <w:tcW w:w="1186" w:type="dxa"/>
            <w:shd w:val="clear" w:color="auto" w:fill="auto"/>
            <w:vAlign w:val="bottom"/>
          </w:tcPr>
          <w:p w:rsidR="00E1056D" w:rsidRPr="00364544" w:rsidRDefault="00E1056D" w:rsidP="00E1056D">
            <w:pPr>
              <w:tabs>
                <w:tab w:val="decimal" w:pos="966"/>
              </w:tabs>
              <w:rPr>
                <w:rFonts w:eastAsia="Times New Roman" w:cs="Times New Roman"/>
                <w:color w:val="000000"/>
                <w:sz w:val="16"/>
              </w:rPr>
            </w:pPr>
            <w:r>
              <w:rPr>
                <w:rFonts w:eastAsia="Times New Roman" w:cs="Times New Roman"/>
                <w:color w:val="000000"/>
                <w:sz w:val="16"/>
              </w:rPr>
              <w:t>87,597,475</w:t>
            </w:r>
          </w:p>
        </w:tc>
        <w:tc>
          <w:tcPr>
            <w:tcW w:w="1184" w:type="dxa"/>
            <w:shd w:val="clear" w:color="auto" w:fill="auto"/>
            <w:vAlign w:val="bottom"/>
          </w:tcPr>
          <w:p w:rsidR="00E1056D" w:rsidRPr="00600293" w:rsidRDefault="00E1056D" w:rsidP="00E1056D">
            <w:pPr>
              <w:tabs>
                <w:tab w:val="decimal" w:pos="950"/>
              </w:tabs>
              <w:rPr>
                <w:rFonts w:eastAsia="Times New Roman" w:cs="Times New Roman"/>
                <w:color w:val="000000"/>
                <w:sz w:val="16"/>
              </w:rPr>
            </w:pPr>
            <w:r w:rsidRPr="00600293">
              <w:rPr>
                <w:rFonts w:eastAsia="Times New Roman" w:cs="Times New Roman"/>
                <w:color w:val="000000"/>
                <w:sz w:val="16"/>
              </w:rPr>
              <w:t>(4,8</w:t>
            </w:r>
            <w:r>
              <w:rPr>
                <w:rFonts w:eastAsia="Times New Roman" w:cs="Times New Roman"/>
                <w:color w:val="000000"/>
                <w:sz w:val="16"/>
              </w:rPr>
              <w:t>72</w:t>
            </w:r>
            <w:r w:rsidRPr="00600293">
              <w:rPr>
                <w:rFonts w:eastAsia="Times New Roman" w:cs="Times New Roman"/>
                <w:color w:val="000000"/>
                <w:sz w:val="16"/>
              </w:rPr>
              <w:t>,</w:t>
            </w:r>
            <w:r>
              <w:rPr>
                <w:rFonts w:eastAsia="Times New Roman" w:cs="Times New Roman"/>
                <w:color w:val="000000"/>
                <w:sz w:val="16"/>
              </w:rPr>
              <w:t>726</w:t>
            </w:r>
            <w:r w:rsidRPr="00600293">
              <w:rPr>
                <w:rFonts w:eastAsia="Times New Roman" w:cs="Times New Roman"/>
                <w:color w:val="000000"/>
                <w:sz w:val="16"/>
              </w:rPr>
              <w:t>)</w:t>
            </w:r>
          </w:p>
        </w:tc>
        <w:tc>
          <w:tcPr>
            <w:tcW w:w="1181" w:type="dxa"/>
            <w:shd w:val="clear" w:color="auto" w:fill="auto"/>
            <w:vAlign w:val="center"/>
          </w:tcPr>
          <w:p w:rsidR="00E1056D" w:rsidRPr="002D00B9" w:rsidRDefault="001400AF" w:rsidP="00E1056D">
            <w:pPr>
              <w:keepNext/>
              <w:tabs>
                <w:tab w:val="decimal" w:pos="1091"/>
              </w:tabs>
              <w:jc w:val="left"/>
              <w:rPr>
                <w:rFonts w:cs="Times New Roman"/>
                <w:sz w:val="16"/>
                <w:szCs w:val="16"/>
              </w:rPr>
            </w:pPr>
            <w:r>
              <w:rPr>
                <w:rFonts w:cs="Times New Roman"/>
                <w:sz w:val="16"/>
                <w:szCs w:val="16"/>
              </w:rPr>
              <w:t>88,412,949</w:t>
            </w:r>
          </w:p>
        </w:tc>
      </w:tr>
      <w:tr w:rsidR="00E1056D" w:rsidRPr="004D72DD" w:rsidTr="000A6530">
        <w:trPr>
          <w:jc w:val="center"/>
        </w:trPr>
        <w:tc>
          <w:tcPr>
            <w:tcW w:w="1086" w:type="dxa"/>
            <w:shd w:val="clear" w:color="auto" w:fill="auto"/>
          </w:tcPr>
          <w:p w:rsidR="00E1056D" w:rsidRPr="004D72DD" w:rsidRDefault="00E1056D" w:rsidP="00E1056D">
            <w:pPr>
              <w:keepNext/>
              <w:tabs>
                <w:tab w:val="center" w:pos="1008"/>
                <w:tab w:val="center" w:pos="2448"/>
                <w:tab w:val="center" w:pos="4608"/>
                <w:tab w:val="center" w:pos="6768"/>
                <w:tab w:val="center" w:pos="8208"/>
              </w:tabs>
              <w:suppressAutoHyphens/>
              <w:jc w:val="center"/>
              <w:rPr>
                <w:rFonts w:cs="Times New Roman"/>
                <w:spacing w:val="-2"/>
                <w:sz w:val="16"/>
                <w:szCs w:val="16"/>
              </w:rPr>
            </w:pPr>
            <w:r w:rsidRPr="004D72DD">
              <w:rPr>
                <w:rFonts w:cs="Times New Roman"/>
                <w:spacing w:val="-2"/>
                <w:sz w:val="16"/>
                <w:szCs w:val="16"/>
              </w:rPr>
              <w:t>2027</w:t>
            </w:r>
          </w:p>
        </w:tc>
        <w:tc>
          <w:tcPr>
            <w:tcW w:w="1180" w:type="dxa"/>
            <w:shd w:val="clear" w:color="auto" w:fill="auto"/>
            <w:vAlign w:val="bottom"/>
          </w:tcPr>
          <w:p w:rsidR="00E1056D" w:rsidRPr="00E1056D" w:rsidRDefault="00E1056D" w:rsidP="00E1056D">
            <w:pPr>
              <w:tabs>
                <w:tab w:val="decimal" w:pos="984"/>
              </w:tabs>
              <w:rPr>
                <w:rFonts w:cs="Times New Roman"/>
                <w:sz w:val="16"/>
                <w:szCs w:val="20"/>
              </w:rPr>
            </w:pPr>
            <w:r w:rsidRPr="00E1056D">
              <w:rPr>
                <w:rFonts w:cs="Times New Roman"/>
                <w:sz w:val="16"/>
                <w:szCs w:val="20"/>
              </w:rPr>
              <w:t>2,065,000</w:t>
            </w:r>
          </w:p>
        </w:tc>
        <w:tc>
          <w:tcPr>
            <w:tcW w:w="1178" w:type="dxa"/>
            <w:shd w:val="clear" w:color="auto" w:fill="auto"/>
          </w:tcPr>
          <w:p w:rsidR="00E1056D" w:rsidRPr="004D72DD" w:rsidRDefault="004844A4" w:rsidP="00E1056D">
            <w:pPr>
              <w:tabs>
                <w:tab w:val="decimal" w:pos="966"/>
              </w:tabs>
              <w:jc w:val="left"/>
              <w:rPr>
                <w:sz w:val="16"/>
                <w:szCs w:val="16"/>
              </w:rPr>
            </w:pPr>
            <w:r>
              <w:rPr>
                <w:sz w:val="16"/>
                <w:szCs w:val="16"/>
              </w:rPr>
              <w:t>3,619,700</w:t>
            </w:r>
          </w:p>
        </w:tc>
        <w:tc>
          <w:tcPr>
            <w:tcW w:w="1186" w:type="dxa"/>
            <w:shd w:val="clear" w:color="auto" w:fill="auto"/>
            <w:vAlign w:val="bottom"/>
          </w:tcPr>
          <w:p w:rsidR="00E1056D" w:rsidRPr="00364544" w:rsidRDefault="00E1056D" w:rsidP="00E1056D">
            <w:pPr>
              <w:tabs>
                <w:tab w:val="decimal" w:pos="966"/>
              </w:tabs>
              <w:rPr>
                <w:rFonts w:eastAsia="Times New Roman" w:cs="Times New Roman"/>
                <w:color w:val="000000"/>
                <w:sz w:val="16"/>
              </w:rPr>
            </w:pPr>
            <w:r>
              <w:rPr>
                <w:rFonts w:eastAsia="Times New Roman" w:cs="Times New Roman"/>
                <w:color w:val="000000"/>
                <w:sz w:val="16"/>
              </w:rPr>
              <w:t>87,575,465</w:t>
            </w:r>
          </w:p>
        </w:tc>
        <w:tc>
          <w:tcPr>
            <w:tcW w:w="1184" w:type="dxa"/>
            <w:shd w:val="clear" w:color="auto" w:fill="auto"/>
            <w:vAlign w:val="bottom"/>
          </w:tcPr>
          <w:p w:rsidR="00E1056D" w:rsidRPr="00600293" w:rsidRDefault="00E1056D" w:rsidP="00E1056D">
            <w:pPr>
              <w:tabs>
                <w:tab w:val="decimal" w:pos="950"/>
              </w:tabs>
              <w:rPr>
                <w:rFonts w:eastAsia="Times New Roman" w:cs="Times New Roman"/>
                <w:color w:val="000000"/>
                <w:sz w:val="16"/>
              </w:rPr>
            </w:pPr>
            <w:r w:rsidRPr="00600293">
              <w:rPr>
                <w:rFonts w:eastAsia="Times New Roman" w:cs="Times New Roman"/>
                <w:color w:val="000000"/>
                <w:sz w:val="16"/>
              </w:rPr>
              <w:t>(4,8</w:t>
            </w:r>
            <w:r>
              <w:rPr>
                <w:rFonts w:eastAsia="Times New Roman" w:cs="Times New Roman"/>
                <w:color w:val="000000"/>
                <w:sz w:val="16"/>
              </w:rPr>
              <w:t>72</w:t>
            </w:r>
            <w:r w:rsidRPr="00600293">
              <w:rPr>
                <w:rFonts w:eastAsia="Times New Roman" w:cs="Times New Roman"/>
                <w:color w:val="000000"/>
                <w:sz w:val="16"/>
              </w:rPr>
              <w:t>,</w:t>
            </w:r>
            <w:r>
              <w:rPr>
                <w:rFonts w:eastAsia="Times New Roman" w:cs="Times New Roman"/>
                <w:color w:val="000000"/>
                <w:sz w:val="16"/>
              </w:rPr>
              <w:t>726</w:t>
            </w:r>
            <w:r w:rsidRPr="00600293">
              <w:rPr>
                <w:rFonts w:eastAsia="Times New Roman" w:cs="Times New Roman"/>
                <w:color w:val="000000"/>
                <w:sz w:val="16"/>
              </w:rPr>
              <w:t>)</w:t>
            </w:r>
          </w:p>
        </w:tc>
        <w:tc>
          <w:tcPr>
            <w:tcW w:w="1181" w:type="dxa"/>
            <w:shd w:val="clear" w:color="auto" w:fill="auto"/>
            <w:vAlign w:val="center"/>
          </w:tcPr>
          <w:p w:rsidR="00E1056D" w:rsidRPr="002D00B9" w:rsidRDefault="001400AF" w:rsidP="00E1056D">
            <w:pPr>
              <w:keepNext/>
              <w:tabs>
                <w:tab w:val="decimal" w:pos="1091"/>
              </w:tabs>
              <w:jc w:val="left"/>
              <w:rPr>
                <w:rFonts w:cs="Times New Roman"/>
                <w:sz w:val="16"/>
                <w:szCs w:val="16"/>
              </w:rPr>
            </w:pPr>
            <w:r>
              <w:rPr>
                <w:rFonts w:cs="Times New Roman"/>
                <w:sz w:val="16"/>
                <w:szCs w:val="16"/>
              </w:rPr>
              <w:t>88,387,439</w:t>
            </w:r>
          </w:p>
        </w:tc>
      </w:tr>
      <w:tr w:rsidR="00E1056D" w:rsidRPr="004D72DD" w:rsidTr="000A6530">
        <w:trPr>
          <w:jc w:val="center"/>
        </w:trPr>
        <w:tc>
          <w:tcPr>
            <w:tcW w:w="1086" w:type="dxa"/>
            <w:shd w:val="clear" w:color="auto" w:fill="auto"/>
          </w:tcPr>
          <w:p w:rsidR="00E1056D" w:rsidRPr="004D72DD" w:rsidRDefault="00E1056D" w:rsidP="00E1056D">
            <w:pPr>
              <w:keepNext/>
              <w:tabs>
                <w:tab w:val="center" w:pos="1008"/>
                <w:tab w:val="center" w:pos="2448"/>
                <w:tab w:val="center" w:pos="4608"/>
                <w:tab w:val="center" w:pos="6768"/>
                <w:tab w:val="center" w:pos="8208"/>
              </w:tabs>
              <w:suppressAutoHyphens/>
              <w:jc w:val="center"/>
              <w:rPr>
                <w:rFonts w:cs="Times New Roman"/>
                <w:spacing w:val="-2"/>
                <w:sz w:val="16"/>
                <w:szCs w:val="16"/>
              </w:rPr>
            </w:pPr>
            <w:r w:rsidRPr="004D72DD">
              <w:rPr>
                <w:rFonts w:cs="Times New Roman"/>
                <w:spacing w:val="-2"/>
                <w:sz w:val="16"/>
                <w:szCs w:val="16"/>
              </w:rPr>
              <w:t>2028</w:t>
            </w:r>
          </w:p>
        </w:tc>
        <w:tc>
          <w:tcPr>
            <w:tcW w:w="1180" w:type="dxa"/>
            <w:shd w:val="clear" w:color="auto" w:fill="auto"/>
            <w:vAlign w:val="bottom"/>
          </w:tcPr>
          <w:p w:rsidR="00E1056D" w:rsidRPr="00E1056D" w:rsidRDefault="00E1056D" w:rsidP="00E1056D">
            <w:pPr>
              <w:tabs>
                <w:tab w:val="decimal" w:pos="984"/>
              </w:tabs>
              <w:rPr>
                <w:rFonts w:cs="Times New Roman"/>
                <w:sz w:val="16"/>
                <w:szCs w:val="20"/>
              </w:rPr>
            </w:pPr>
            <w:r w:rsidRPr="00E1056D">
              <w:rPr>
                <w:rFonts w:cs="Times New Roman"/>
                <w:sz w:val="16"/>
                <w:szCs w:val="20"/>
              </w:rPr>
              <w:t>2,170,000</w:t>
            </w:r>
          </w:p>
        </w:tc>
        <w:tc>
          <w:tcPr>
            <w:tcW w:w="1178" w:type="dxa"/>
            <w:shd w:val="clear" w:color="auto" w:fill="auto"/>
          </w:tcPr>
          <w:p w:rsidR="00E1056D" w:rsidRPr="004D72DD" w:rsidRDefault="004844A4" w:rsidP="00E1056D">
            <w:pPr>
              <w:tabs>
                <w:tab w:val="decimal" w:pos="966"/>
              </w:tabs>
              <w:jc w:val="left"/>
              <w:rPr>
                <w:sz w:val="16"/>
                <w:szCs w:val="16"/>
              </w:rPr>
            </w:pPr>
            <w:r>
              <w:rPr>
                <w:sz w:val="16"/>
                <w:szCs w:val="16"/>
              </w:rPr>
              <w:t>3,516,450</w:t>
            </w:r>
          </w:p>
        </w:tc>
        <w:tc>
          <w:tcPr>
            <w:tcW w:w="1186" w:type="dxa"/>
            <w:shd w:val="clear" w:color="auto" w:fill="auto"/>
            <w:vAlign w:val="bottom"/>
          </w:tcPr>
          <w:p w:rsidR="00E1056D" w:rsidRPr="00364544" w:rsidRDefault="00E1056D" w:rsidP="00E1056D">
            <w:pPr>
              <w:tabs>
                <w:tab w:val="decimal" w:pos="966"/>
              </w:tabs>
              <w:rPr>
                <w:rFonts w:eastAsia="Times New Roman" w:cs="Times New Roman"/>
                <w:color w:val="000000"/>
                <w:sz w:val="16"/>
              </w:rPr>
            </w:pPr>
            <w:r>
              <w:rPr>
                <w:rFonts w:eastAsia="Times New Roman" w:cs="Times New Roman"/>
                <w:color w:val="000000"/>
                <w:sz w:val="16"/>
              </w:rPr>
              <w:t>87,563,847</w:t>
            </w:r>
          </w:p>
        </w:tc>
        <w:tc>
          <w:tcPr>
            <w:tcW w:w="1184" w:type="dxa"/>
            <w:shd w:val="clear" w:color="auto" w:fill="auto"/>
            <w:vAlign w:val="bottom"/>
          </w:tcPr>
          <w:p w:rsidR="00E1056D" w:rsidRPr="00600293" w:rsidRDefault="00E1056D" w:rsidP="00E1056D">
            <w:pPr>
              <w:tabs>
                <w:tab w:val="decimal" w:pos="950"/>
              </w:tabs>
              <w:rPr>
                <w:rFonts w:eastAsia="Times New Roman" w:cs="Times New Roman"/>
                <w:color w:val="000000"/>
                <w:sz w:val="16"/>
              </w:rPr>
            </w:pPr>
            <w:r w:rsidRPr="00600293">
              <w:rPr>
                <w:rFonts w:eastAsia="Times New Roman" w:cs="Times New Roman"/>
                <w:color w:val="000000"/>
                <w:sz w:val="16"/>
              </w:rPr>
              <w:t>(4,8</w:t>
            </w:r>
            <w:r>
              <w:rPr>
                <w:rFonts w:eastAsia="Times New Roman" w:cs="Times New Roman"/>
                <w:color w:val="000000"/>
                <w:sz w:val="16"/>
              </w:rPr>
              <w:t>72</w:t>
            </w:r>
            <w:r w:rsidRPr="00600293">
              <w:rPr>
                <w:rFonts w:eastAsia="Times New Roman" w:cs="Times New Roman"/>
                <w:color w:val="000000"/>
                <w:sz w:val="16"/>
              </w:rPr>
              <w:t>,</w:t>
            </w:r>
            <w:r>
              <w:rPr>
                <w:rFonts w:eastAsia="Times New Roman" w:cs="Times New Roman"/>
                <w:color w:val="000000"/>
                <w:sz w:val="16"/>
              </w:rPr>
              <w:t>726</w:t>
            </w:r>
            <w:r w:rsidRPr="00600293">
              <w:rPr>
                <w:rFonts w:eastAsia="Times New Roman" w:cs="Times New Roman"/>
                <w:color w:val="000000"/>
                <w:sz w:val="16"/>
              </w:rPr>
              <w:t>)</w:t>
            </w:r>
          </w:p>
        </w:tc>
        <w:tc>
          <w:tcPr>
            <w:tcW w:w="1181" w:type="dxa"/>
            <w:shd w:val="clear" w:color="auto" w:fill="auto"/>
            <w:vAlign w:val="center"/>
          </w:tcPr>
          <w:p w:rsidR="00E1056D" w:rsidRPr="002D00B9" w:rsidRDefault="001400AF" w:rsidP="00E1056D">
            <w:pPr>
              <w:keepNext/>
              <w:tabs>
                <w:tab w:val="decimal" w:pos="1091"/>
              </w:tabs>
              <w:jc w:val="left"/>
              <w:rPr>
                <w:rFonts w:cs="Times New Roman"/>
                <w:sz w:val="16"/>
                <w:szCs w:val="16"/>
              </w:rPr>
            </w:pPr>
            <w:r>
              <w:rPr>
                <w:rFonts w:cs="Times New Roman"/>
                <w:sz w:val="16"/>
                <w:szCs w:val="16"/>
              </w:rPr>
              <w:t>88,377,571</w:t>
            </w:r>
          </w:p>
        </w:tc>
      </w:tr>
      <w:tr w:rsidR="00E1056D" w:rsidRPr="004D72DD" w:rsidTr="000A6530">
        <w:trPr>
          <w:jc w:val="center"/>
        </w:trPr>
        <w:tc>
          <w:tcPr>
            <w:tcW w:w="1086" w:type="dxa"/>
            <w:shd w:val="clear" w:color="auto" w:fill="auto"/>
          </w:tcPr>
          <w:p w:rsidR="00E1056D" w:rsidRPr="004D72DD" w:rsidRDefault="00E1056D" w:rsidP="00E1056D">
            <w:pPr>
              <w:keepNext/>
              <w:tabs>
                <w:tab w:val="center" w:pos="1008"/>
                <w:tab w:val="center" w:pos="2448"/>
                <w:tab w:val="center" w:pos="4608"/>
                <w:tab w:val="center" w:pos="6768"/>
                <w:tab w:val="center" w:pos="8208"/>
              </w:tabs>
              <w:suppressAutoHyphens/>
              <w:jc w:val="center"/>
              <w:rPr>
                <w:rFonts w:cs="Times New Roman"/>
                <w:spacing w:val="-2"/>
                <w:sz w:val="16"/>
                <w:szCs w:val="16"/>
              </w:rPr>
            </w:pPr>
            <w:r w:rsidRPr="004D72DD">
              <w:rPr>
                <w:rFonts w:cs="Times New Roman"/>
                <w:spacing w:val="-2"/>
                <w:sz w:val="16"/>
                <w:szCs w:val="16"/>
              </w:rPr>
              <w:t>2029</w:t>
            </w:r>
          </w:p>
        </w:tc>
        <w:tc>
          <w:tcPr>
            <w:tcW w:w="1180" w:type="dxa"/>
            <w:shd w:val="clear" w:color="auto" w:fill="auto"/>
            <w:vAlign w:val="bottom"/>
          </w:tcPr>
          <w:p w:rsidR="00E1056D" w:rsidRPr="00E1056D" w:rsidRDefault="00E1056D" w:rsidP="00E1056D">
            <w:pPr>
              <w:tabs>
                <w:tab w:val="decimal" w:pos="984"/>
              </w:tabs>
              <w:rPr>
                <w:rFonts w:cs="Times New Roman"/>
                <w:sz w:val="16"/>
                <w:szCs w:val="20"/>
              </w:rPr>
            </w:pPr>
            <w:r w:rsidRPr="00E1056D">
              <w:rPr>
                <w:rFonts w:cs="Times New Roman"/>
                <w:sz w:val="16"/>
                <w:szCs w:val="20"/>
              </w:rPr>
              <w:t>2,265,000</w:t>
            </w:r>
          </w:p>
        </w:tc>
        <w:tc>
          <w:tcPr>
            <w:tcW w:w="1178" w:type="dxa"/>
            <w:shd w:val="clear" w:color="auto" w:fill="auto"/>
          </w:tcPr>
          <w:p w:rsidR="00E1056D" w:rsidRPr="004D72DD" w:rsidRDefault="004844A4" w:rsidP="00E1056D">
            <w:pPr>
              <w:tabs>
                <w:tab w:val="decimal" w:pos="966"/>
              </w:tabs>
              <w:jc w:val="left"/>
              <w:rPr>
                <w:sz w:val="16"/>
                <w:szCs w:val="16"/>
              </w:rPr>
            </w:pPr>
            <w:r>
              <w:rPr>
                <w:sz w:val="16"/>
                <w:szCs w:val="16"/>
              </w:rPr>
              <w:t>3,407,950</w:t>
            </w:r>
          </w:p>
        </w:tc>
        <w:tc>
          <w:tcPr>
            <w:tcW w:w="1186" w:type="dxa"/>
            <w:shd w:val="clear" w:color="auto" w:fill="auto"/>
            <w:vAlign w:val="bottom"/>
          </w:tcPr>
          <w:p w:rsidR="00E1056D" w:rsidRPr="00364544" w:rsidRDefault="00E1056D" w:rsidP="00E1056D">
            <w:pPr>
              <w:tabs>
                <w:tab w:val="decimal" w:pos="966"/>
              </w:tabs>
              <w:rPr>
                <w:rFonts w:eastAsia="Times New Roman" w:cs="Times New Roman"/>
                <w:color w:val="000000"/>
                <w:sz w:val="16"/>
              </w:rPr>
            </w:pPr>
            <w:r>
              <w:rPr>
                <w:rFonts w:eastAsia="Times New Roman" w:cs="Times New Roman"/>
                <w:color w:val="000000"/>
                <w:sz w:val="16"/>
              </w:rPr>
              <w:t>82,689,367</w:t>
            </w:r>
          </w:p>
        </w:tc>
        <w:tc>
          <w:tcPr>
            <w:tcW w:w="1184" w:type="dxa"/>
            <w:shd w:val="clear" w:color="auto" w:fill="auto"/>
            <w:vAlign w:val="bottom"/>
          </w:tcPr>
          <w:p w:rsidR="00E1056D" w:rsidRPr="004D72DD" w:rsidRDefault="00E1056D" w:rsidP="00E1056D">
            <w:pPr>
              <w:keepNext/>
              <w:tabs>
                <w:tab w:val="decimal" w:pos="997"/>
              </w:tabs>
              <w:jc w:val="left"/>
              <w:rPr>
                <w:rFonts w:eastAsia="Times New Roman" w:cs="Times New Roman"/>
                <w:bCs/>
                <w:sz w:val="16"/>
                <w:szCs w:val="16"/>
              </w:rPr>
            </w:pPr>
            <w:r>
              <w:rPr>
                <w:rFonts w:eastAsia="Times New Roman" w:cs="Times New Roman"/>
                <w:bCs/>
                <w:sz w:val="16"/>
                <w:szCs w:val="16"/>
              </w:rPr>
              <w:t>--</w:t>
            </w:r>
          </w:p>
        </w:tc>
        <w:tc>
          <w:tcPr>
            <w:tcW w:w="1181" w:type="dxa"/>
            <w:shd w:val="clear" w:color="auto" w:fill="auto"/>
            <w:vAlign w:val="center"/>
          </w:tcPr>
          <w:p w:rsidR="00E1056D" w:rsidRPr="002D00B9" w:rsidRDefault="001400AF" w:rsidP="00E1056D">
            <w:pPr>
              <w:keepNext/>
              <w:tabs>
                <w:tab w:val="decimal" w:pos="1091"/>
              </w:tabs>
              <w:jc w:val="left"/>
              <w:rPr>
                <w:rFonts w:cs="Times New Roman"/>
                <w:sz w:val="16"/>
                <w:szCs w:val="16"/>
              </w:rPr>
            </w:pPr>
            <w:r>
              <w:rPr>
                <w:rFonts w:cs="Times New Roman"/>
                <w:sz w:val="16"/>
                <w:szCs w:val="16"/>
              </w:rPr>
              <w:t>88,362,317</w:t>
            </w:r>
          </w:p>
        </w:tc>
      </w:tr>
      <w:tr w:rsidR="00E1056D" w:rsidRPr="004D72DD" w:rsidTr="000A6530">
        <w:trPr>
          <w:jc w:val="center"/>
        </w:trPr>
        <w:tc>
          <w:tcPr>
            <w:tcW w:w="1086" w:type="dxa"/>
            <w:shd w:val="clear" w:color="auto" w:fill="auto"/>
          </w:tcPr>
          <w:p w:rsidR="00E1056D" w:rsidRPr="004D72DD" w:rsidRDefault="00E1056D" w:rsidP="00E1056D">
            <w:pPr>
              <w:keepNext/>
              <w:tabs>
                <w:tab w:val="center" w:pos="1008"/>
                <w:tab w:val="center" w:pos="2448"/>
                <w:tab w:val="center" w:pos="4608"/>
                <w:tab w:val="center" w:pos="6768"/>
                <w:tab w:val="center" w:pos="8208"/>
              </w:tabs>
              <w:suppressAutoHyphens/>
              <w:jc w:val="center"/>
              <w:rPr>
                <w:rFonts w:cs="Times New Roman"/>
                <w:spacing w:val="-2"/>
                <w:sz w:val="16"/>
                <w:szCs w:val="16"/>
              </w:rPr>
            </w:pPr>
            <w:r w:rsidRPr="004D72DD">
              <w:rPr>
                <w:rFonts w:cs="Times New Roman"/>
                <w:spacing w:val="-2"/>
                <w:sz w:val="16"/>
                <w:szCs w:val="16"/>
              </w:rPr>
              <w:t>2030</w:t>
            </w:r>
          </w:p>
        </w:tc>
        <w:tc>
          <w:tcPr>
            <w:tcW w:w="1180" w:type="dxa"/>
            <w:shd w:val="clear" w:color="auto" w:fill="auto"/>
            <w:vAlign w:val="bottom"/>
          </w:tcPr>
          <w:p w:rsidR="00E1056D" w:rsidRPr="00E1056D" w:rsidRDefault="00E1056D" w:rsidP="00E1056D">
            <w:pPr>
              <w:tabs>
                <w:tab w:val="decimal" w:pos="984"/>
              </w:tabs>
              <w:rPr>
                <w:rFonts w:cs="Times New Roman"/>
                <w:sz w:val="16"/>
                <w:szCs w:val="20"/>
              </w:rPr>
            </w:pPr>
            <w:r w:rsidRPr="00E1056D">
              <w:rPr>
                <w:rFonts w:cs="Times New Roman"/>
                <w:sz w:val="16"/>
                <w:szCs w:val="20"/>
              </w:rPr>
              <w:t>2,380,000</w:t>
            </w:r>
          </w:p>
        </w:tc>
        <w:tc>
          <w:tcPr>
            <w:tcW w:w="1178" w:type="dxa"/>
            <w:shd w:val="clear" w:color="auto" w:fill="auto"/>
          </w:tcPr>
          <w:p w:rsidR="00E1056D" w:rsidRPr="004D72DD" w:rsidRDefault="004844A4" w:rsidP="00E1056D">
            <w:pPr>
              <w:tabs>
                <w:tab w:val="decimal" w:pos="966"/>
              </w:tabs>
              <w:jc w:val="left"/>
              <w:rPr>
                <w:sz w:val="16"/>
                <w:szCs w:val="16"/>
              </w:rPr>
            </w:pPr>
            <w:r>
              <w:rPr>
                <w:sz w:val="16"/>
                <w:szCs w:val="16"/>
              </w:rPr>
              <w:t>3,294,700</w:t>
            </w:r>
          </w:p>
        </w:tc>
        <w:tc>
          <w:tcPr>
            <w:tcW w:w="1186" w:type="dxa"/>
            <w:shd w:val="clear" w:color="auto" w:fill="auto"/>
            <w:vAlign w:val="bottom"/>
          </w:tcPr>
          <w:p w:rsidR="00E1056D" w:rsidRPr="00364544" w:rsidRDefault="00E1056D" w:rsidP="00E1056D">
            <w:pPr>
              <w:tabs>
                <w:tab w:val="decimal" w:pos="966"/>
              </w:tabs>
              <w:rPr>
                <w:rFonts w:eastAsia="Times New Roman" w:cs="Times New Roman"/>
                <w:color w:val="000000"/>
                <w:sz w:val="16"/>
              </w:rPr>
            </w:pPr>
            <w:r>
              <w:rPr>
                <w:rFonts w:eastAsia="Times New Roman" w:cs="Times New Roman"/>
                <w:color w:val="000000"/>
                <w:sz w:val="16"/>
              </w:rPr>
              <w:t>82,671,500</w:t>
            </w:r>
          </w:p>
        </w:tc>
        <w:tc>
          <w:tcPr>
            <w:tcW w:w="1184" w:type="dxa"/>
            <w:shd w:val="clear" w:color="auto" w:fill="auto"/>
            <w:vAlign w:val="bottom"/>
          </w:tcPr>
          <w:p w:rsidR="00E1056D" w:rsidRPr="004D72DD" w:rsidRDefault="00E1056D" w:rsidP="00E1056D">
            <w:pPr>
              <w:keepNext/>
              <w:tabs>
                <w:tab w:val="decimal" w:pos="997"/>
              </w:tabs>
              <w:jc w:val="left"/>
              <w:rPr>
                <w:rFonts w:eastAsia="Times New Roman" w:cs="Times New Roman"/>
                <w:bCs/>
                <w:sz w:val="16"/>
                <w:szCs w:val="16"/>
              </w:rPr>
            </w:pPr>
            <w:r>
              <w:rPr>
                <w:rFonts w:eastAsia="Times New Roman" w:cs="Times New Roman"/>
                <w:bCs/>
                <w:sz w:val="16"/>
                <w:szCs w:val="16"/>
              </w:rPr>
              <w:t>--</w:t>
            </w:r>
          </w:p>
        </w:tc>
        <w:tc>
          <w:tcPr>
            <w:tcW w:w="1181" w:type="dxa"/>
            <w:shd w:val="clear" w:color="auto" w:fill="auto"/>
            <w:vAlign w:val="center"/>
          </w:tcPr>
          <w:p w:rsidR="00E1056D" w:rsidRPr="002D00B9" w:rsidRDefault="001400AF" w:rsidP="00E1056D">
            <w:pPr>
              <w:keepNext/>
              <w:tabs>
                <w:tab w:val="decimal" w:pos="1091"/>
              </w:tabs>
              <w:jc w:val="left"/>
              <w:rPr>
                <w:rFonts w:cs="Times New Roman"/>
                <w:sz w:val="16"/>
                <w:szCs w:val="16"/>
              </w:rPr>
            </w:pPr>
            <w:r>
              <w:rPr>
                <w:rFonts w:cs="Times New Roman"/>
                <w:sz w:val="16"/>
                <w:szCs w:val="16"/>
              </w:rPr>
              <w:t>88,346,200</w:t>
            </w:r>
          </w:p>
        </w:tc>
      </w:tr>
      <w:tr w:rsidR="00E1056D" w:rsidRPr="004D72DD" w:rsidTr="000A6530">
        <w:trPr>
          <w:jc w:val="center"/>
        </w:trPr>
        <w:tc>
          <w:tcPr>
            <w:tcW w:w="1086" w:type="dxa"/>
            <w:shd w:val="clear" w:color="auto" w:fill="auto"/>
          </w:tcPr>
          <w:p w:rsidR="00E1056D" w:rsidRPr="004D72DD" w:rsidRDefault="00E1056D" w:rsidP="00E1056D">
            <w:pPr>
              <w:keepNext/>
              <w:tabs>
                <w:tab w:val="center" w:pos="1008"/>
                <w:tab w:val="center" w:pos="2448"/>
                <w:tab w:val="center" w:pos="4608"/>
                <w:tab w:val="center" w:pos="6768"/>
                <w:tab w:val="center" w:pos="8208"/>
              </w:tabs>
              <w:suppressAutoHyphens/>
              <w:jc w:val="center"/>
              <w:rPr>
                <w:rFonts w:cs="Times New Roman"/>
                <w:spacing w:val="-2"/>
                <w:sz w:val="16"/>
                <w:szCs w:val="16"/>
              </w:rPr>
            </w:pPr>
            <w:r w:rsidRPr="004D72DD">
              <w:rPr>
                <w:rFonts w:cs="Times New Roman"/>
                <w:spacing w:val="-2"/>
                <w:sz w:val="16"/>
                <w:szCs w:val="16"/>
              </w:rPr>
              <w:t>2031</w:t>
            </w:r>
          </w:p>
        </w:tc>
        <w:tc>
          <w:tcPr>
            <w:tcW w:w="1180" w:type="dxa"/>
            <w:shd w:val="clear" w:color="auto" w:fill="auto"/>
            <w:vAlign w:val="bottom"/>
          </w:tcPr>
          <w:p w:rsidR="00E1056D" w:rsidRPr="00E1056D" w:rsidRDefault="00E1056D" w:rsidP="00E1056D">
            <w:pPr>
              <w:tabs>
                <w:tab w:val="decimal" w:pos="984"/>
              </w:tabs>
              <w:rPr>
                <w:rFonts w:cs="Times New Roman"/>
                <w:sz w:val="16"/>
                <w:szCs w:val="20"/>
              </w:rPr>
            </w:pPr>
            <w:r w:rsidRPr="00E1056D">
              <w:rPr>
                <w:rFonts w:cs="Times New Roman"/>
                <w:sz w:val="16"/>
                <w:szCs w:val="20"/>
              </w:rPr>
              <w:t>2,500,000</w:t>
            </w:r>
          </w:p>
        </w:tc>
        <w:tc>
          <w:tcPr>
            <w:tcW w:w="1178" w:type="dxa"/>
            <w:shd w:val="clear" w:color="auto" w:fill="auto"/>
          </w:tcPr>
          <w:p w:rsidR="00E1056D" w:rsidRPr="004D72DD" w:rsidRDefault="004844A4" w:rsidP="00E1056D">
            <w:pPr>
              <w:tabs>
                <w:tab w:val="decimal" w:pos="966"/>
              </w:tabs>
              <w:jc w:val="left"/>
              <w:rPr>
                <w:sz w:val="16"/>
                <w:szCs w:val="16"/>
              </w:rPr>
            </w:pPr>
            <w:r>
              <w:rPr>
                <w:sz w:val="16"/>
                <w:szCs w:val="16"/>
              </w:rPr>
              <w:t>3,175,700</w:t>
            </w:r>
          </w:p>
        </w:tc>
        <w:tc>
          <w:tcPr>
            <w:tcW w:w="1186" w:type="dxa"/>
            <w:shd w:val="clear" w:color="auto" w:fill="auto"/>
            <w:vAlign w:val="bottom"/>
          </w:tcPr>
          <w:p w:rsidR="00E1056D" w:rsidRPr="00364544" w:rsidRDefault="00E1056D" w:rsidP="00E1056D">
            <w:pPr>
              <w:tabs>
                <w:tab w:val="decimal" w:pos="966"/>
              </w:tabs>
              <w:rPr>
                <w:rFonts w:eastAsia="Times New Roman" w:cs="Times New Roman"/>
                <w:color w:val="000000"/>
                <w:sz w:val="16"/>
              </w:rPr>
            </w:pPr>
            <w:r>
              <w:rPr>
                <w:rFonts w:eastAsia="Times New Roman" w:cs="Times New Roman"/>
                <w:color w:val="000000"/>
                <w:sz w:val="16"/>
              </w:rPr>
              <w:t>79,783,870</w:t>
            </w:r>
          </w:p>
        </w:tc>
        <w:tc>
          <w:tcPr>
            <w:tcW w:w="1184" w:type="dxa"/>
            <w:shd w:val="clear" w:color="auto" w:fill="auto"/>
            <w:vAlign w:val="bottom"/>
          </w:tcPr>
          <w:p w:rsidR="00E1056D" w:rsidRPr="004D72DD" w:rsidRDefault="00E1056D" w:rsidP="00E1056D">
            <w:pPr>
              <w:keepNext/>
              <w:tabs>
                <w:tab w:val="decimal" w:pos="997"/>
              </w:tabs>
              <w:jc w:val="left"/>
              <w:rPr>
                <w:rFonts w:eastAsia="Times New Roman" w:cs="Times New Roman"/>
                <w:bCs/>
                <w:sz w:val="16"/>
                <w:szCs w:val="16"/>
              </w:rPr>
            </w:pPr>
            <w:r>
              <w:rPr>
                <w:rFonts w:eastAsia="Times New Roman" w:cs="Times New Roman"/>
                <w:bCs/>
                <w:sz w:val="16"/>
                <w:szCs w:val="16"/>
              </w:rPr>
              <w:t>--</w:t>
            </w:r>
          </w:p>
        </w:tc>
        <w:tc>
          <w:tcPr>
            <w:tcW w:w="1181" w:type="dxa"/>
            <w:shd w:val="clear" w:color="auto" w:fill="auto"/>
            <w:vAlign w:val="center"/>
          </w:tcPr>
          <w:p w:rsidR="00E1056D" w:rsidRPr="002D00B9" w:rsidRDefault="001400AF" w:rsidP="00E1056D">
            <w:pPr>
              <w:keepNext/>
              <w:tabs>
                <w:tab w:val="decimal" w:pos="1091"/>
              </w:tabs>
              <w:jc w:val="left"/>
              <w:rPr>
                <w:rFonts w:cs="Times New Roman"/>
                <w:sz w:val="16"/>
                <w:szCs w:val="16"/>
              </w:rPr>
            </w:pPr>
            <w:r>
              <w:rPr>
                <w:rFonts w:cs="Times New Roman"/>
                <w:sz w:val="16"/>
                <w:szCs w:val="16"/>
              </w:rPr>
              <w:t>85,459,570</w:t>
            </w:r>
          </w:p>
        </w:tc>
      </w:tr>
      <w:tr w:rsidR="00E1056D" w:rsidRPr="004D72DD" w:rsidTr="000A6530">
        <w:trPr>
          <w:jc w:val="center"/>
        </w:trPr>
        <w:tc>
          <w:tcPr>
            <w:tcW w:w="1086" w:type="dxa"/>
            <w:shd w:val="clear" w:color="auto" w:fill="auto"/>
          </w:tcPr>
          <w:p w:rsidR="00E1056D" w:rsidRPr="004D72DD" w:rsidRDefault="00E1056D" w:rsidP="00E1056D">
            <w:pPr>
              <w:keepNext/>
              <w:tabs>
                <w:tab w:val="center" w:pos="1008"/>
                <w:tab w:val="center" w:pos="2448"/>
                <w:tab w:val="center" w:pos="4608"/>
                <w:tab w:val="center" w:pos="6768"/>
                <w:tab w:val="center" w:pos="8208"/>
              </w:tabs>
              <w:suppressAutoHyphens/>
              <w:jc w:val="center"/>
              <w:rPr>
                <w:rFonts w:cs="Times New Roman"/>
                <w:spacing w:val="-2"/>
                <w:sz w:val="16"/>
                <w:szCs w:val="16"/>
              </w:rPr>
            </w:pPr>
            <w:r w:rsidRPr="004D72DD">
              <w:rPr>
                <w:rFonts w:cs="Times New Roman"/>
                <w:spacing w:val="-2"/>
                <w:sz w:val="16"/>
                <w:szCs w:val="16"/>
              </w:rPr>
              <w:t>2032</w:t>
            </w:r>
          </w:p>
        </w:tc>
        <w:tc>
          <w:tcPr>
            <w:tcW w:w="1180" w:type="dxa"/>
            <w:shd w:val="clear" w:color="auto" w:fill="auto"/>
            <w:vAlign w:val="bottom"/>
          </w:tcPr>
          <w:p w:rsidR="00E1056D" w:rsidRPr="00E1056D" w:rsidRDefault="00E1056D" w:rsidP="00E1056D">
            <w:pPr>
              <w:tabs>
                <w:tab w:val="decimal" w:pos="984"/>
              </w:tabs>
              <w:rPr>
                <w:rFonts w:cs="Times New Roman"/>
                <w:sz w:val="16"/>
                <w:szCs w:val="20"/>
              </w:rPr>
            </w:pPr>
            <w:r w:rsidRPr="00E1056D">
              <w:rPr>
                <w:rFonts w:cs="Times New Roman"/>
                <w:sz w:val="16"/>
                <w:szCs w:val="20"/>
              </w:rPr>
              <w:t>2,625,000</w:t>
            </w:r>
          </w:p>
        </w:tc>
        <w:tc>
          <w:tcPr>
            <w:tcW w:w="1178" w:type="dxa"/>
            <w:shd w:val="clear" w:color="auto" w:fill="auto"/>
          </w:tcPr>
          <w:p w:rsidR="00E1056D" w:rsidRPr="004D72DD" w:rsidRDefault="004844A4" w:rsidP="00E1056D">
            <w:pPr>
              <w:tabs>
                <w:tab w:val="decimal" w:pos="966"/>
              </w:tabs>
              <w:jc w:val="left"/>
              <w:rPr>
                <w:sz w:val="16"/>
                <w:szCs w:val="16"/>
              </w:rPr>
            </w:pPr>
            <w:r>
              <w:rPr>
                <w:sz w:val="16"/>
                <w:szCs w:val="16"/>
              </w:rPr>
              <w:t>3,050,700</w:t>
            </w:r>
          </w:p>
        </w:tc>
        <w:tc>
          <w:tcPr>
            <w:tcW w:w="1186" w:type="dxa"/>
            <w:shd w:val="clear" w:color="auto" w:fill="auto"/>
            <w:vAlign w:val="bottom"/>
          </w:tcPr>
          <w:p w:rsidR="00E1056D" w:rsidRPr="00364544" w:rsidRDefault="00E1056D" w:rsidP="00E1056D">
            <w:pPr>
              <w:tabs>
                <w:tab w:val="decimal" w:pos="966"/>
              </w:tabs>
              <w:rPr>
                <w:rFonts w:eastAsia="Times New Roman" w:cs="Times New Roman"/>
                <w:color w:val="000000"/>
                <w:sz w:val="16"/>
              </w:rPr>
            </w:pPr>
            <w:r>
              <w:rPr>
                <w:rFonts w:eastAsia="Times New Roman" w:cs="Times New Roman"/>
                <w:color w:val="000000"/>
                <w:sz w:val="16"/>
              </w:rPr>
              <w:t>75,235,570</w:t>
            </w:r>
          </w:p>
        </w:tc>
        <w:tc>
          <w:tcPr>
            <w:tcW w:w="1184" w:type="dxa"/>
            <w:shd w:val="clear" w:color="auto" w:fill="auto"/>
            <w:vAlign w:val="bottom"/>
          </w:tcPr>
          <w:p w:rsidR="00E1056D" w:rsidRPr="004D72DD" w:rsidRDefault="00E1056D" w:rsidP="00E1056D">
            <w:pPr>
              <w:keepNext/>
              <w:tabs>
                <w:tab w:val="decimal" w:pos="997"/>
              </w:tabs>
              <w:jc w:val="left"/>
              <w:rPr>
                <w:rFonts w:eastAsia="Times New Roman" w:cs="Times New Roman"/>
                <w:bCs/>
                <w:sz w:val="16"/>
                <w:szCs w:val="16"/>
              </w:rPr>
            </w:pPr>
            <w:r>
              <w:rPr>
                <w:rFonts w:eastAsia="Times New Roman" w:cs="Times New Roman"/>
                <w:bCs/>
                <w:sz w:val="16"/>
                <w:szCs w:val="16"/>
              </w:rPr>
              <w:t>--</w:t>
            </w:r>
          </w:p>
        </w:tc>
        <w:tc>
          <w:tcPr>
            <w:tcW w:w="1181" w:type="dxa"/>
            <w:shd w:val="clear" w:color="auto" w:fill="auto"/>
            <w:vAlign w:val="center"/>
          </w:tcPr>
          <w:p w:rsidR="00E1056D" w:rsidRPr="004D72DD" w:rsidRDefault="001400AF" w:rsidP="00E1056D">
            <w:pPr>
              <w:keepNext/>
              <w:tabs>
                <w:tab w:val="decimal" w:pos="1091"/>
              </w:tabs>
              <w:jc w:val="left"/>
              <w:rPr>
                <w:rFonts w:eastAsia="Times New Roman" w:cs="Times New Roman"/>
                <w:bCs/>
                <w:sz w:val="16"/>
                <w:szCs w:val="16"/>
              </w:rPr>
            </w:pPr>
            <w:r>
              <w:rPr>
                <w:rFonts w:eastAsia="Times New Roman" w:cs="Times New Roman"/>
                <w:bCs/>
                <w:sz w:val="16"/>
                <w:szCs w:val="16"/>
              </w:rPr>
              <w:t>80,911,270</w:t>
            </w:r>
          </w:p>
        </w:tc>
      </w:tr>
      <w:tr w:rsidR="00E1056D" w:rsidRPr="004D72DD" w:rsidTr="000A6530">
        <w:trPr>
          <w:trHeight w:val="153"/>
          <w:jc w:val="center"/>
        </w:trPr>
        <w:tc>
          <w:tcPr>
            <w:tcW w:w="1086" w:type="dxa"/>
            <w:shd w:val="clear" w:color="auto" w:fill="auto"/>
          </w:tcPr>
          <w:p w:rsidR="00E1056D" w:rsidRPr="004D72DD" w:rsidRDefault="00E1056D" w:rsidP="00E1056D">
            <w:pPr>
              <w:keepNext/>
              <w:tabs>
                <w:tab w:val="center" w:pos="1008"/>
                <w:tab w:val="center" w:pos="2448"/>
                <w:tab w:val="center" w:pos="4608"/>
                <w:tab w:val="center" w:pos="6768"/>
                <w:tab w:val="center" w:pos="8208"/>
              </w:tabs>
              <w:suppressAutoHyphens/>
              <w:jc w:val="center"/>
              <w:rPr>
                <w:rFonts w:cs="Times New Roman"/>
                <w:spacing w:val="-2"/>
                <w:sz w:val="16"/>
                <w:szCs w:val="16"/>
              </w:rPr>
            </w:pPr>
            <w:r w:rsidRPr="004D72DD">
              <w:rPr>
                <w:rFonts w:cs="Times New Roman"/>
                <w:spacing w:val="-2"/>
                <w:sz w:val="16"/>
                <w:szCs w:val="16"/>
              </w:rPr>
              <w:t>2033</w:t>
            </w:r>
          </w:p>
        </w:tc>
        <w:tc>
          <w:tcPr>
            <w:tcW w:w="1180" w:type="dxa"/>
            <w:shd w:val="clear" w:color="auto" w:fill="auto"/>
            <w:vAlign w:val="bottom"/>
          </w:tcPr>
          <w:p w:rsidR="00E1056D" w:rsidRPr="00E1056D" w:rsidRDefault="00E1056D" w:rsidP="00E1056D">
            <w:pPr>
              <w:tabs>
                <w:tab w:val="decimal" w:pos="984"/>
              </w:tabs>
              <w:rPr>
                <w:rFonts w:cs="Times New Roman"/>
                <w:sz w:val="16"/>
                <w:szCs w:val="20"/>
              </w:rPr>
            </w:pPr>
            <w:r w:rsidRPr="00E1056D">
              <w:rPr>
                <w:rFonts w:cs="Times New Roman"/>
                <w:sz w:val="16"/>
                <w:szCs w:val="20"/>
              </w:rPr>
              <w:t>2,755,000</w:t>
            </w:r>
          </w:p>
        </w:tc>
        <w:tc>
          <w:tcPr>
            <w:tcW w:w="1178" w:type="dxa"/>
            <w:shd w:val="clear" w:color="auto" w:fill="auto"/>
          </w:tcPr>
          <w:p w:rsidR="00E1056D" w:rsidRPr="004D72DD" w:rsidRDefault="004844A4" w:rsidP="00E1056D">
            <w:pPr>
              <w:tabs>
                <w:tab w:val="decimal" w:pos="966"/>
              </w:tabs>
              <w:jc w:val="left"/>
              <w:rPr>
                <w:sz w:val="16"/>
                <w:szCs w:val="16"/>
              </w:rPr>
            </w:pPr>
            <w:r>
              <w:rPr>
                <w:sz w:val="16"/>
                <w:szCs w:val="16"/>
              </w:rPr>
              <w:t>2,919,450</w:t>
            </w:r>
          </w:p>
        </w:tc>
        <w:tc>
          <w:tcPr>
            <w:tcW w:w="1186" w:type="dxa"/>
            <w:shd w:val="clear" w:color="auto" w:fill="auto"/>
            <w:vAlign w:val="bottom"/>
          </w:tcPr>
          <w:p w:rsidR="00E1056D" w:rsidRPr="00364544" w:rsidRDefault="00E1056D" w:rsidP="00E1056D">
            <w:pPr>
              <w:tabs>
                <w:tab w:val="decimal" w:pos="966"/>
              </w:tabs>
              <w:rPr>
                <w:rFonts w:eastAsia="Times New Roman" w:cs="Times New Roman"/>
                <w:color w:val="000000"/>
                <w:sz w:val="16"/>
              </w:rPr>
            </w:pPr>
            <w:r>
              <w:rPr>
                <w:rFonts w:eastAsia="Times New Roman" w:cs="Times New Roman"/>
                <w:color w:val="000000"/>
                <w:sz w:val="16"/>
              </w:rPr>
              <w:t>72,962,291</w:t>
            </w:r>
          </w:p>
        </w:tc>
        <w:tc>
          <w:tcPr>
            <w:tcW w:w="1184" w:type="dxa"/>
            <w:shd w:val="clear" w:color="auto" w:fill="auto"/>
          </w:tcPr>
          <w:p w:rsidR="00E1056D" w:rsidRPr="004D72DD" w:rsidRDefault="00E1056D" w:rsidP="00E1056D">
            <w:pPr>
              <w:keepNext/>
              <w:tabs>
                <w:tab w:val="decimal" w:pos="997"/>
              </w:tabs>
              <w:jc w:val="left"/>
              <w:rPr>
                <w:sz w:val="16"/>
                <w:szCs w:val="16"/>
              </w:rPr>
            </w:pPr>
            <w:r>
              <w:rPr>
                <w:sz w:val="16"/>
                <w:szCs w:val="16"/>
              </w:rPr>
              <w:t>--</w:t>
            </w:r>
          </w:p>
        </w:tc>
        <w:tc>
          <w:tcPr>
            <w:tcW w:w="1181" w:type="dxa"/>
            <w:shd w:val="clear" w:color="auto" w:fill="auto"/>
            <w:vAlign w:val="center"/>
          </w:tcPr>
          <w:p w:rsidR="00E1056D" w:rsidRPr="004D72DD" w:rsidRDefault="001400AF" w:rsidP="00E1056D">
            <w:pPr>
              <w:keepNext/>
              <w:tabs>
                <w:tab w:val="decimal" w:pos="1091"/>
              </w:tabs>
              <w:jc w:val="left"/>
              <w:rPr>
                <w:rFonts w:eastAsia="Times New Roman" w:cs="Times New Roman"/>
                <w:bCs/>
                <w:sz w:val="16"/>
                <w:szCs w:val="16"/>
              </w:rPr>
            </w:pPr>
            <w:r>
              <w:rPr>
                <w:rFonts w:eastAsia="Times New Roman" w:cs="Times New Roman"/>
                <w:bCs/>
                <w:sz w:val="16"/>
                <w:szCs w:val="16"/>
              </w:rPr>
              <w:t>78,636,741</w:t>
            </w:r>
          </w:p>
        </w:tc>
      </w:tr>
      <w:tr w:rsidR="00E1056D" w:rsidRPr="004D72DD" w:rsidTr="000A6530">
        <w:trPr>
          <w:trHeight w:val="153"/>
          <w:jc w:val="center"/>
        </w:trPr>
        <w:tc>
          <w:tcPr>
            <w:tcW w:w="1086" w:type="dxa"/>
            <w:shd w:val="clear" w:color="auto" w:fill="auto"/>
          </w:tcPr>
          <w:p w:rsidR="00E1056D" w:rsidRPr="004D72DD" w:rsidRDefault="00E1056D" w:rsidP="00E1056D">
            <w:pPr>
              <w:keepNext/>
              <w:tabs>
                <w:tab w:val="center" w:pos="1008"/>
                <w:tab w:val="center" w:pos="2448"/>
                <w:tab w:val="center" w:pos="4608"/>
                <w:tab w:val="center" w:pos="6768"/>
                <w:tab w:val="center" w:pos="8208"/>
              </w:tabs>
              <w:suppressAutoHyphens/>
              <w:jc w:val="center"/>
              <w:rPr>
                <w:rFonts w:cs="Times New Roman"/>
                <w:spacing w:val="-2"/>
                <w:sz w:val="16"/>
                <w:szCs w:val="16"/>
              </w:rPr>
            </w:pPr>
            <w:r w:rsidRPr="004D72DD">
              <w:rPr>
                <w:rFonts w:cs="Times New Roman"/>
                <w:spacing w:val="-2"/>
                <w:sz w:val="16"/>
                <w:szCs w:val="16"/>
              </w:rPr>
              <w:t>2034</w:t>
            </w:r>
          </w:p>
        </w:tc>
        <w:tc>
          <w:tcPr>
            <w:tcW w:w="1180" w:type="dxa"/>
            <w:shd w:val="clear" w:color="auto" w:fill="auto"/>
            <w:vAlign w:val="bottom"/>
          </w:tcPr>
          <w:p w:rsidR="00E1056D" w:rsidRPr="00E1056D" w:rsidRDefault="00E1056D" w:rsidP="00E1056D">
            <w:pPr>
              <w:tabs>
                <w:tab w:val="decimal" w:pos="984"/>
              </w:tabs>
              <w:rPr>
                <w:rFonts w:cs="Times New Roman"/>
                <w:sz w:val="16"/>
                <w:szCs w:val="20"/>
              </w:rPr>
            </w:pPr>
            <w:r w:rsidRPr="00E1056D">
              <w:rPr>
                <w:rFonts w:cs="Times New Roman"/>
                <w:sz w:val="16"/>
                <w:szCs w:val="20"/>
              </w:rPr>
              <w:t>2,890,000</w:t>
            </w:r>
          </w:p>
        </w:tc>
        <w:tc>
          <w:tcPr>
            <w:tcW w:w="1178" w:type="dxa"/>
            <w:shd w:val="clear" w:color="auto" w:fill="auto"/>
            <w:vAlign w:val="bottom"/>
          </w:tcPr>
          <w:p w:rsidR="00E1056D" w:rsidRPr="004D72DD" w:rsidRDefault="004844A4" w:rsidP="00E1056D">
            <w:pPr>
              <w:tabs>
                <w:tab w:val="decimal" w:pos="966"/>
              </w:tabs>
              <w:jc w:val="left"/>
              <w:rPr>
                <w:sz w:val="16"/>
                <w:szCs w:val="16"/>
              </w:rPr>
            </w:pPr>
            <w:r>
              <w:rPr>
                <w:sz w:val="16"/>
                <w:szCs w:val="16"/>
              </w:rPr>
              <w:t>2,781,700</w:t>
            </w:r>
          </w:p>
        </w:tc>
        <w:tc>
          <w:tcPr>
            <w:tcW w:w="1186" w:type="dxa"/>
            <w:shd w:val="clear" w:color="auto" w:fill="auto"/>
            <w:vAlign w:val="bottom"/>
          </w:tcPr>
          <w:p w:rsidR="00E1056D" w:rsidRPr="00364544" w:rsidRDefault="00E1056D" w:rsidP="00E1056D">
            <w:pPr>
              <w:tabs>
                <w:tab w:val="decimal" w:pos="966"/>
              </w:tabs>
              <w:rPr>
                <w:rFonts w:eastAsia="Times New Roman" w:cs="Times New Roman"/>
                <w:color w:val="000000"/>
                <w:sz w:val="16"/>
              </w:rPr>
            </w:pPr>
            <w:r>
              <w:rPr>
                <w:rFonts w:eastAsia="Times New Roman" w:cs="Times New Roman"/>
                <w:color w:val="000000"/>
                <w:sz w:val="16"/>
              </w:rPr>
              <w:t>68,616,555</w:t>
            </w:r>
          </w:p>
        </w:tc>
        <w:tc>
          <w:tcPr>
            <w:tcW w:w="1184" w:type="dxa"/>
            <w:shd w:val="clear" w:color="auto" w:fill="auto"/>
          </w:tcPr>
          <w:p w:rsidR="00E1056D" w:rsidRPr="004D72DD" w:rsidRDefault="00E1056D" w:rsidP="00E1056D">
            <w:pPr>
              <w:keepNext/>
              <w:tabs>
                <w:tab w:val="decimal" w:pos="997"/>
              </w:tabs>
              <w:suppressAutoHyphens/>
              <w:jc w:val="left"/>
              <w:rPr>
                <w:rFonts w:cs="Times New Roman"/>
                <w:spacing w:val="-2"/>
                <w:sz w:val="16"/>
                <w:szCs w:val="16"/>
              </w:rPr>
            </w:pPr>
            <w:r>
              <w:rPr>
                <w:rFonts w:cs="Times New Roman"/>
                <w:spacing w:val="-2"/>
                <w:sz w:val="16"/>
                <w:szCs w:val="16"/>
              </w:rPr>
              <w:t>--</w:t>
            </w:r>
          </w:p>
        </w:tc>
        <w:tc>
          <w:tcPr>
            <w:tcW w:w="1181" w:type="dxa"/>
            <w:shd w:val="clear" w:color="auto" w:fill="auto"/>
            <w:vAlign w:val="center"/>
          </w:tcPr>
          <w:p w:rsidR="00E1056D" w:rsidRPr="004D72DD" w:rsidRDefault="002901DC" w:rsidP="00E1056D">
            <w:pPr>
              <w:keepNext/>
              <w:tabs>
                <w:tab w:val="decimal" w:pos="1091"/>
              </w:tabs>
              <w:jc w:val="left"/>
              <w:rPr>
                <w:rFonts w:eastAsia="Times New Roman" w:cs="Times New Roman"/>
                <w:bCs/>
                <w:sz w:val="16"/>
                <w:szCs w:val="16"/>
              </w:rPr>
            </w:pPr>
            <w:r>
              <w:rPr>
                <w:rFonts w:eastAsia="Times New Roman" w:cs="Times New Roman"/>
                <w:bCs/>
                <w:sz w:val="16"/>
                <w:szCs w:val="16"/>
              </w:rPr>
              <w:t>74,288,255</w:t>
            </w:r>
          </w:p>
        </w:tc>
      </w:tr>
      <w:tr w:rsidR="00E1056D" w:rsidRPr="004D72DD" w:rsidTr="000A6530">
        <w:trPr>
          <w:jc w:val="center"/>
        </w:trPr>
        <w:tc>
          <w:tcPr>
            <w:tcW w:w="1086" w:type="dxa"/>
            <w:shd w:val="clear" w:color="auto" w:fill="auto"/>
          </w:tcPr>
          <w:p w:rsidR="00E1056D" w:rsidRPr="004D72DD" w:rsidRDefault="00E1056D" w:rsidP="00E1056D">
            <w:pPr>
              <w:keepNext/>
              <w:tabs>
                <w:tab w:val="center" w:pos="1008"/>
                <w:tab w:val="center" w:pos="2448"/>
                <w:tab w:val="center" w:pos="4608"/>
                <w:tab w:val="center" w:pos="6768"/>
                <w:tab w:val="center" w:pos="8208"/>
              </w:tabs>
              <w:suppressAutoHyphens/>
              <w:jc w:val="center"/>
              <w:rPr>
                <w:rFonts w:cs="Times New Roman"/>
                <w:spacing w:val="-2"/>
                <w:sz w:val="16"/>
                <w:szCs w:val="16"/>
              </w:rPr>
            </w:pPr>
            <w:r w:rsidRPr="004D72DD">
              <w:rPr>
                <w:rFonts w:cs="Times New Roman"/>
                <w:spacing w:val="-2"/>
                <w:sz w:val="16"/>
                <w:szCs w:val="16"/>
              </w:rPr>
              <w:t>2035</w:t>
            </w:r>
          </w:p>
        </w:tc>
        <w:tc>
          <w:tcPr>
            <w:tcW w:w="1180" w:type="dxa"/>
            <w:shd w:val="clear" w:color="auto" w:fill="auto"/>
            <w:vAlign w:val="bottom"/>
          </w:tcPr>
          <w:p w:rsidR="00E1056D" w:rsidRPr="00E1056D" w:rsidRDefault="00E1056D" w:rsidP="00E1056D">
            <w:pPr>
              <w:tabs>
                <w:tab w:val="decimal" w:pos="984"/>
              </w:tabs>
              <w:rPr>
                <w:rFonts w:cs="Times New Roman"/>
                <w:sz w:val="16"/>
                <w:szCs w:val="20"/>
              </w:rPr>
            </w:pPr>
            <w:r w:rsidRPr="00E1056D">
              <w:rPr>
                <w:rFonts w:cs="Times New Roman"/>
                <w:sz w:val="16"/>
                <w:szCs w:val="20"/>
              </w:rPr>
              <w:t>3,035,000</w:t>
            </w:r>
          </w:p>
        </w:tc>
        <w:tc>
          <w:tcPr>
            <w:tcW w:w="1178" w:type="dxa"/>
            <w:shd w:val="clear" w:color="auto" w:fill="auto"/>
            <w:vAlign w:val="bottom"/>
          </w:tcPr>
          <w:p w:rsidR="00E1056D" w:rsidRPr="004D72DD" w:rsidRDefault="004844A4" w:rsidP="00E1056D">
            <w:pPr>
              <w:tabs>
                <w:tab w:val="decimal" w:pos="966"/>
              </w:tabs>
              <w:jc w:val="left"/>
              <w:rPr>
                <w:sz w:val="16"/>
                <w:szCs w:val="16"/>
              </w:rPr>
            </w:pPr>
            <w:r>
              <w:rPr>
                <w:sz w:val="16"/>
                <w:szCs w:val="16"/>
              </w:rPr>
              <w:t>2,637,200</w:t>
            </w:r>
          </w:p>
        </w:tc>
        <w:tc>
          <w:tcPr>
            <w:tcW w:w="1186" w:type="dxa"/>
            <w:shd w:val="clear" w:color="auto" w:fill="auto"/>
            <w:vAlign w:val="bottom"/>
          </w:tcPr>
          <w:p w:rsidR="00E1056D" w:rsidRPr="00364544" w:rsidRDefault="00E1056D" w:rsidP="00E1056D">
            <w:pPr>
              <w:tabs>
                <w:tab w:val="decimal" w:pos="966"/>
              </w:tabs>
              <w:rPr>
                <w:rFonts w:eastAsia="Times New Roman" w:cs="Times New Roman"/>
                <w:color w:val="000000"/>
                <w:sz w:val="16"/>
              </w:rPr>
            </w:pPr>
            <w:r>
              <w:rPr>
                <w:rFonts w:eastAsia="Times New Roman" w:cs="Times New Roman"/>
                <w:color w:val="000000"/>
                <w:sz w:val="16"/>
              </w:rPr>
              <w:t>66,347,095</w:t>
            </w:r>
          </w:p>
        </w:tc>
        <w:tc>
          <w:tcPr>
            <w:tcW w:w="1184" w:type="dxa"/>
            <w:shd w:val="clear" w:color="auto" w:fill="auto"/>
          </w:tcPr>
          <w:p w:rsidR="00E1056D" w:rsidRPr="004D72DD" w:rsidRDefault="00E1056D" w:rsidP="00E1056D">
            <w:pPr>
              <w:keepNext/>
              <w:tabs>
                <w:tab w:val="decimal" w:pos="997"/>
              </w:tabs>
              <w:suppressAutoHyphens/>
              <w:jc w:val="left"/>
              <w:rPr>
                <w:rFonts w:cs="Times New Roman"/>
                <w:spacing w:val="-2"/>
                <w:sz w:val="16"/>
                <w:szCs w:val="16"/>
              </w:rPr>
            </w:pPr>
            <w:r>
              <w:rPr>
                <w:rFonts w:cs="Times New Roman"/>
                <w:spacing w:val="-2"/>
                <w:sz w:val="16"/>
                <w:szCs w:val="16"/>
              </w:rPr>
              <w:t>--</w:t>
            </w:r>
          </w:p>
        </w:tc>
        <w:tc>
          <w:tcPr>
            <w:tcW w:w="1181" w:type="dxa"/>
            <w:shd w:val="clear" w:color="auto" w:fill="auto"/>
            <w:vAlign w:val="center"/>
          </w:tcPr>
          <w:p w:rsidR="00E1056D" w:rsidRPr="004D72DD" w:rsidRDefault="002901DC" w:rsidP="00E1056D">
            <w:pPr>
              <w:keepNext/>
              <w:tabs>
                <w:tab w:val="decimal" w:pos="1091"/>
              </w:tabs>
              <w:jc w:val="left"/>
              <w:rPr>
                <w:rFonts w:eastAsia="Times New Roman" w:cs="Times New Roman"/>
                <w:bCs/>
                <w:sz w:val="16"/>
                <w:szCs w:val="16"/>
              </w:rPr>
            </w:pPr>
            <w:r>
              <w:rPr>
                <w:rFonts w:eastAsia="Times New Roman" w:cs="Times New Roman"/>
                <w:bCs/>
                <w:sz w:val="16"/>
                <w:szCs w:val="16"/>
              </w:rPr>
              <w:t>72,019,295</w:t>
            </w:r>
          </w:p>
        </w:tc>
      </w:tr>
      <w:tr w:rsidR="00E1056D" w:rsidRPr="004D72DD" w:rsidTr="000A6530">
        <w:trPr>
          <w:jc w:val="center"/>
        </w:trPr>
        <w:tc>
          <w:tcPr>
            <w:tcW w:w="1086" w:type="dxa"/>
            <w:shd w:val="clear" w:color="auto" w:fill="auto"/>
          </w:tcPr>
          <w:p w:rsidR="00E1056D" w:rsidRPr="004D72DD" w:rsidRDefault="00E1056D" w:rsidP="00E1056D">
            <w:pPr>
              <w:keepNext/>
              <w:tabs>
                <w:tab w:val="center" w:pos="1008"/>
                <w:tab w:val="center" w:pos="2448"/>
                <w:tab w:val="center" w:pos="4608"/>
                <w:tab w:val="center" w:pos="6768"/>
                <w:tab w:val="center" w:pos="8208"/>
              </w:tabs>
              <w:suppressAutoHyphens/>
              <w:jc w:val="center"/>
              <w:rPr>
                <w:rFonts w:cs="Times New Roman"/>
                <w:spacing w:val="-2"/>
                <w:sz w:val="16"/>
                <w:szCs w:val="16"/>
              </w:rPr>
            </w:pPr>
            <w:r w:rsidRPr="004D72DD">
              <w:rPr>
                <w:rFonts w:cs="Times New Roman"/>
                <w:spacing w:val="-2"/>
                <w:sz w:val="16"/>
                <w:szCs w:val="16"/>
              </w:rPr>
              <w:t>2036</w:t>
            </w:r>
          </w:p>
        </w:tc>
        <w:tc>
          <w:tcPr>
            <w:tcW w:w="1180" w:type="dxa"/>
            <w:shd w:val="clear" w:color="auto" w:fill="auto"/>
            <w:vAlign w:val="bottom"/>
          </w:tcPr>
          <w:p w:rsidR="00E1056D" w:rsidRPr="00E1056D" w:rsidRDefault="00E1056D" w:rsidP="00E1056D">
            <w:pPr>
              <w:tabs>
                <w:tab w:val="decimal" w:pos="984"/>
              </w:tabs>
              <w:rPr>
                <w:rFonts w:cs="Times New Roman"/>
                <w:sz w:val="16"/>
                <w:szCs w:val="20"/>
              </w:rPr>
            </w:pPr>
            <w:r w:rsidRPr="00E1056D">
              <w:rPr>
                <w:rFonts w:cs="Times New Roman"/>
                <w:sz w:val="16"/>
                <w:szCs w:val="20"/>
              </w:rPr>
              <w:t>2,270,000</w:t>
            </w:r>
          </w:p>
        </w:tc>
        <w:tc>
          <w:tcPr>
            <w:tcW w:w="1178" w:type="dxa"/>
            <w:shd w:val="clear" w:color="auto" w:fill="auto"/>
            <w:vAlign w:val="bottom"/>
          </w:tcPr>
          <w:p w:rsidR="00E1056D" w:rsidRPr="004D72DD" w:rsidRDefault="004844A4" w:rsidP="00E1056D">
            <w:pPr>
              <w:tabs>
                <w:tab w:val="decimal" w:pos="966"/>
              </w:tabs>
              <w:jc w:val="left"/>
              <w:rPr>
                <w:sz w:val="16"/>
                <w:szCs w:val="16"/>
              </w:rPr>
            </w:pPr>
            <w:r>
              <w:rPr>
                <w:sz w:val="16"/>
                <w:szCs w:val="16"/>
              </w:rPr>
              <w:t>2,515,800</w:t>
            </w:r>
          </w:p>
        </w:tc>
        <w:tc>
          <w:tcPr>
            <w:tcW w:w="1186" w:type="dxa"/>
            <w:shd w:val="clear" w:color="auto" w:fill="auto"/>
            <w:vAlign w:val="bottom"/>
          </w:tcPr>
          <w:p w:rsidR="00E1056D" w:rsidRPr="00364544" w:rsidRDefault="00E1056D" w:rsidP="00E1056D">
            <w:pPr>
              <w:tabs>
                <w:tab w:val="decimal" w:pos="966"/>
              </w:tabs>
              <w:rPr>
                <w:rFonts w:eastAsia="Times New Roman" w:cs="Times New Roman"/>
                <w:color w:val="000000"/>
                <w:sz w:val="16"/>
              </w:rPr>
            </w:pPr>
            <w:r>
              <w:rPr>
                <w:rFonts w:eastAsia="Times New Roman" w:cs="Times New Roman"/>
                <w:color w:val="000000"/>
                <w:sz w:val="16"/>
              </w:rPr>
              <w:t>67,228,049</w:t>
            </w:r>
          </w:p>
        </w:tc>
        <w:tc>
          <w:tcPr>
            <w:tcW w:w="1184" w:type="dxa"/>
            <w:shd w:val="clear" w:color="auto" w:fill="auto"/>
          </w:tcPr>
          <w:p w:rsidR="00E1056D" w:rsidRPr="004D72DD" w:rsidRDefault="00E1056D" w:rsidP="00E1056D">
            <w:pPr>
              <w:keepNext/>
              <w:tabs>
                <w:tab w:val="decimal" w:pos="997"/>
              </w:tabs>
              <w:suppressAutoHyphens/>
              <w:jc w:val="left"/>
              <w:rPr>
                <w:rFonts w:cs="Times New Roman"/>
                <w:spacing w:val="-2"/>
                <w:sz w:val="16"/>
                <w:szCs w:val="16"/>
              </w:rPr>
            </w:pPr>
            <w:r>
              <w:rPr>
                <w:rFonts w:cs="Times New Roman"/>
                <w:spacing w:val="-2"/>
                <w:sz w:val="16"/>
                <w:szCs w:val="16"/>
              </w:rPr>
              <w:t>--</w:t>
            </w:r>
          </w:p>
        </w:tc>
        <w:tc>
          <w:tcPr>
            <w:tcW w:w="1181" w:type="dxa"/>
            <w:shd w:val="clear" w:color="auto" w:fill="auto"/>
            <w:vAlign w:val="center"/>
          </w:tcPr>
          <w:p w:rsidR="00E1056D" w:rsidRPr="004D72DD" w:rsidRDefault="002901DC" w:rsidP="00E1056D">
            <w:pPr>
              <w:keepNext/>
              <w:tabs>
                <w:tab w:val="decimal" w:pos="1091"/>
              </w:tabs>
              <w:jc w:val="left"/>
              <w:rPr>
                <w:rFonts w:eastAsia="Times New Roman" w:cs="Times New Roman"/>
                <w:bCs/>
                <w:sz w:val="16"/>
                <w:szCs w:val="16"/>
              </w:rPr>
            </w:pPr>
            <w:r>
              <w:rPr>
                <w:rFonts w:eastAsia="Times New Roman" w:cs="Times New Roman"/>
                <w:bCs/>
                <w:sz w:val="16"/>
                <w:szCs w:val="16"/>
              </w:rPr>
              <w:t>72,013,849</w:t>
            </w:r>
          </w:p>
        </w:tc>
      </w:tr>
      <w:tr w:rsidR="00E1056D" w:rsidRPr="004D72DD" w:rsidTr="000A6530">
        <w:trPr>
          <w:jc w:val="center"/>
        </w:trPr>
        <w:tc>
          <w:tcPr>
            <w:tcW w:w="1086" w:type="dxa"/>
            <w:shd w:val="clear" w:color="auto" w:fill="auto"/>
          </w:tcPr>
          <w:p w:rsidR="00E1056D" w:rsidRPr="004D72DD" w:rsidRDefault="00E1056D" w:rsidP="00E1056D">
            <w:pPr>
              <w:keepNext/>
              <w:tabs>
                <w:tab w:val="center" w:pos="1008"/>
                <w:tab w:val="center" w:pos="2448"/>
                <w:tab w:val="center" w:pos="4608"/>
                <w:tab w:val="center" w:pos="6768"/>
                <w:tab w:val="center" w:pos="8208"/>
              </w:tabs>
              <w:suppressAutoHyphens/>
              <w:jc w:val="center"/>
              <w:rPr>
                <w:rFonts w:cs="Times New Roman"/>
                <w:spacing w:val="-2"/>
                <w:sz w:val="16"/>
                <w:szCs w:val="16"/>
              </w:rPr>
            </w:pPr>
            <w:r w:rsidRPr="004D72DD">
              <w:rPr>
                <w:rFonts w:cs="Times New Roman"/>
                <w:spacing w:val="-2"/>
                <w:sz w:val="16"/>
                <w:szCs w:val="16"/>
              </w:rPr>
              <w:t>2037</w:t>
            </w:r>
          </w:p>
        </w:tc>
        <w:tc>
          <w:tcPr>
            <w:tcW w:w="1180" w:type="dxa"/>
            <w:shd w:val="clear" w:color="auto" w:fill="auto"/>
            <w:vAlign w:val="bottom"/>
          </w:tcPr>
          <w:p w:rsidR="00E1056D" w:rsidRPr="00E1056D" w:rsidRDefault="00E1056D" w:rsidP="00E1056D">
            <w:pPr>
              <w:tabs>
                <w:tab w:val="decimal" w:pos="984"/>
              </w:tabs>
              <w:rPr>
                <w:rFonts w:cs="Times New Roman"/>
                <w:sz w:val="16"/>
                <w:szCs w:val="20"/>
              </w:rPr>
            </w:pPr>
            <w:r w:rsidRPr="00E1056D">
              <w:rPr>
                <w:rFonts w:cs="Times New Roman"/>
                <w:sz w:val="16"/>
                <w:szCs w:val="20"/>
              </w:rPr>
              <w:t>1,620,000</w:t>
            </w:r>
          </w:p>
        </w:tc>
        <w:tc>
          <w:tcPr>
            <w:tcW w:w="1178" w:type="dxa"/>
            <w:shd w:val="clear" w:color="auto" w:fill="auto"/>
            <w:vAlign w:val="bottom"/>
          </w:tcPr>
          <w:p w:rsidR="00E1056D" w:rsidRPr="004D72DD" w:rsidRDefault="004844A4" w:rsidP="00E1056D">
            <w:pPr>
              <w:tabs>
                <w:tab w:val="decimal" w:pos="966"/>
              </w:tabs>
              <w:jc w:val="left"/>
              <w:rPr>
                <w:sz w:val="16"/>
                <w:szCs w:val="16"/>
              </w:rPr>
            </w:pPr>
            <w:r>
              <w:rPr>
                <w:sz w:val="16"/>
                <w:szCs w:val="16"/>
              </w:rPr>
              <w:t>2,425,000</w:t>
            </w:r>
          </w:p>
        </w:tc>
        <w:tc>
          <w:tcPr>
            <w:tcW w:w="1186" w:type="dxa"/>
            <w:shd w:val="clear" w:color="auto" w:fill="auto"/>
            <w:vAlign w:val="bottom"/>
          </w:tcPr>
          <w:p w:rsidR="00E1056D" w:rsidRPr="00364544" w:rsidRDefault="00E1056D" w:rsidP="00E1056D">
            <w:pPr>
              <w:tabs>
                <w:tab w:val="decimal" w:pos="966"/>
              </w:tabs>
              <w:rPr>
                <w:rFonts w:eastAsia="Times New Roman" w:cs="Times New Roman"/>
                <w:color w:val="000000"/>
                <w:sz w:val="16"/>
              </w:rPr>
            </w:pPr>
            <w:r>
              <w:rPr>
                <w:rFonts w:eastAsia="Times New Roman" w:cs="Times New Roman"/>
                <w:color w:val="000000"/>
                <w:sz w:val="16"/>
              </w:rPr>
              <w:t>67,955,988</w:t>
            </w:r>
          </w:p>
        </w:tc>
        <w:tc>
          <w:tcPr>
            <w:tcW w:w="1184" w:type="dxa"/>
            <w:shd w:val="clear" w:color="auto" w:fill="auto"/>
            <w:vAlign w:val="bottom"/>
          </w:tcPr>
          <w:p w:rsidR="00E1056D" w:rsidRPr="004D72DD" w:rsidRDefault="00E1056D" w:rsidP="00E1056D">
            <w:pPr>
              <w:keepNext/>
              <w:tabs>
                <w:tab w:val="decimal" w:pos="997"/>
              </w:tabs>
              <w:suppressAutoHyphens/>
              <w:jc w:val="left"/>
              <w:rPr>
                <w:rFonts w:cs="Times New Roman"/>
                <w:spacing w:val="-2"/>
                <w:sz w:val="16"/>
                <w:szCs w:val="16"/>
              </w:rPr>
            </w:pPr>
            <w:r>
              <w:rPr>
                <w:rFonts w:cs="Times New Roman"/>
                <w:spacing w:val="-2"/>
                <w:sz w:val="16"/>
                <w:szCs w:val="16"/>
              </w:rPr>
              <w:t>--</w:t>
            </w:r>
          </w:p>
        </w:tc>
        <w:tc>
          <w:tcPr>
            <w:tcW w:w="1181" w:type="dxa"/>
            <w:shd w:val="clear" w:color="auto" w:fill="auto"/>
            <w:vAlign w:val="center"/>
          </w:tcPr>
          <w:p w:rsidR="00E1056D" w:rsidRPr="004D72DD" w:rsidRDefault="002901DC" w:rsidP="00E1056D">
            <w:pPr>
              <w:pStyle w:val="Cover"/>
              <w:keepNext/>
              <w:tabs>
                <w:tab w:val="clear" w:pos="2880"/>
                <w:tab w:val="decimal" w:pos="1091"/>
              </w:tabs>
              <w:overflowPunct w:val="0"/>
              <w:autoSpaceDE w:val="0"/>
              <w:autoSpaceDN w:val="0"/>
              <w:adjustRightInd w:val="0"/>
              <w:textAlignment w:val="baseline"/>
              <w:rPr>
                <w:rFonts w:ascii="Times New Roman" w:hAnsi="Times New Roman"/>
                <w:spacing w:val="-2"/>
                <w:sz w:val="16"/>
                <w:szCs w:val="16"/>
              </w:rPr>
            </w:pPr>
            <w:r>
              <w:rPr>
                <w:rFonts w:ascii="Times New Roman" w:hAnsi="Times New Roman"/>
                <w:spacing w:val="-2"/>
                <w:sz w:val="16"/>
                <w:szCs w:val="16"/>
              </w:rPr>
              <w:t>72,000,988</w:t>
            </w:r>
          </w:p>
        </w:tc>
      </w:tr>
      <w:tr w:rsidR="00E1056D" w:rsidRPr="004D72DD" w:rsidTr="000A6530">
        <w:trPr>
          <w:jc w:val="center"/>
        </w:trPr>
        <w:tc>
          <w:tcPr>
            <w:tcW w:w="1086" w:type="dxa"/>
            <w:shd w:val="clear" w:color="auto" w:fill="auto"/>
          </w:tcPr>
          <w:p w:rsidR="00E1056D" w:rsidRPr="004D72DD" w:rsidRDefault="00E1056D" w:rsidP="00E1056D">
            <w:pPr>
              <w:keepNext/>
              <w:tabs>
                <w:tab w:val="center" w:pos="1008"/>
                <w:tab w:val="center" w:pos="2448"/>
                <w:tab w:val="center" w:pos="4608"/>
                <w:tab w:val="center" w:pos="6768"/>
                <w:tab w:val="center" w:pos="8208"/>
              </w:tabs>
              <w:suppressAutoHyphens/>
              <w:jc w:val="center"/>
              <w:rPr>
                <w:rFonts w:cs="Times New Roman"/>
                <w:spacing w:val="-2"/>
                <w:sz w:val="16"/>
                <w:szCs w:val="16"/>
              </w:rPr>
            </w:pPr>
            <w:r w:rsidRPr="004D72DD">
              <w:rPr>
                <w:rFonts w:cs="Times New Roman"/>
                <w:spacing w:val="-2"/>
                <w:sz w:val="16"/>
                <w:szCs w:val="16"/>
              </w:rPr>
              <w:t>2038</w:t>
            </w:r>
          </w:p>
        </w:tc>
        <w:tc>
          <w:tcPr>
            <w:tcW w:w="1180" w:type="dxa"/>
            <w:shd w:val="clear" w:color="auto" w:fill="auto"/>
            <w:vAlign w:val="bottom"/>
          </w:tcPr>
          <w:p w:rsidR="00E1056D" w:rsidRPr="00E1056D" w:rsidRDefault="00E1056D" w:rsidP="00E1056D">
            <w:pPr>
              <w:tabs>
                <w:tab w:val="decimal" w:pos="984"/>
              </w:tabs>
              <w:rPr>
                <w:rFonts w:cs="Times New Roman"/>
                <w:sz w:val="16"/>
                <w:szCs w:val="20"/>
              </w:rPr>
            </w:pPr>
            <w:r w:rsidRPr="00E1056D">
              <w:rPr>
                <w:rFonts w:cs="Times New Roman"/>
                <w:sz w:val="16"/>
                <w:szCs w:val="20"/>
              </w:rPr>
              <w:t>1,685,000</w:t>
            </w:r>
          </w:p>
        </w:tc>
        <w:tc>
          <w:tcPr>
            <w:tcW w:w="1178" w:type="dxa"/>
            <w:shd w:val="clear" w:color="auto" w:fill="auto"/>
            <w:vAlign w:val="bottom"/>
          </w:tcPr>
          <w:p w:rsidR="00E1056D" w:rsidRPr="004D72DD" w:rsidRDefault="004844A4" w:rsidP="00E1056D">
            <w:pPr>
              <w:tabs>
                <w:tab w:val="decimal" w:pos="966"/>
              </w:tabs>
              <w:jc w:val="left"/>
              <w:rPr>
                <w:sz w:val="16"/>
                <w:szCs w:val="16"/>
              </w:rPr>
            </w:pPr>
            <w:r>
              <w:rPr>
                <w:sz w:val="16"/>
                <w:szCs w:val="16"/>
              </w:rPr>
              <w:t>2,360,200</w:t>
            </w:r>
          </w:p>
        </w:tc>
        <w:tc>
          <w:tcPr>
            <w:tcW w:w="1186" w:type="dxa"/>
            <w:shd w:val="clear" w:color="auto" w:fill="auto"/>
            <w:vAlign w:val="bottom"/>
          </w:tcPr>
          <w:p w:rsidR="00E1056D" w:rsidRPr="00364544" w:rsidRDefault="00E1056D" w:rsidP="00E1056D">
            <w:pPr>
              <w:tabs>
                <w:tab w:val="decimal" w:pos="966"/>
              </w:tabs>
              <w:rPr>
                <w:rFonts w:eastAsia="Times New Roman" w:cs="Times New Roman"/>
                <w:color w:val="000000"/>
                <w:sz w:val="16"/>
              </w:rPr>
            </w:pPr>
            <w:r>
              <w:rPr>
                <w:rFonts w:eastAsia="Times New Roman" w:cs="Times New Roman"/>
                <w:color w:val="000000"/>
                <w:sz w:val="16"/>
              </w:rPr>
              <w:t>67,947,488</w:t>
            </w:r>
          </w:p>
        </w:tc>
        <w:tc>
          <w:tcPr>
            <w:tcW w:w="1184" w:type="dxa"/>
            <w:shd w:val="clear" w:color="auto" w:fill="auto"/>
            <w:vAlign w:val="bottom"/>
          </w:tcPr>
          <w:p w:rsidR="00E1056D" w:rsidRPr="004D72DD" w:rsidRDefault="00E1056D" w:rsidP="00E1056D">
            <w:pPr>
              <w:keepNext/>
              <w:tabs>
                <w:tab w:val="decimal" w:pos="997"/>
              </w:tabs>
              <w:suppressAutoHyphens/>
              <w:jc w:val="left"/>
              <w:rPr>
                <w:rFonts w:cs="Times New Roman"/>
                <w:spacing w:val="-2"/>
                <w:sz w:val="16"/>
                <w:szCs w:val="16"/>
              </w:rPr>
            </w:pPr>
            <w:r>
              <w:rPr>
                <w:rFonts w:cs="Times New Roman"/>
                <w:spacing w:val="-2"/>
                <w:sz w:val="16"/>
                <w:szCs w:val="16"/>
              </w:rPr>
              <w:t>--</w:t>
            </w:r>
          </w:p>
        </w:tc>
        <w:tc>
          <w:tcPr>
            <w:tcW w:w="1181" w:type="dxa"/>
            <w:shd w:val="clear" w:color="auto" w:fill="auto"/>
            <w:vAlign w:val="center"/>
          </w:tcPr>
          <w:p w:rsidR="00E1056D" w:rsidRPr="004D72DD" w:rsidRDefault="002901DC" w:rsidP="00E1056D">
            <w:pPr>
              <w:pStyle w:val="Cover"/>
              <w:keepNext/>
              <w:tabs>
                <w:tab w:val="clear" w:pos="2880"/>
                <w:tab w:val="decimal" w:pos="1091"/>
              </w:tabs>
              <w:overflowPunct w:val="0"/>
              <w:autoSpaceDE w:val="0"/>
              <w:autoSpaceDN w:val="0"/>
              <w:adjustRightInd w:val="0"/>
              <w:textAlignment w:val="baseline"/>
              <w:rPr>
                <w:rFonts w:ascii="Times New Roman" w:hAnsi="Times New Roman"/>
                <w:spacing w:val="-2"/>
                <w:sz w:val="16"/>
                <w:szCs w:val="16"/>
              </w:rPr>
            </w:pPr>
            <w:r>
              <w:rPr>
                <w:rFonts w:ascii="Times New Roman" w:hAnsi="Times New Roman"/>
                <w:spacing w:val="-2"/>
                <w:sz w:val="16"/>
                <w:szCs w:val="16"/>
              </w:rPr>
              <w:t>71,992,688</w:t>
            </w:r>
          </w:p>
        </w:tc>
      </w:tr>
      <w:tr w:rsidR="00E1056D" w:rsidRPr="004D72DD" w:rsidTr="000A6530">
        <w:trPr>
          <w:jc w:val="center"/>
        </w:trPr>
        <w:tc>
          <w:tcPr>
            <w:tcW w:w="1086" w:type="dxa"/>
            <w:shd w:val="clear" w:color="auto" w:fill="auto"/>
          </w:tcPr>
          <w:p w:rsidR="00E1056D" w:rsidRPr="004D72DD" w:rsidRDefault="00E1056D" w:rsidP="00E1056D">
            <w:pPr>
              <w:keepNext/>
              <w:tabs>
                <w:tab w:val="center" w:pos="1008"/>
                <w:tab w:val="center" w:pos="2448"/>
                <w:tab w:val="center" w:pos="4608"/>
                <w:tab w:val="center" w:pos="6768"/>
                <w:tab w:val="center" w:pos="8208"/>
              </w:tabs>
              <w:suppressAutoHyphens/>
              <w:jc w:val="center"/>
              <w:rPr>
                <w:rFonts w:cs="Times New Roman"/>
                <w:spacing w:val="-2"/>
                <w:sz w:val="16"/>
                <w:szCs w:val="16"/>
              </w:rPr>
            </w:pPr>
            <w:r w:rsidRPr="004D72DD">
              <w:rPr>
                <w:rFonts w:cs="Times New Roman"/>
                <w:spacing w:val="-2"/>
                <w:sz w:val="16"/>
                <w:szCs w:val="16"/>
              </w:rPr>
              <w:t>2039</w:t>
            </w:r>
          </w:p>
        </w:tc>
        <w:tc>
          <w:tcPr>
            <w:tcW w:w="1180" w:type="dxa"/>
            <w:shd w:val="clear" w:color="auto" w:fill="auto"/>
            <w:vAlign w:val="bottom"/>
          </w:tcPr>
          <w:p w:rsidR="00E1056D" w:rsidRPr="00E1056D" w:rsidRDefault="00E1056D" w:rsidP="00E1056D">
            <w:pPr>
              <w:tabs>
                <w:tab w:val="decimal" w:pos="984"/>
              </w:tabs>
              <w:rPr>
                <w:rFonts w:cs="Times New Roman"/>
                <w:sz w:val="16"/>
                <w:szCs w:val="20"/>
              </w:rPr>
            </w:pPr>
            <w:r w:rsidRPr="00E1056D">
              <w:rPr>
                <w:rFonts w:cs="Times New Roman"/>
                <w:sz w:val="16"/>
                <w:szCs w:val="20"/>
              </w:rPr>
              <w:t>1,750,000</w:t>
            </w:r>
          </w:p>
        </w:tc>
        <w:tc>
          <w:tcPr>
            <w:tcW w:w="1178" w:type="dxa"/>
            <w:shd w:val="clear" w:color="auto" w:fill="auto"/>
            <w:vAlign w:val="bottom"/>
          </w:tcPr>
          <w:p w:rsidR="00E1056D" w:rsidRPr="004D72DD" w:rsidRDefault="004844A4" w:rsidP="00E1056D">
            <w:pPr>
              <w:tabs>
                <w:tab w:val="decimal" w:pos="966"/>
              </w:tabs>
              <w:jc w:val="left"/>
              <w:rPr>
                <w:sz w:val="16"/>
                <w:szCs w:val="16"/>
              </w:rPr>
            </w:pPr>
            <w:r>
              <w:rPr>
                <w:sz w:val="16"/>
                <w:szCs w:val="16"/>
              </w:rPr>
              <w:t>2,292,800</w:t>
            </w:r>
          </w:p>
        </w:tc>
        <w:tc>
          <w:tcPr>
            <w:tcW w:w="1186" w:type="dxa"/>
            <w:shd w:val="clear" w:color="auto" w:fill="auto"/>
            <w:vAlign w:val="bottom"/>
          </w:tcPr>
          <w:p w:rsidR="00E1056D" w:rsidRPr="00364544" w:rsidRDefault="00E1056D" w:rsidP="00E1056D">
            <w:pPr>
              <w:tabs>
                <w:tab w:val="decimal" w:pos="966"/>
              </w:tabs>
              <w:rPr>
                <w:rFonts w:eastAsia="Times New Roman" w:cs="Times New Roman"/>
                <w:color w:val="000000"/>
                <w:sz w:val="16"/>
              </w:rPr>
            </w:pPr>
            <w:r>
              <w:rPr>
                <w:rFonts w:eastAsia="Times New Roman" w:cs="Times New Roman"/>
                <w:color w:val="000000"/>
                <w:sz w:val="16"/>
              </w:rPr>
              <w:t>63,897,675</w:t>
            </w:r>
          </w:p>
        </w:tc>
        <w:tc>
          <w:tcPr>
            <w:tcW w:w="1184" w:type="dxa"/>
            <w:shd w:val="clear" w:color="auto" w:fill="auto"/>
            <w:vAlign w:val="bottom"/>
          </w:tcPr>
          <w:p w:rsidR="00E1056D" w:rsidRPr="004D72DD" w:rsidRDefault="00E1056D" w:rsidP="00E1056D">
            <w:pPr>
              <w:keepNext/>
              <w:tabs>
                <w:tab w:val="decimal" w:pos="997"/>
              </w:tabs>
              <w:suppressAutoHyphens/>
              <w:jc w:val="left"/>
              <w:rPr>
                <w:rFonts w:cs="Times New Roman"/>
                <w:spacing w:val="-2"/>
                <w:sz w:val="16"/>
                <w:szCs w:val="16"/>
              </w:rPr>
            </w:pPr>
            <w:r>
              <w:rPr>
                <w:rFonts w:cs="Times New Roman"/>
                <w:spacing w:val="-2"/>
                <w:sz w:val="16"/>
                <w:szCs w:val="16"/>
              </w:rPr>
              <w:t>--</w:t>
            </w:r>
          </w:p>
        </w:tc>
        <w:tc>
          <w:tcPr>
            <w:tcW w:w="1181" w:type="dxa"/>
            <w:shd w:val="clear" w:color="auto" w:fill="auto"/>
            <w:vAlign w:val="center"/>
          </w:tcPr>
          <w:p w:rsidR="00E1056D" w:rsidRPr="004D72DD" w:rsidRDefault="002901DC" w:rsidP="00E1056D">
            <w:pPr>
              <w:pStyle w:val="Cover"/>
              <w:keepNext/>
              <w:tabs>
                <w:tab w:val="clear" w:pos="2880"/>
                <w:tab w:val="decimal" w:pos="1091"/>
              </w:tabs>
              <w:overflowPunct w:val="0"/>
              <w:autoSpaceDE w:val="0"/>
              <w:autoSpaceDN w:val="0"/>
              <w:adjustRightInd w:val="0"/>
              <w:textAlignment w:val="baseline"/>
              <w:rPr>
                <w:rFonts w:ascii="Times New Roman" w:hAnsi="Times New Roman"/>
                <w:spacing w:val="-2"/>
                <w:sz w:val="16"/>
                <w:szCs w:val="16"/>
              </w:rPr>
            </w:pPr>
            <w:r>
              <w:rPr>
                <w:rFonts w:ascii="Times New Roman" w:hAnsi="Times New Roman"/>
                <w:spacing w:val="-2"/>
                <w:sz w:val="16"/>
                <w:szCs w:val="16"/>
              </w:rPr>
              <w:t>67,940,475</w:t>
            </w:r>
          </w:p>
        </w:tc>
      </w:tr>
      <w:tr w:rsidR="00E1056D" w:rsidRPr="004D72DD" w:rsidTr="000A6530">
        <w:trPr>
          <w:jc w:val="center"/>
        </w:trPr>
        <w:tc>
          <w:tcPr>
            <w:tcW w:w="1086" w:type="dxa"/>
            <w:shd w:val="clear" w:color="auto" w:fill="auto"/>
          </w:tcPr>
          <w:p w:rsidR="00E1056D" w:rsidRPr="004D72DD" w:rsidRDefault="00E1056D" w:rsidP="00E1056D">
            <w:pPr>
              <w:keepNext/>
              <w:tabs>
                <w:tab w:val="center" w:pos="1008"/>
                <w:tab w:val="center" w:pos="2448"/>
                <w:tab w:val="center" w:pos="4608"/>
                <w:tab w:val="center" w:pos="6768"/>
                <w:tab w:val="center" w:pos="8208"/>
              </w:tabs>
              <w:suppressAutoHyphens/>
              <w:jc w:val="center"/>
              <w:rPr>
                <w:rFonts w:cs="Times New Roman"/>
                <w:spacing w:val="-2"/>
                <w:sz w:val="16"/>
                <w:szCs w:val="16"/>
              </w:rPr>
            </w:pPr>
            <w:r w:rsidRPr="004D72DD">
              <w:rPr>
                <w:rFonts w:cs="Times New Roman"/>
                <w:spacing w:val="-2"/>
                <w:sz w:val="16"/>
                <w:szCs w:val="16"/>
              </w:rPr>
              <w:t>2040</w:t>
            </w:r>
          </w:p>
        </w:tc>
        <w:tc>
          <w:tcPr>
            <w:tcW w:w="1180" w:type="dxa"/>
            <w:shd w:val="clear" w:color="auto" w:fill="auto"/>
            <w:vAlign w:val="bottom"/>
          </w:tcPr>
          <w:p w:rsidR="00E1056D" w:rsidRPr="00E1056D" w:rsidRDefault="00E1056D" w:rsidP="00E1056D">
            <w:pPr>
              <w:tabs>
                <w:tab w:val="decimal" w:pos="984"/>
              </w:tabs>
              <w:rPr>
                <w:rFonts w:cs="Times New Roman"/>
                <w:sz w:val="16"/>
                <w:szCs w:val="20"/>
              </w:rPr>
            </w:pPr>
            <w:r w:rsidRPr="00E1056D">
              <w:rPr>
                <w:rFonts w:cs="Times New Roman"/>
                <w:sz w:val="16"/>
                <w:szCs w:val="20"/>
              </w:rPr>
              <w:t>1,820,000</w:t>
            </w:r>
          </w:p>
        </w:tc>
        <w:tc>
          <w:tcPr>
            <w:tcW w:w="1178" w:type="dxa"/>
            <w:shd w:val="clear" w:color="auto" w:fill="auto"/>
            <w:vAlign w:val="bottom"/>
          </w:tcPr>
          <w:p w:rsidR="00E1056D" w:rsidRPr="004D72DD" w:rsidRDefault="004844A4" w:rsidP="00E1056D">
            <w:pPr>
              <w:tabs>
                <w:tab w:val="decimal" w:pos="966"/>
              </w:tabs>
              <w:jc w:val="left"/>
              <w:rPr>
                <w:sz w:val="16"/>
                <w:szCs w:val="16"/>
              </w:rPr>
            </w:pPr>
            <w:r>
              <w:rPr>
                <w:sz w:val="16"/>
                <w:szCs w:val="16"/>
              </w:rPr>
              <w:t>2,222,800</w:t>
            </w:r>
          </w:p>
        </w:tc>
        <w:tc>
          <w:tcPr>
            <w:tcW w:w="1186" w:type="dxa"/>
            <w:shd w:val="clear" w:color="auto" w:fill="auto"/>
            <w:vAlign w:val="bottom"/>
          </w:tcPr>
          <w:p w:rsidR="00E1056D" w:rsidRPr="00364544" w:rsidRDefault="00E1056D" w:rsidP="00E1056D">
            <w:pPr>
              <w:tabs>
                <w:tab w:val="decimal" w:pos="966"/>
              </w:tabs>
              <w:rPr>
                <w:rFonts w:eastAsia="Times New Roman" w:cs="Times New Roman"/>
                <w:color w:val="000000"/>
                <w:sz w:val="16"/>
              </w:rPr>
            </w:pPr>
            <w:r>
              <w:rPr>
                <w:rFonts w:eastAsia="Times New Roman" w:cs="Times New Roman"/>
                <w:color w:val="000000"/>
                <w:sz w:val="16"/>
              </w:rPr>
              <w:t>56,997,050</w:t>
            </w:r>
          </w:p>
        </w:tc>
        <w:tc>
          <w:tcPr>
            <w:tcW w:w="1184" w:type="dxa"/>
            <w:shd w:val="clear" w:color="auto" w:fill="auto"/>
            <w:vAlign w:val="bottom"/>
          </w:tcPr>
          <w:p w:rsidR="00E1056D" w:rsidRPr="004D72DD" w:rsidRDefault="00E1056D" w:rsidP="00E1056D">
            <w:pPr>
              <w:keepNext/>
              <w:tabs>
                <w:tab w:val="decimal" w:pos="997"/>
              </w:tabs>
              <w:suppressAutoHyphens/>
              <w:jc w:val="left"/>
              <w:rPr>
                <w:rFonts w:cs="Times New Roman"/>
                <w:spacing w:val="-2"/>
                <w:sz w:val="16"/>
                <w:szCs w:val="16"/>
              </w:rPr>
            </w:pPr>
            <w:r>
              <w:rPr>
                <w:rFonts w:cs="Times New Roman"/>
                <w:spacing w:val="-2"/>
                <w:sz w:val="16"/>
                <w:szCs w:val="16"/>
              </w:rPr>
              <w:t>--</w:t>
            </w:r>
          </w:p>
        </w:tc>
        <w:tc>
          <w:tcPr>
            <w:tcW w:w="1181" w:type="dxa"/>
            <w:shd w:val="clear" w:color="auto" w:fill="auto"/>
            <w:vAlign w:val="center"/>
          </w:tcPr>
          <w:p w:rsidR="00E1056D" w:rsidRPr="004D72DD" w:rsidRDefault="002901DC" w:rsidP="00E1056D">
            <w:pPr>
              <w:pStyle w:val="Cover"/>
              <w:keepNext/>
              <w:tabs>
                <w:tab w:val="clear" w:pos="2880"/>
                <w:tab w:val="decimal" w:pos="1091"/>
              </w:tabs>
              <w:overflowPunct w:val="0"/>
              <w:autoSpaceDE w:val="0"/>
              <w:autoSpaceDN w:val="0"/>
              <w:adjustRightInd w:val="0"/>
              <w:textAlignment w:val="baseline"/>
              <w:rPr>
                <w:rFonts w:ascii="Times New Roman" w:hAnsi="Times New Roman"/>
                <w:spacing w:val="-2"/>
                <w:sz w:val="16"/>
                <w:szCs w:val="16"/>
              </w:rPr>
            </w:pPr>
            <w:r>
              <w:rPr>
                <w:rFonts w:ascii="Times New Roman" w:hAnsi="Times New Roman"/>
                <w:spacing w:val="-2"/>
                <w:sz w:val="16"/>
                <w:szCs w:val="16"/>
              </w:rPr>
              <w:t>61,039,850</w:t>
            </w:r>
          </w:p>
        </w:tc>
      </w:tr>
      <w:tr w:rsidR="00E1056D" w:rsidRPr="004D72DD" w:rsidTr="000A6530">
        <w:trPr>
          <w:jc w:val="center"/>
        </w:trPr>
        <w:tc>
          <w:tcPr>
            <w:tcW w:w="1086" w:type="dxa"/>
            <w:shd w:val="clear" w:color="auto" w:fill="auto"/>
          </w:tcPr>
          <w:p w:rsidR="00E1056D" w:rsidRPr="004D72DD" w:rsidRDefault="00E1056D" w:rsidP="00E1056D">
            <w:pPr>
              <w:keepNext/>
              <w:tabs>
                <w:tab w:val="center" w:pos="1008"/>
                <w:tab w:val="center" w:pos="2448"/>
                <w:tab w:val="center" w:pos="4608"/>
                <w:tab w:val="center" w:pos="6768"/>
                <w:tab w:val="center" w:pos="8208"/>
              </w:tabs>
              <w:suppressAutoHyphens/>
              <w:jc w:val="center"/>
              <w:rPr>
                <w:rFonts w:cs="Times New Roman"/>
                <w:spacing w:val="-2"/>
                <w:sz w:val="16"/>
                <w:szCs w:val="16"/>
              </w:rPr>
            </w:pPr>
            <w:r w:rsidRPr="004D72DD">
              <w:rPr>
                <w:rFonts w:cs="Times New Roman"/>
                <w:spacing w:val="-2"/>
                <w:sz w:val="16"/>
                <w:szCs w:val="16"/>
              </w:rPr>
              <w:t>2041</w:t>
            </w:r>
          </w:p>
        </w:tc>
        <w:tc>
          <w:tcPr>
            <w:tcW w:w="1180" w:type="dxa"/>
            <w:shd w:val="clear" w:color="auto" w:fill="auto"/>
            <w:vAlign w:val="bottom"/>
          </w:tcPr>
          <w:p w:rsidR="00E1056D" w:rsidRPr="00E1056D" w:rsidRDefault="00E1056D" w:rsidP="00E1056D">
            <w:pPr>
              <w:tabs>
                <w:tab w:val="decimal" w:pos="984"/>
              </w:tabs>
              <w:rPr>
                <w:rFonts w:cs="Times New Roman"/>
                <w:sz w:val="16"/>
                <w:szCs w:val="20"/>
              </w:rPr>
            </w:pPr>
            <w:r w:rsidRPr="00E1056D">
              <w:rPr>
                <w:rFonts w:cs="Times New Roman"/>
                <w:sz w:val="16"/>
                <w:szCs w:val="20"/>
              </w:rPr>
              <w:t>1,890,000</w:t>
            </w:r>
          </w:p>
        </w:tc>
        <w:tc>
          <w:tcPr>
            <w:tcW w:w="1178" w:type="dxa"/>
            <w:shd w:val="clear" w:color="auto" w:fill="auto"/>
            <w:vAlign w:val="bottom"/>
          </w:tcPr>
          <w:p w:rsidR="00E1056D" w:rsidRPr="004D72DD" w:rsidRDefault="004844A4" w:rsidP="00E1056D">
            <w:pPr>
              <w:tabs>
                <w:tab w:val="decimal" w:pos="966"/>
              </w:tabs>
              <w:jc w:val="left"/>
              <w:rPr>
                <w:sz w:val="16"/>
                <w:szCs w:val="16"/>
              </w:rPr>
            </w:pPr>
            <w:r>
              <w:rPr>
                <w:sz w:val="16"/>
                <w:szCs w:val="16"/>
              </w:rPr>
              <w:t>2,150,000</w:t>
            </w:r>
          </w:p>
        </w:tc>
        <w:tc>
          <w:tcPr>
            <w:tcW w:w="1186" w:type="dxa"/>
            <w:shd w:val="clear" w:color="auto" w:fill="auto"/>
            <w:vAlign w:val="bottom"/>
          </w:tcPr>
          <w:p w:rsidR="00E1056D" w:rsidRPr="00364544" w:rsidRDefault="00E1056D" w:rsidP="00E1056D">
            <w:pPr>
              <w:tabs>
                <w:tab w:val="decimal" w:pos="966"/>
              </w:tabs>
              <w:rPr>
                <w:rFonts w:eastAsia="Times New Roman" w:cs="Times New Roman"/>
                <w:color w:val="000000"/>
                <w:sz w:val="16"/>
              </w:rPr>
            </w:pPr>
            <w:r>
              <w:rPr>
                <w:rFonts w:eastAsia="Times New Roman" w:cs="Times New Roman"/>
                <w:color w:val="000000"/>
                <w:sz w:val="16"/>
              </w:rPr>
              <w:t>52,464,663</w:t>
            </w:r>
          </w:p>
        </w:tc>
        <w:tc>
          <w:tcPr>
            <w:tcW w:w="1184" w:type="dxa"/>
            <w:shd w:val="clear" w:color="auto" w:fill="auto"/>
            <w:vAlign w:val="bottom"/>
          </w:tcPr>
          <w:p w:rsidR="00E1056D" w:rsidRPr="004D72DD" w:rsidRDefault="00E1056D" w:rsidP="00E1056D">
            <w:pPr>
              <w:keepNext/>
              <w:tabs>
                <w:tab w:val="decimal" w:pos="997"/>
              </w:tabs>
              <w:suppressAutoHyphens/>
              <w:jc w:val="left"/>
              <w:rPr>
                <w:rFonts w:cs="Times New Roman"/>
                <w:spacing w:val="-2"/>
                <w:sz w:val="16"/>
                <w:szCs w:val="16"/>
              </w:rPr>
            </w:pPr>
            <w:r>
              <w:rPr>
                <w:rFonts w:cs="Times New Roman"/>
                <w:spacing w:val="-2"/>
                <w:sz w:val="16"/>
                <w:szCs w:val="16"/>
              </w:rPr>
              <w:t>--</w:t>
            </w:r>
          </w:p>
        </w:tc>
        <w:tc>
          <w:tcPr>
            <w:tcW w:w="1181" w:type="dxa"/>
            <w:shd w:val="clear" w:color="auto" w:fill="auto"/>
            <w:vAlign w:val="center"/>
          </w:tcPr>
          <w:p w:rsidR="00E1056D" w:rsidRPr="004D72DD" w:rsidRDefault="002901DC" w:rsidP="00E1056D">
            <w:pPr>
              <w:pStyle w:val="Cover"/>
              <w:keepNext/>
              <w:tabs>
                <w:tab w:val="clear" w:pos="2880"/>
                <w:tab w:val="decimal" w:pos="1091"/>
              </w:tabs>
              <w:overflowPunct w:val="0"/>
              <w:autoSpaceDE w:val="0"/>
              <w:autoSpaceDN w:val="0"/>
              <w:adjustRightInd w:val="0"/>
              <w:textAlignment w:val="baseline"/>
              <w:rPr>
                <w:rFonts w:ascii="Times New Roman" w:hAnsi="Times New Roman"/>
                <w:spacing w:val="-2"/>
                <w:sz w:val="16"/>
                <w:szCs w:val="16"/>
              </w:rPr>
            </w:pPr>
            <w:r>
              <w:rPr>
                <w:rFonts w:ascii="Times New Roman" w:hAnsi="Times New Roman"/>
                <w:spacing w:val="-2"/>
                <w:sz w:val="16"/>
                <w:szCs w:val="16"/>
              </w:rPr>
              <w:t>56,504,663</w:t>
            </w:r>
          </w:p>
        </w:tc>
      </w:tr>
      <w:tr w:rsidR="00E1056D" w:rsidRPr="004D72DD" w:rsidTr="000A6530">
        <w:trPr>
          <w:jc w:val="center"/>
        </w:trPr>
        <w:tc>
          <w:tcPr>
            <w:tcW w:w="1086" w:type="dxa"/>
            <w:shd w:val="clear" w:color="auto" w:fill="auto"/>
          </w:tcPr>
          <w:p w:rsidR="00E1056D" w:rsidRPr="004D72DD" w:rsidRDefault="00E1056D" w:rsidP="00E1056D">
            <w:pPr>
              <w:keepNext/>
              <w:tabs>
                <w:tab w:val="center" w:pos="1008"/>
                <w:tab w:val="center" w:pos="2448"/>
                <w:tab w:val="center" w:pos="4608"/>
                <w:tab w:val="center" w:pos="6768"/>
                <w:tab w:val="center" w:pos="8208"/>
              </w:tabs>
              <w:suppressAutoHyphens/>
              <w:jc w:val="center"/>
              <w:rPr>
                <w:rFonts w:cs="Times New Roman"/>
                <w:spacing w:val="-2"/>
                <w:sz w:val="16"/>
                <w:szCs w:val="16"/>
              </w:rPr>
            </w:pPr>
            <w:r>
              <w:rPr>
                <w:rFonts w:cs="Times New Roman"/>
                <w:spacing w:val="-2"/>
                <w:sz w:val="16"/>
                <w:szCs w:val="16"/>
              </w:rPr>
              <w:t>2042</w:t>
            </w:r>
          </w:p>
        </w:tc>
        <w:tc>
          <w:tcPr>
            <w:tcW w:w="1180" w:type="dxa"/>
            <w:shd w:val="clear" w:color="auto" w:fill="auto"/>
            <w:vAlign w:val="bottom"/>
          </w:tcPr>
          <w:p w:rsidR="00E1056D" w:rsidRPr="00E1056D" w:rsidRDefault="00E1056D" w:rsidP="00E1056D">
            <w:pPr>
              <w:tabs>
                <w:tab w:val="decimal" w:pos="984"/>
              </w:tabs>
              <w:rPr>
                <w:rFonts w:cs="Times New Roman"/>
                <w:sz w:val="16"/>
                <w:szCs w:val="20"/>
              </w:rPr>
            </w:pPr>
            <w:r w:rsidRPr="00E1056D">
              <w:rPr>
                <w:rFonts w:cs="Times New Roman"/>
                <w:sz w:val="16"/>
                <w:szCs w:val="20"/>
              </w:rPr>
              <w:t>--</w:t>
            </w:r>
          </w:p>
        </w:tc>
        <w:tc>
          <w:tcPr>
            <w:tcW w:w="1178" w:type="dxa"/>
            <w:shd w:val="clear" w:color="auto" w:fill="auto"/>
            <w:vAlign w:val="bottom"/>
          </w:tcPr>
          <w:p w:rsidR="00E1056D" w:rsidRPr="004D72DD" w:rsidRDefault="004844A4" w:rsidP="00E1056D">
            <w:pPr>
              <w:tabs>
                <w:tab w:val="decimal" w:pos="966"/>
              </w:tabs>
              <w:jc w:val="left"/>
              <w:rPr>
                <w:sz w:val="16"/>
                <w:szCs w:val="16"/>
              </w:rPr>
            </w:pPr>
            <w:r>
              <w:rPr>
                <w:sz w:val="16"/>
                <w:szCs w:val="16"/>
              </w:rPr>
              <w:t>2,074,400</w:t>
            </w:r>
          </w:p>
        </w:tc>
        <w:tc>
          <w:tcPr>
            <w:tcW w:w="1186" w:type="dxa"/>
            <w:shd w:val="clear" w:color="auto" w:fill="auto"/>
            <w:vAlign w:val="bottom"/>
          </w:tcPr>
          <w:p w:rsidR="00E1056D" w:rsidRPr="00364544" w:rsidRDefault="00E1056D" w:rsidP="00E1056D">
            <w:pPr>
              <w:tabs>
                <w:tab w:val="decimal" w:pos="966"/>
              </w:tabs>
              <w:rPr>
                <w:rFonts w:eastAsia="Times New Roman" w:cs="Times New Roman"/>
                <w:color w:val="000000"/>
                <w:sz w:val="16"/>
              </w:rPr>
            </w:pPr>
            <w:r>
              <w:rPr>
                <w:rFonts w:eastAsia="Times New Roman" w:cs="Times New Roman"/>
                <w:color w:val="000000"/>
                <w:sz w:val="16"/>
              </w:rPr>
              <w:t>52,462,613</w:t>
            </w:r>
          </w:p>
        </w:tc>
        <w:tc>
          <w:tcPr>
            <w:tcW w:w="1184" w:type="dxa"/>
            <w:shd w:val="clear" w:color="auto" w:fill="auto"/>
            <w:vAlign w:val="bottom"/>
          </w:tcPr>
          <w:p w:rsidR="00E1056D" w:rsidRDefault="00E1056D" w:rsidP="00E1056D">
            <w:pPr>
              <w:keepNext/>
              <w:tabs>
                <w:tab w:val="decimal" w:pos="997"/>
              </w:tabs>
              <w:suppressAutoHyphens/>
              <w:jc w:val="left"/>
              <w:rPr>
                <w:rFonts w:cs="Times New Roman"/>
                <w:spacing w:val="-2"/>
                <w:sz w:val="16"/>
                <w:szCs w:val="16"/>
              </w:rPr>
            </w:pPr>
            <w:r>
              <w:rPr>
                <w:rFonts w:cs="Times New Roman"/>
                <w:spacing w:val="-2"/>
                <w:sz w:val="16"/>
                <w:szCs w:val="16"/>
              </w:rPr>
              <w:t>--</w:t>
            </w:r>
          </w:p>
        </w:tc>
        <w:tc>
          <w:tcPr>
            <w:tcW w:w="1181" w:type="dxa"/>
            <w:shd w:val="clear" w:color="auto" w:fill="auto"/>
            <w:vAlign w:val="center"/>
          </w:tcPr>
          <w:p w:rsidR="00E1056D" w:rsidRPr="004D72DD" w:rsidRDefault="002901DC" w:rsidP="00E1056D">
            <w:pPr>
              <w:pStyle w:val="Cover"/>
              <w:keepNext/>
              <w:tabs>
                <w:tab w:val="clear" w:pos="2880"/>
                <w:tab w:val="decimal" w:pos="1091"/>
              </w:tabs>
              <w:overflowPunct w:val="0"/>
              <w:autoSpaceDE w:val="0"/>
              <w:autoSpaceDN w:val="0"/>
              <w:adjustRightInd w:val="0"/>
              <w:textAlignment w:val="baseline"/>
              <w:rPr>
                <w:rFonts w:ascii="Times New Roman" w:hAnsi="Times New Roman"/>
                <w:spacing w:val="-2"/>
                <w:sz w:val="16"/>
                <w:szCs w:val="16"/>
              </w:rPr>
            </w:pPr>
            <w:r>
              <w:rPr>
                <w:rFonts w:ascii="Times New Roman" w:hAnsi="Times New Roman"/>
                <w:spacing w:val="-2"/>
                <w:sz w:val="16"/>
                <w:szCs w:val="16"/>
              </w:rPr>
              <w:t>54,537,013</w:t>
            </w:r>
          </w:p>
        </w:tc>
      </w:tr>
      <w:tr w:rsidR="00E1056D" w:rsidRPr="004D72DD" w:rsidTr="000A6530">
        <w:trPr>
          <w:jc w:val="center"/>
        </w:trPr>
        <w:tc>
          <w:tcPr>
            <w:tcW w:w="1086" w:type="dxa"/>
            <w:shd w:val="clear" w:color="auto" w:fill="auto"/>
          </w:tcPr>
          <w:p w:rsidR="00E1056D" w:rsidRDefault="00E1056D" w:rsidP="00E1056D">
            <w:pPr>
              <w:keepNext/>
              <w:tabs>
                <w:tab w:val="center" w:pos="1008"/>
                <w:tab w:val="center" w:pos="2448"/>
                <w:tab w:val="center" w:pos="4608"/>
                <w:tab w:val="center" w:pos="6768"/>
                <w:tab w:val="center" w:pos="8208"/>
              </w:tabs>
              <w:suppressAutoHyphens/>
              <w:jc w:val="center"/>
              <w:rPr>
                <w:rFonts w:cs="Times New Roman"/>
                <w:spacing w:val="-2"/>
                <w:sz w:val="16"/>
                <w:szCs w:val="16"/>
              </w:rPr>
            </w:pPr>
            <w:r>
              <w:rPr>
                <w:rFonts w:cs="Times New Roman"/>
                <w:spacing w:val="-2"/>
                <w:sz w:val="16"/>
                <w:szCs w:val="16"/>
              </w:rPr>
              <w:t>2043</w:t>
            </w:r>
          </w:p>
        </w:tc>
        <w:tc>
          <w:tcPr>
            <w:tcW w:w="1180" w:type="dxa"/>
            <w:shd w:val="clear" w:color="auto" w:fill="auto"/>
            <w:vAlign w:val="bottom"/>
          </w:tcPr>
          <w:p w:rsidR="00E1056D" w:rsidRPr="00E1056D" w:rsidRDefault="00E1056D" w:rsidP="00E1056D">
            <w:pPr>
              <w:tabs>
                <w:tab w:val="decimal" w:pos="984"/>
              </w:tabs>
              <w:rPr>
                <w:rFonts w:cs="Times New Roman"/>
                <w:sz w:val="16"/>
                <w:szCs w:val="20"/>
              </w:rPr>
            </w:pPr>
            <w:r w:rsidRPr="00E1056D">
              <w:rPr>
                <w:rFonts w:cs="Times New Roman"/>
                <w:sz w:val="16"/>
                <w:szCs w:val="20"/>
              </w:rPr>
              <w:t>--</w:t>
            </w:r>
          </w:p>
        </w:tc>
        <w:tc>
          <w:tcPr>
            <w:tcW w:w="1178" w:type="dxa"/>
            <w:shd w:val="clear" w:color="auto" w:fill="auto"/>
            <w:vAlign w:val="bottom"/>
          </w:tcPr>
          <w:p w:rsidR="00E1056D" w:rsidRPr="004D72DD" w:rsidRDefault="004844A4" w:rsidP="00E1056D">
            <w:pPr>
              <w:tabs>
                <w:tab w:val="decimal" w:pos="966"/>
              </w:tabs>
              <w:jc w:val="left"/>
              <w:rPr>
                <w:sz w:val="16"/>
                <w:szCs w:val="16"/>
              </w:rPr>
            </w:pPr>
            <w:r>
              <w:rPr>
                <w:sz w:val="16"/>
                <w:szCs w:val="16"/>
              </w:rPr>
              <w:t>2,074,400</w:t>
            </w:r>
          </w:p>
        </w:tc>
        <w:tc>
          <w:tcPr>
            <w:tcW w:w="1186" w:type="dxa"/>
            <w:shd w:val="clear" w:color="auto" w:fill="auto"/>
            <w:vAlign w:val="bottom"/>
          </w:tcPr>
          <w:p w:rsidR="00E1056D" w:rsidRPr="00364544" w:rsidRDefault="00E1056D" w:rsidP="00E1056D">
            <w:pPr>
              <w:tabs>
                <w:tab w:val="decimal" w:pos="966"/>
              </w:tabs>
              <w:rPr>
                <w:rFonts w:eastAsia="Times New Roman" w:cs="Times New Roman"/>
                <w:color w:val="000000"/>
                <w:sz w:val="16"/>
              </w:rPr>
            </w:pPr>
            <w:r>
              <w:rPr>
                <w:rFonts w:eastAsia="Times New Roman" w:cs="Times New Roman"/>
                <w:color w:val="000000"/>
                <w:sz w:val="16"/>
              </w:rPr>
              <w:t>52,463,000</w:t>
            </w:r>
          </w:p>
        </w:tc>
        <w:tc>
          <w:tcPr>
            <w:tcW w:w="1184" w:type="dxa"/>
            <w:shd w:val="clear" w:color="auto" w:fill="auto"/>
            <w:vAlign w:val="bottom"/>
          </w:tcPr>
          <w:p w:rsidR="00E1056D" w:rsidRDefault="00E1056D" w:rsidP="00E1056D">
            <w:pPr>
              <w:keepNext/>
              <w:tabs>
                <w:tab w:val="decimal" w:pos="997"/>
              </w:tabs>
              <w:suppressAutoHyphens/>
              <w:jc w:val="left"/>
              <w:rPr>
                <w:rFonts w:cs="Times New Roman"/>
                <w:spacing w:val="-2"/>
                <w:sz w:val="16"/>
                <w:szCs w:val="16"/>
              </w:rPr>
            </w:pPr>
          </w:p>
        </w:tc>
        <w:tc>
          <w:tcPr>
            <w:tcW w:w="1181" w:type="dxa"/>
            <w:shd w:val="clear" w:color="auto" w:fill="auto"/>
            <w:vAlign w:val="center"/>
          </w:tcPr>
          <w:p w:rsidR="00E1056D" w:rsidRPr="004D72DD" w:rsidRDefault="002901DC" w:rsidP="00E1056D">
            <w:pPr>
              <w:pStyle w:val="Cover"/>
              <w:keepNext/>
              <w:tabs>
                <w:tab w:val="clear" w:pos="2880"/>
                <w:tab w:val="decimal" w:pos="1091"/>
              </w:tabs>
              <w:overflowPunct w:val="0"/>
              <w:autoSpaceDE w:val="0"/>
              <w:autoSpaceDN w:val="0"/>
              <w:adjustRightInd w:val="0"/>
              <w:textAlignment w:val="baseline"/>
              <w:rPr>
                <w:rFonts w:ascii="Times New Roman" w:hAnsi="Times New Roman"/>
                <w:spacing w:val="-2"/>
                <w:sz w:val="16"/>
                <w:szCs w:val="16"/>
              </w:rPr>
            </w:pPr>
            <w:r>
              <w:rPr>
                <w:rFonts w:ascii="Times New Roman" w:hAnsi="Times New Roman"/>
                <w:spacing w:val="-2"/>
                <w:sz w:val="16"/>
                <w:szCs w:val="16"/>
              </w:rPr>
              <w:t>54,537,400</w:t>
            </w:r>
          </w:p>
        </w:tc>
      </w:tr>
      <w:tr w:rsidR="00E1056D" w:rsidRPr="004D72DD" w:rsidTr="000A6530">
        <w:trPr>
          <w:jc w:val="center"/>
        </w:trPr>
        <w:tc>
          <w:tcPr>
            <w:tcW w:w="1086" w:type="dxa"/>
            <w:shd w:val="clear" w:color="auto" w:fill="auto"/>
          </w:tcPr>
          <w:p w:rsidR="00E1056D" w:rsidRDefault="00E1056D" w:rsidP="00E1056D">
            <w:pPr>
              <w:keepNext/>
              <w:tabs>
                <w:tab w:val="center" w:pos="1008"/>
                <w:tab w:val="center" w:pos="2448"/>
                <w:tab w:val="center" w:pos="4608"/>
                <w:tab w:val="center" w:pos="6768"/>
                <w:tab w:val="center" w:pos="8208"/>
              </w:tabs>
              <w:suppressAutoHyphens/>
              <w:jc w:val="center"/>
              <w:rPr>
                <w:rFonts w:cs="Times New Roman"/>
                <w:spacing w:val="-2"/>
                <w:sz w:val="16"/>
                <w:szCs w:val="16"/>
              </w:rPr>
            </w:pPr>
            <w:r>
              <w:rPr>
                <w:rFonts w:cs="Times New Roman"/>
                <w:spacing w:val="-2"/>
                <w:sz w:val="16"/>
                <w:szCs w:val="16"/>
              </w:rPr>
              <w:t>2044</w:t>
            </w:r>
          </w:p>
        </w:tc>
        <w:tc>
          <w:tcPr>
            <w:tcW w:w="1180" w:type="dxa"/>
            <w:shd w:val="clear" w:color="auto" w:fill="auto"/>
            <w:vAlign w:val="bottom"/>
          </w:tcPr>
          <w:p w:rsidR="00E1056D" w:rsidRPr="00E1056D" w:rsidRDefault="00E1056D" w:rsidP="00E1056D">
            <w:pPr>
              <w:tabs>
                <w:tab w:val="decimal" w:pos="984"/>
              </w:tabs>
              <w:rPr>
                <w:rFonts w:cs="Times New Roman"/>
                <w:sz w:val="16"/>
                <w:szCs w:val="20"/>
              </w:rPr>
            </w:pPr>
            <w:r w:rsidRPr="00E1056D">
              <w:rPr>
                <w:rFonts w:cs="Times New Roman"/>
                <w:sz w:val="16"/>
                <w:szCs w:val="20"/>
              </w:rPr>
              <w:t>--</w:t>
            </w:r>
          </w:p>
        </w:tc>
        <w:tc>
          <w:tcPr>
            <w:tcW w:w="1178" w:type="dxa"/>
            <w:shd w:val="clear" w:color="auto" w:fill="auto"/>
            <w:vAlign w:val="bottom"/>
          </w:tcPr>
          <w:p w:rsidR="00E1056D" w:rsidRPr="004D72DD" w:rsidRDefault="004844A4" w:rsidP="00E1056D">
            <w:pPr>
              <w:tabs>
                <w:tab w:val="decimal" w:pos="966"/>
              </w:tabs>
              <w:jc w:val="left"/>
              <w:rPr>
                <w:sz w:val="16"/>
                <w:szCs w:val="16"/>
              </w:rPr>
            </w:pPr>
            <w:r>
              <w:rPr>
                <w:sz w:val="16"/>
                <w:szCs w:val="16"/>
              </w:rPr>
              <w:t>2,074,400</w:t>
            </w:r>
          </w:p>
        </w:tc>
        <w:tc>
          <w:tcPr>
            <w:tcW w:w="1186" w:type="dxa"/>
            <w:shd w:val="clear" w:color="auto" w:fill="auto"/>
            <w:vAlign w:val="bottom"/>
          </w:tcPr>
          <w:p w:rsidR="00E1056D" w:rsidRPr="00364544" w:rsidRDefault="00E1056D" w:rsidP="00E1056D">
            <w:pPr>
              <w:tabs>
                <w:tab w:val="decimal" w:pos="966"/>
              </w:tabs>
              <w:rPr>
                <w:rFonts w:eastAsia="Times New Roman" w:cs="Times New Roman"/>
                <w:color w:val="000000"/>
                <w:sz w:val="16"/>
              </w:rPr>
            </w:pPr>
            <w:r>
              <w:rPr>
                <w:rFonts w:eastAsia="Times New Roman" w:cs="Times New Roman"/>
                <w:color w:val="000000"/>
                <w:sz w:val="16"/>
              </w:rPr>
              <w:t>52,462,800</w:t>
            </w:r>
          </w:p>
        </w:tc>
        <w:tc>
          <w:tcPr>
            <w:tcW w:w="1184" w:type="dxa"/>
            <w:shd w:val="clear" w:color="auto" w:fill="auto"/>
            <w:vAlign w:val="bottom"/>
          </w:tcPr>
          <w:p w:rsidR="00E1056D" w:rsidRDefault="00E1056D" w:rsidP="00E1056D">
            <w:pPr>
              <w:keepNext/>
              <w:tabs>
                <w:tab w:val="decimal" w:pos="997"/>
              </w:tabs>
              <w:suppressAutoHyphens/>
              <w:jc w:val="left"/>
              <w:rPr>
                <w:rFonts w:cs="Times New Roman"/>
                <w:spacing w:val="-2"/>
                <w:sz w:val="16"/>
                <w:szCs w:val="16"/>
              </w:rPr>
            </w:pPr>
          </w:p>
        </w:tc>
        <w:tc>
          <w:tcPr>
            <w:tcW w:w="1181" w:type="dxa"/>
            <w:shd w:val="clear" w:color="auto" w:fill="auto"/>
            <w:vAlign w:val="center"/>
          </w:tcPr>
          <w:p w:rsidR="00E1056D" w:rsidRPr="004D72DD" w:rsidRDefault="002901DC" w:rsidP="00E1056D">
            <w:pPr>
              <w:pStyle w:val="Cover"/>
              <w:keepNext/>
              <w:tabs>
                <w:tab w:val="clear" w:pos="2880"/>
                <w:tab w:val="decimal" w:pos="1091"/>
              </w:tabs>
              <w:overflowPunct w:val="0"/>
              <w:autoSpaceDE w:val="0"/>
              <w:autoSpaceDN w:val="0"/>
              <w:adjustRightInd w:val="0"/>
              <w:textAlignment w:val="baseline"/>
              <w:rPr>
                <w:rFonts w:ascii="Times New Roman" w:hAnsi="Times New Roman"/>
                <w:spacing w:val="-2"/>
                <w:sz w:val="16"/>
                <w:szCs w:val="16"/>
              </w:rPr>
            </w:pPr>
            <w:r>
              <w:rPr>
                <w:rFonts w:ascii="Times New Roman" w:hAnsi="Times New Roman"/>
                <w:spacing w:val="-2"/>
                <w:sz w:val="16"/>
                <w:szCs w:val="16"/>
              </w:rPr>
              <w:t>54,537,200</w:t>
            </w:r>
          </w:p>
        </w:tc>
      </w:tr>
      <w:tr w:rsidR="00E1056D" w:rsidRPr="004D72DD" w:rsidTr="000A6530">
        <w:trPr>
          <w:jc w:val="center"/>
        </w:trPr>
        <w:tc>
          <w:tcPr>
            <w:tcW w:w="1086" w:type="dxa"/>
            <w:shd w:val="clear" w:color="auto" w:fill="auto"/>
          </w:tcPr>
          <w:p w:rsidR="00E1056D" w:rsidRPr="004D72DD" w:rsidRDefault="00E1056D" w:rsidP="00E1056D">
            <w:pPr>
              <w:keepNext/>
              <w:tabs>
                <w:tab w:val="center" w:pos="1008"/>
                <w:tab w:val="center" w:pos="2448"/>
                <w:tab w:val="center" w:pos="4608"/>
                <w:tab w:val="center" w:pos="6768"/>
                <w:tab w:val="center" w:pos="8208"/>
              </w:tabs>
              <w:suppressAutoHyphens/>
              <w:jc w:val="center"/>
              <w:rPr>
                <w:rFonts w:cs="Times New Roman"/>
                <w:spacing w:val="-2"/>
                <w:sz w:val="16"/>
                <w:szCs w:val="16"/>
              </w:rPr>
            </w:pPr>
            <w:r>
              <w:rPr>
                <w:rFonts w:cs="Times New Roman"/>
                <w:spacing w:val="-2"/>
                <w:sz w:val="16"/>
                <w:szCs w:val="16"/>
              </w:rPr>
              <w:t>2045</w:t>
            </w:r>
          </w:p>
        </w:tc>
        <w:tc>
          <w:tcPr>
            <w:tcW w:w="1180" w:type="dxa"/>
            <w:shd w:val="clear" w:color="auto" w:fill="auto"/>
            <w:vAlign w:val="bottom"/>
          </w:tcPr>
          <w:p w:rsidR="00E1056D" w:rsidRPr="00E1056D" w:rsidRDefault="00E1056D" w:rsidP="00E1056D">
            <w:pPr>
              <w:tabs>
                <w:tab w:val="decimal" w:pos="984"/>
              </w:tabs>
              <w:rPr>
                <w:rFonts w:cs="Times New Roman"/>
                <w:sz w:val="16"/>
                <w:szCs w:val="20"/>
              </w:rPr>
            </w:pPr>
            <w:r w:rsidRPr="00E1056D">
              <w:rPr>
                <w:rFonts w:cs="Times New Roman"/>
                <w:sz w:val="16"/>
                <w:szCs w:val="20"/>
              </w:rPr>
              <w:t>51,860,000</w:t>
            </w:r>
          </w:p>
        </w:tc>
        <w:tc>
          <w:tcPr>
            <w:tcW w:w="1178" w:type="dxa"/>
            <w:shd w:val="clear" w:color="auto" w:fill="auto"/>
            <w:vAlign w:val="bottom"/>
          </w:tcPr>
          <w:p w:rsidR="00E1056D" w:rsidRPr="004D72DD" w:rsidRDefault="004844A4" w:rsidP="00E1056D">
            <w:pPr>
              <w:tabs>
                <w:tab w:val="decimal" w:pos="966"/>
              </w:tabs>
              <w:jc w:val="left"/>
              <w:rPr>
                <w:sz w:val="16"/>
                <w:szCs w:val="16"/>
              </w:rPr>
            </w:pPr>
            <w:r>
              <w:rPr>
                <w:sz w:val="16"/>
                <w:szCs w:val="16"/>
              </w:rPr>
              <w:t>2,074,400</w:t>
            </w:r>
          </w:p>
        </w:tc>
        <w:tc>
          <w:tcPr>
            <w:tcW w:w="1186" w:type="dxa"/>
            <w:shd w:val="clear" w:color="auto" w:fill="auto"/>
            <w:vAlign w:val="bottom"/>
          </w:tcPr>
          <w:p w:rsidR="00E1056D" w:rsidRPr="00364544" w:rsidRDefault="00E1056D" w:rsidP="00E1056D">
            <w:pPr>
              <w:tabs>
                <w:tab w:val="decimal" w:pos="966"/>
              </w:tabs>
              <w:rPr>
                <w:rFonts w:eastAsia="Times New Roman" w:cs="Times New Roman"/>
                <w:color w:val="000000"/>
                <w:sz w:val="16"/>
              </w:rPr>
            </w:pPr>
            <w:r>
              <w:rPr>
                <w:rFonts w:eastAsia="Times New Roman" w:cs="Times New Roman"/>
                <w:color w:val="000000"/>
                <w:sz w:val="16"/>
              </w:rPr>
              <w:t>--</w:t>
            </w:r>
          </w:p>
        </w:tc>
        <w:tc>
          <w:tcPr>
            <w:tcW w:w="1184" w:type="dxa"/>
            <w:shd w:val="clear" w:color="auto" w:fill="auto"/>
            <w:vAlign w:val="bottom"/>
          </w:tcPr>
          <w:p w:rsidR="00E1056D" w:rsidRPr="004D72DD" w:rsidRDefault="00E1056D" w:rsidP="00E1056D">
            <w:pPr>
              <w:keepNext/>
              <w:tabs>
                <w:tab w:val="decimal" w:pos="997"/>
              </w:tabs>
              <w:suppressAutoHyphens/>
              <w:jc w:val="left"/>
              <w:rPr>
                <w:rFonts w:cs="Times New Roman"/>
                <w:spacing w:val="-2"/>
                <w:sz w:val="16"/>
                <w:szCs w:val="16"/>
              </w:rPr>
            </w:pPr>
            <w:r>
              <w:rPr>
                <w:rFonts w:cs="Times New Roman"/>
                <w:spacing w:val="-2"/>
                <w:sz w:val="16"/>
                <w:szCs w:val="16"/>
              </w:rPr>
              <w:t>--</w:t>
            </w:r>
          </w:p>
        </w:tc>
        <w:tc>
          <w:tcPr>
            <w:tcW w:w="1181" w:type="dxa"/>
            <w:shd w:val="clear" w:color="auto" w:fill="auto"/>
            <w:vAlign w:val="center"/>
          </w:tcPr>
          <w:p w:rsidR="00E1056D" w:rsidRPr="004D72DD" w:rsidRDefault="00877E4B" w:rsidP="00E1056D">
            <w:pPr>
              <w:pStyle w:val="Cover"/>
              <w:keepNext/>
              <w:tabs>
                <w:tab w:val="clear" w:pos="2880"/>
                <w:tab w:val="decimal" w:pos="1091"/>
              </w:tabs>
              <w:overflowPunct w:val="0"/>
              <w:autoSpaceDE w:val="0"/>
              <w:autoSpaceDN w:val="0"/>
              <w:adjustRightInd w:val="0"/>
              <w:textAlignment w:val="baseline"/>
              <w:rPr>
                <w:rFonts w:ascii="Times New Roman" w:hAnsi="Times New Roman"/>
                <w:spacing w:val="-2"/>
                <w:sz w:val="16"/>
                <w:szCs w:val="16"/>
              </w:rPr>
            </w:pPr>
            <w:r>
              <w:rPr>
                <w:rFonts w:ascii="Times New Roman" w:hAnsi="Times New Roman"/>
                <w:spacing w:val="-2"/>
                <w:sz w:val="16"/>
                <w:szCs w:val="16"/>
              </w:rPr>
              <w:t>53,934,400</w:t>
            </w:r>
          </w:p>
        </w:tc>
      </w:tr>
      <w:tr w:rsidR="00EF5857" w:rsidRPr="004D72DD" w:rsidTr="00EF5857">
        <w:trPr>
          <w:jc w:val="center"/>
        </w:trPr>
        <w:tc>
          <w:tcPr>
            <w:tcW w:w="1086" w:type="dxa"/>
            <w:shd w:val="clear" w:color="auto" w:fill="auto"/>
            <w:vAlign w:val="bottom"/>
          </w:tcPr>
          <w:p w:rsidR="00EF5857" w:rsidRPr="004D72DD" w:rsidRDefault="00EF5857" w:rsidP="00107A5A">
            <w:pPr>
              <w:keepNext/>
              <w:tabs>
                <w:tab w:val="center" w:pos="1008"/>
                <w:tab w:val="center" w:pos="2448"/>
                <w:tab w:val="center" w:pos="4608"/>
                <w:tab w:val="center" w:pos="6768"/>
                <w:tab w:val="center" w:pos="8208"/>
              </w:tabs>
              <w:suppressAutoHyphens/>
              <w:jc w:val="left"/>
              <w:rPr>
                <w:rFonts w:cs="Times New Roman"/>
                <w:spacing w:val="-2"/>
                <w:sz w:val="16"/>
                <w:szCs w:val="16"/>
              </w:rPr>
            </w:pPr>
          </w:p>
        </w:tc>
        <w:tc>
          <w:tcPr>
            <w:tcW w:w="1180" w:type="dxa"/>
            <w:tcBorders>
              <w:top w:val="single" w:sz="4" w:space="0" w:color="auto"/>
              <w:bottom w:val="double" w:sz="4" w:space="0" w:color="auto"/>
            </w:tcBorders>
            <w:shd w:val="clear" w:color="auto" w:fill="auto"/>
            <w:vAlign w:val="bottom"/>
          </w:tcPr>
          <w:p w:rsidR="00EF5857" w:rsidRPr="00D1383E" w:rsidRDefault="009E72FC" w:rsidP="00E1056D">
            <w:pPr>
              <w:tabs>
                <w:tab w:val="decimal" w:pos="984"/>
              </w:tabs>
              <w:rPr>
                <w:sz w:val="16"/>
                <w:szCs w:val="16"/>
              </w:rPr>
            </w:pPr>
            <w:r>
              <w:rPr>
                <w:sz w:val="16"/>
                <w:szCs w:val="16"/>
              </w:rPr>
              <w:t>$98,030,0000</w:t>
            </w:r>
          </w:p>
        </w:tc>
        <w:tc>
          <w:tcPr>
            <w:tcW w:w="1178" w:type="dxa"/>
            <w:tcBorders>
              <w:top w:val="single" w:sz="4" w:space="0" w:color="auto"/>
              <w:bottom w:val="double" w:sz="4" w:space="0" w:color="auto"/>
            </w:tcBorders>
            <w:shd w:val="clear" w:color="auto" w:fill="auto"/>
            <w:vAlign w:val="bottom"/>
          </w:tcPr>
          <w:p w:rsidR="00EF5857" w:rsidRPr="004D72DD" w:rsidRDefault="004844A4" w:rsidP="00107A5A">
            <w:pPr>
              <w:tabs>
                <w:tab w:val="decimal" w:pos="966"/>
              </w:tabs>
              <w:jc w:val="left"/>
              <w:rPr>
                <w:sz w:val="16"/>
                <w:szCs w:val="16"/>
              </w:rPr>
            </w:pPr>
            <w:r>
              <w:rPr>
                <w:sz w:val="16"/>
                <w:szCs w:val="16"/>
              </w:rPr>
              <w:t>$1,286,003</w:t>
            </w:r>
          </w:p>
        </w:tc>
        <w:tc>
          <w:tcPr>
            <w:tcW w:w="1186" w:type="dxa"/>
            <w:tcBorders>
              <w:top w:val="single" w:sz="4" w:space="0" w:color="auto"/>
              <w:bottom w:val="double" w:sz="4" w:space="0" w:color="auto"/>
            </w:tcBorders>
            <w:shd w:val="clear" w:color="auto" w:fill="auto"/>
            <w:vAlign w:val="bottom"/>
          </w:tcPr>
          <w:p w:rsidR="00EF5857" w:rsidRPr="004D72DD" w:rsidRDefault="00567EE5" w:rsidP="00107A5A">
            <w:pPr>
              <w:pStyle w:val="Cover"/>
              <w:keepNext/>
              <w:tabs>
                <w:tab w:val="clear" w:pos="2880"/>
                <w:tab w:val="decimal" w:pos="1031"/>
              </w:tabs>
              <w:overflowPunct w:val="0"/>
              <w:autoSpaceDE w:val="0"/>
              <w:autoSpaceDN w:val="0"/>
              <w:adjustRightInd w:val="0"/>
              <w:textAlignment w:val="baseline"/>
              <w:rPr>
                <w:rFonts w:ascii="Times New Roman" w:hAnsi="Times New Roman"/>
                <w:spacing w:val="-2"/>
                <w:sz w:val="16"/>
                <w:szCs w:val="16"/>
              </w:rPr>
            </w:pPr>
            <w:r>
              <w:rPr>
                <w:rFonts w:ascii="Times New Roman" w:hAnsi="Times New Roman"/>
                <w:spacing w:val="-2"/>
                <w:sz w:val="16"/>
                <w:szCs w:val="16"/>
              </w:rPr>
              <w:t>$1,763,155,980</w:t>
            </w:r>
          </w:p>
        </w:tc>
        <w:tc>
          <w:tcPr>
            <w:tcW w:w="1184" w:type="dxa"/>
            <w:tcBorders>
              <w:top w:val="single" w:sz="4" w:space="0" w:color="auto"/>
              <w:bottom w:val="double" w:sz="4" w:space="0" w:color="auto"/>
            </w:tcBorders>
            <w:shd w:val="clear" w:color="auto" w:fill="auto"/>
            <w:vAlign w:val="bottom"/>
          </w:tcPr>
          <w:p w:rsidR="00EF5857" w:rsidRPr="004D72DD" w:rsidRDefault="00567EE5" w:rsidP="00107A5A">
            <w:pPr>
              <w:keepNext/>
              <w:tabs>
                <w:tab w:val="decimal" w:pos="997"/>
              </w:tabs>
              <w:suppressAutoHyphens/>
              <w:jc w:val="left"/>
              <w:rPr>
                <w:rFonts w:cs="Times New Roman"/>
                <w:spacing w:val="-2"/>
                <w:sz w:val="16"/>
                <w:szCs w:val="16"/>
              </w:rPr>
            </w:pPr>
            <w:r>
              <w:rPr>
                <w:rFonts w:cs="Times New Roman"/>
                <w:spacing w:val="-2"/>
                <w:sz w:val="16"/>
                <w:szCs w:val="16"/>
              </w:rPr>
              <w:t>$(38,976,642)</w:t>
            </w:r>
          </w:p>
        </w:tc>
        <w:tc>
          <w:tcPr>
            <w:tcW w:w="1181" w:type="dxa"/>
            <w:tcBorders>
              <w:top w:val="single" w:sz="4" w:space="0" w:color="auto"/>
              <w:bottom w:val="double" w:sz="4" w:space="0" w:color="auto"/>
            </w:tcBorders>
            <w:shd w:val="clear" w:color="auto" w:fill="auto"/>
            <w:vAlign w:val="bottom"/>
          </w:tcPr>
          <w:p w:rsidR="00EF5857" w:rsidRPr="004D72DD" w:rsidRDefault="00877E4B" w:rsidP="00107A5A">
            <w:pPr>
              <w:keepNext/>
              <w:tabs>
                <w:tab w:val="decimal" w:pos="1091"/>
              </w:tabs>
              <w:jc w:val="left"/>
              <w:rPr>
                <w:rFonts w:cs="Times New Roman"/>
                <w:sz w:val="16"/>
                <w:szCs w:val="16"/>
              </w:rPr>
            </w:pPr>
            <w:r>
              <w:rPr>
                <w:rFonts w:cs="Times New Roman"/>
                <w:sz w:val="16"/>
                <w:szCs w:val="16"/>
              </w:rPr>
              <w:t>$</w:t>
            </w:r>
            <w:r w:rsidR="000C7901">
              <w:rPr>
                <w:rFonts w:cs="Times New Roman"/>
                <w:sz w:val="16"/>
                <w:szCs w:val="16"/>
              </w:rPr>
              <w:t>1,</w:t>
            </w:r>
            <w:r>
              <w:rPr>
                <w:rFonts w:cs="Times New Roman"/>
                <w:sz w:val="16"/>
                <w:szCs w:val="16"/>
              </w:rPr>
              <w:t>893,495,341</w:t>
            </w:r>
          </w:p>
        </w:tc>
      </w:tr>
    </w:tbl>
    <w:p w:rsidR="00520E5D" w:rsidRPr="008E459C" w:rsidRDefault="00520E5D" w:rsidP="00520E5D">
      <w:pPr>
        <w:pStyle w:val="OStablenotes"/>
        <w:keepNext w:val="0"/>
        <w:spacing w:before="80" w:after="0"/>
        <w:rPr>
          <w:spacing w:val="-3"/>
        </w:rPr>
      </w:pPr>
      <w:r>
        <w:rPr>
          <w:spacing w:val="-3"/>
        </w:rPr>
        <w:t>________________________</w:t>
      </w:r>
    </w:p>
    <w:p w:rsidR="00F93C9E" w:rsidRDefault="00F93C9E" w:rsidP="00520E5D">
      <w:pPr>
        <w:pStyle w:val="OStablenotes"/>
        <w:keepNext w:val="0"/>
        <w:spacing w:before="80" w:after="80"/>
        <w:rPr>
          <w:szCs w:val="16"/>
        </w:rPr>
      </w:pPr>
      <w:r w:rsidRPr="00520E5D">
        <w:rPr>
          <w:szCs w:val="16"/>
          <w:vertAlign w:val="superscript"/>
        </w:rPr>
        <w:t>1</w:t>
      </w:r>
      <w:r w:rsidRPr="00520E5D">
        <w:rPr>
          <w:szCs w:val="16"/>
        </w:rPr>
        <w:tab/>
      </w:r>
      <w:r w:rsidRPr="00F93C9E">
        <w:rPr>
          <w:szCs w:val="16"/>
        </w:rPr>
        <w:t>There will be credited against the amount of Base Rent otherwise payable under the related Lease the amount on deposit in the Certificate Fund that is not restricted by the Indenture to the payment of the redemption price of Certificates or the costs of defeasing Certificates.</w:t>
      </w:r>
    </w:p>
    <w:p w:rsidR="00154778" w:rsidRPr="00154778" w:rsidRDefault="00154778" w:rsidP="00154778">
      <w:pPr>
        <w:pStyle w:val="OStablenotes"/>
        <w:keepNext w:val="0"/>
        <w:spacing w:before="80" w:after="80"/>
        <w:jc w:val="center"/>
        <w:rPr>
          <w:i/>
          <w:szCs w:val="16"/>
        </w:rPr>
      </w:pPr>
      <w:r w:rsidRPr="00154778">
        <w:rPr>
          <w:i/>
          <w:szCs w:val="16"/>
        </w:rPr>
        <w:t>[Footnotes continued on following page]</w:t>
      </w:r>
    </w:p>
    <w:p w:rsidR="006123A1" w:rsidRDefault="00F93C9E" w:rsidP="00520E5D">
      <w:pPr>
        <w:pStyle w:val="OStablenotes"/>
        <w:keepNext w:val="0"/>
        <w:spacing w:before="80" w:after="80"/>
        <w:rPr>
          <w:szCs w:val="16"/>
        </w:rPr>
      </w:pPr>
      <w:r w:rsidRPr="00520E5D">
        <w:rPr>
          <w:szCs w:val="16"/>
          <w:vertAlign w:val="superscript"/>
        </w:rPr>
        <w:t>2</w:t>
      </w:r>
      <w:r w:rsidRPr="00520E5D">
        <w:rPr>
          <w:szCs w:val="16"/>
        </w:rPr>
        <w:tab/>
      </w:r>
      <w:r w:rsidRPr="00F93C9E">
        <w:rPr>
          <w:szCs w:val="16"/>
        </w:rPr>
        <w:t>Represents amount of expected Federal Direct Payments on the Series 2010D Certificates.  Although the ongoing existence or level of Federal Direct Payments reducti</w:t>
      </w:r>
      <w:r w:rsidR="009C59CD">
        <w:rPr>
          <w:szCs w:val="16"/>
        </w:rPr>
        <w:t>ons is not possible to forecast</w:t>
      </w:r>
      <w:r w:rsidRPr="00F93C9E">
        <w:rPr>
          <w:szCs w:val="16"/>
        </w:rPr>
        <w:t xml:space="preserve">.  </w:t>
      </w:r>
      <w:r w:rsidR="009C59CD">
        <w:rPr>
          <w:szCs w:val="16"/>
        </w:rPr>
        <w:t xml:space="preserve">The amounts shown in the table above assume a sequestration rate of 5.9% for the September 2020 payment and 5.7% for all subsequent payments.  </w:t>
      </w:r>
      <w:r w:rsidRPr="00F93C9E">
        <w:rPr>
          <w:szCs w:val="16"/>
        </w:rPr>
        <w:t xml:space="preserve">See </w:t>
      </w:r>
      <w:r w:rsidR="00A06786">
        <w:rPr>
          <w:szCs w:val="16"/>
        </w:rPr>
        <w:t>“</w:t>
      </w:r>
      <w:r w:rsidRPr="00F93C9E">
        <w:rPr>
          <w:szCs w:val="16"/>
        </w:rPr>
        <w:t>SECURITY AND SOURCES OF PAYMENT – Payments by the State – Federal Direct Payments</w:t>
      </w:r>
      <w:r w:rsidR="00A06786">
        <w:rPr>
          <w:szCs w:val="16"/>
        </w:rPr>
        <w:t>”</w:t>
      </w:r>
      <w:r w:rsidRPr="00F93C9E">
        <w:rPr>
          <w:szCs w:val="16"/>
        </w:rPr>
        <w:t xml:space="preserve"> and </w:t>
      </w:r>
      <w:r w:rsidR="00A06786">
        <w:rPr>
          <w:szCs w:val="16"/>
        </w:rPr>
        <w:t>“</w:t>
      </w:r>
      <w:r w:rsidRPr="00F93C9E">
        <w:rPr>
          <w:szCs w:val="16"/>
        </w:rPr>
        <w:t>CERTAIN RISK FACTORS – Federal Direct Payments</w:t>
      </w:r>
      <w:r w:rsidR="00A06786">
        <w:rPr>
          <w:szCs w:val="16"/>
        </w:rPr>
        <w:t>”</w:t>
      </w:r>
      <w:r w:rsidRPr="00F93C9E">
        <w:rPr>
          <w:szCs w:val="16"/>
        </w:rPr>
        <w:t xml:space="preserve"> for a discussion of Federal Direct Payments and the potential effect of sequestration.  The State has covenanted in the 2010D-F Lease to request the Federal Direct Payments from the United States Treasury, and the Trustee in such Lease has agreed to assist the State in doing so.</w:t>
      </w:r>
    </w:p>
    <w:p w:rsidR="006123A1" w:rsidRDefault="006123A1" w:rsidP="00461557">
      <w:pPr>
        <w:pStyle w:val="OStablesources"/>
        <w:spacing w:before="80" w:after="0"/>
        <w:jc w:val="left"/>
      </w:pPr>
      <w:r w:rsidRPr="00461557">
        <w:t>Source:</w:t>
      </w:r>
      <w:r w:rsidRPr="00461557">
        <w:tab/>
      </w:r>
      <w:r w:rsidR="006E48FE">
        <w:t>Municipal Advisor</w:t>
      </w:r>
      <w:r w:rsidR="00FF1476" w:rsidRPr="00461557">
        <w:t>.</w:t>
      </w:r>
    </w:p>
    <w:p w:rsidR="006123A1" w:rsidRDefault="006123A1" w:rsidP="003A3DD0">
      <w:pPr>
        <w:pStyle w:val="Heading1"/>
      </w:pPr>
      <w:bookmarkStart w:id="30" w:name="_Toc56668359"/>
      <w:r>
        <w:t>SECURITY AND SOURCES OF PAYMENT</w:t>
      </w:r>
      <w:bookmarkEnd w:id="30"/>
    </w:p>
    <w:p w:rsidR="006123A1" w:rsidRDefault="006123A1" w:rsidP="003A3DD0">
      <w:pPr>
        <w:pStyle w:val="Heading2"/>
      </w:pPr>
      <w:bookmarkStart w:id="31" w:name="_Toc56668360"/>
      <w:r>
        <w:t>Payments by the State</w:t>
      </w:r>
      <w:bookmarkEnd w:id="31"/>
    </w:p>
    <w:p w:rsidR="006123A1" w:rsidRDefault="006123A1" w:rsidP="00F93C9E">
      <w:pPr>
        <w:pStyle w:val="BodyText1"/>
      </w:pPr>
      <w:r>
        <w:t xml:space="preserve">The Series </w:t>
      </w:r>
      <w:r w:rsidR="00480C95">
        <w:t>2020R</w:t>
      </w:r>
      <w:r>
        <w:t xml:space="preserve"> Certificates evidence undivided interests in the right to receive Lease Revenues pursuant to the Leases on a parity basis with all other Certificates outstanding from time to time.  The Certificates are payable solely from the Trust Estate without preference, priority or distinction of any Certificate over any other Certificate.  The Lease Revenues include: (i) the Base Rent; (ii) Federal Direct Payments; (iii) the State</w:t>
      </w:r>
      <w:r w:rsidR="00A06786">
        <w:t>’</w:t>
      </w:r>
      <w:r>
        <w:t xml:space="preserve">s Purchase Option Price (as defined in </w:t>
      </w:r>
      <w:r w:rsidR="00A06786">
        <w:t>“</w:t>
      </w:r>
      <w:r>
        <w:t xml:space="preserve">The Leased Property – </w:t>
      </w:r>
      <w:r w:rsidRPr="00F93C9E">
        <w:rPr>
          <w:i/>
        </w:rPr>
        <w:t>State</w:t>
      </w:r>
      <w:r w:rsidR="00A06786">
        <w:rPr>
          <w:i/>
        </w:rPr>
        <w:t>’</w:t>
      </w:r>
      <w:r w:rsidRPr="00F93C9E">
        <w:rPr>
          <w:i/>
        </w:rPr>
        <w:t>s Purchase Option</w:t>
      </w:r>
      <w:r w:rsidR="00A06786">
        <w:t>”</w:t>
      </w:r>
      <w:r>
        <w:t xml:space="preserve"> hereafter in this section), if paid (including any Net Proceeds applied to the payment of the State</w:t>
      </w:r>
      <w:r w:rsidR="00A06786">
        <w:t>’</w:t>
      </w:r>
      <w:r>
        <w:t>s Purchase Option Price pursuant to a Lease); (iv) earnings on moneys on deposit in the Certificate Fund, the Capital Construction Fund and the State Expense Fund (but not the Rebate Fund or any defeasance escrow account); and (v) any other moneys to which the Trustee may be entitled for the benefit of the Owners.  All payment obligations of the State under each Lease, including, but not limited to, payment of Base Rent, are from year to year only and do not constitute a mandatory charge or requirement in any year beyond the State</w:t>
      </w:r>
      <w:r w:rsidR="00A06786">
        <w:t>’</w:t>
      </w:r>
      <w:r>
        <w:t>s then current Fiscal Year.  All covenants, stipulations, promises, agreements and obligations of the State or the Trustee, as the case may be, contained in the Leases are the covenants, stipulations, promises, agreements and obligations of the State or the Trustee, as the case may be, and not of any member, director, officer, employee, servant or other agent of the State or the Trustee in his or her individual capacity, and no recourse may be had on account of any such covenant, stipulation, promise, agreement or obligation, or for any claim base</w:t>
      </w:r>
      <w:r w:rsidR="00D32159">
        <w:t>d thereon or under the Leases</w:t>
      </w:r>
      <w:r>
        <w:t>, against any member, director, officer, employee, servant or other agent of the State or the Trustee or any natural person executing Leases or any related document or instrument; provided that such person is acting within the scope of his or her employment, membership, directorship or agency, as applicable, and not in a manner that constitutes gross negligence or willful misconduct.</w:t>
      </w:r>
    </w:p>
    <w:p w:rsidR="006123A1" w:rsidRDefault="006123A1" w:rsidP="00F93C9E">
      <w:pPr>
        <w:pStyle w:val="BodyText1"/>
      </w:pPr>
      <w:r>
        <w:t xml:space="preserve">As more fully described under the caption </w:t>
      </w:r>
      <w:r w:rsidR="00A06786">
        <w:t>“</w:t>
      </w:r>
      <w:r>
        <w:t>CERTAIN RISK FACTORS</w:t>
      </w:r>
      <w:r w:rsidR="00A06786">
        <w:t>”</w:t>
      </w:r>
      <w:r w:rsidR="00D71B53">
        <w:t xml:space="preserve"> and in the form of the </w:t>
      </w:r>
      <w:r w:rsidR="00480C95">
        <w:t>2020R</w:t>
      </w:r>
      <w:r>
        <w:t xml:space="preserve"> Lease appended to this Official Statement, following an Event of Nonappropriation, the Lease Term of a Lease will terminate on June 30 of any Fiscal Year in which the Event of Nonappropriation occurs.</w:t>
      </w:r>
    </w:p>
    <w:p w:rsidR="006123A1" w:rsidRDefault="006123A1" w:rsidP="00F93C9E">
      <w:pPr>
        <w:pStyle w:val="BodyText1"/>
      </w:pPr>
      <w:r>
        <w:t xml:space="preserve">Under the Act, Base Rent and Additional Rent must be paid from the amounts on deposit in the Assistance Fund, which is established by the Act and provides for the deposit thereto of certain revenues as described in </w:t>
      </w:r>
      <w:r w:rsidR="00A06786">
        <w:t>“</w:t>
      </w:r>
      <w:r>
        <w:t>APPENDIX G – PUBLIC SCHOOL CAPITAL CONSTRUCTION ASSISTANCE FUND.</w:t>
      </w:r>
      <w:r w:rsidR="00A06786">
        <w:t>”</w:t>
      </w:r>
      <w:r>
        <w:t xml:space="preserve">  The Act also permits the General Assembly to appropriate or transfer moneys to the Assistance Fund from any legally available source, including the State General Fund, if the amounts in the Assistance Fund are insufficient to cover the full amount of Rent required by the Leases.  Any such amounts in the Assistance Fund may be used only to pay Base Rent and Additional Rent if specifically appropriated by the General Assembly for that purpose.  The State is not obligated to appropriate such revenues to the Assistance Fund, or to appropriate any other State moneys to be transferred to the Assistance Fund, for purposes of paying Base Rent or Additional Rent under the Leases.  In addition, amounts on deposit in the Assistance Fund are not restricted to the payment of the Certificates and may be used for any purpose permitted by the Act, including, without limitation, defraying the cost of Projects.  See </w:t>
      </w:r>
      <w:r w:rsidR="00A06786">
        <w:t>“</w:t>
      </w:r>
      <w:r>
        <w:t>STATE FINANCIAL INFORMATION,</w:t>
      </w:r>
      <w:r w:rsidR="00A06786">
        <w:t>”</w:t>
      </w:r>
      <w:r>
        <w:t xml:space="preserve"> </w:t>
      </w:r>
      <w:r w:rsidR="00A06786">
        <w:t>“</w:t>
      </w:r>
      <w:r>
        <w:t>APPENDIX E – THE STATE GENERAL FUND</w:t>
      </w:r>
      <w:r w:rsidR="00A06786">
        <w:t>”</w:t>
      </w:r>
      <w:r>
        <w:t xml:space="preserve"> and </w:t>
      </w:r>
      <w:r w:rsidR="00A06786">
        <w:t>“</w:t>
      </w:r>
      <w:r>
        <w:t>APPENDIX G – PUBLIC SCHOOL CAPITAL CONSTRUCTION ASSISTANCE FUND.</w:t>
      </w:r>
      <w:r w:rsidR="00A06786">
        <w:t>”</w:t>
      </w:r>
      <w:r>
        <w:t xml:space="preserve">  </w:t>
      </w:r>
    </w:p>
    <w:p w:rsidR="006123A1" w:rsidRDefault="006123A1" w:rsidP="00F93C9E">
      <w:pPr>
        <w:pStyle w:val="BodyText1"/>
      </w:pPr>
      <w:r>
        <w:t>PAYMENT OF RENT AND ALL OTHER PAYMENTS BY THE STATE CONSTITUTE CURRENTLY APPROPRIATED EXPENDITURES OF THE STATE AND MAY BE PAID SOLELY FROM LEGALLY AVAILABLE MONEYS IN THE ASSISTANCE FUND, INCLUDING ANY MONEYS APPROPRIATED OR TRANSFERRED BY THE GENERAL ASSEMBLY TO THE ASSISTANCE FUND FROM ANY LEGALLY AVAILABLE SOURCE, INCLUDING THE STATE GENERAL FUND, IF THE AMOUNT OF MONEY IN THE ASSISTANCE FUND THAT IS AVAILABLE TO PAY RENT WILL BE INSUFFICIENT TO COVER THE FULL AMOUNT OF RENT.  ALL OBLIGATIONS OF THE STATE UNDER THE LEASES ARE SUBJECT TO THE ACTION OF THE GENERAL ASSEMBLY IN ANNUALLY MAKING MONEYS AVAILABLE FOR PAYMENTS THEREUNDER.  THE OBLIGATIONS OF THE STATE TO PAY RENT AND ALL OTHER OBLIGATIONS OF THE STATE UNDER THE LEASES ARE SUBJECT TO APPROPRIATION BY THE GENERAL ASSEMBLY IN ITS SOLE DISCRETION, AND SHALL NOT BE DEEMED OR CONSTRUED AS CREATING AN INDEBTEDNESS OF THE STATE WITHIN THE MEANING OF ANY PROVISION OF THE STATE CONSTITUTION OR THE LAWS OF THE STATE CONCERNING OR LIMITING THE CREATION OF INDEBTEDNESS OF THE STATE AND SHALL NOT CONSTITUTE A MULTIPLE FISCAL YEAR DIRECT OR INDIRECT DEBT OR OTHER FINANCIAL OBLIGATION OF THE STATE WITHIN THE MEANING OF SECTION 3 OF ARTICLE XI OR SECTION 20(4) OF ARTICLE X OF THE STATE CONSTITUTION OR ANY OTHER LIMITATION OR PROVISION OF THE STATE CONSTITUTION, STATE STATUTES OR OTHER STATE LAW.  IN THE EVENT THE STATE DOES NOT RENEW ANY LEASE, THE SOLE SECURITY AVAILABLE TO THE TRUSTEE, AS LESSOR UNDER THE LEASES, IS THE LEASED PROPERTY LEASED UNDER THE LEASES, SUBJECT TO THE TERMS OF THE LEASES.  THE STATE</w:t>
      </w:r>
      <w:r w:rsidR="00A06786">
        <w:t>’</w:t>
      </w:r>
      <w:r>
        <w:t>S OBLIGATIONS UNDER THE LEASES ARE SUBJECT TO THE STATE</w:t>
      </w:r>
      <w:r w:rsidR="00A06786">
        <w:t>’</w:t>
      </w:r>
      <w:r>
        <w:t xml:space="preserve">S ANNUAL RIGHT TO TERMINATE THE LEASES UPON THE OCCURRENCE OF AN EVENT OF NONAPPROPRIATION.  SEE </w:t>
      </w:r>
      <w:r w:rsidR="00A06786">
        <w:t>“</w:t>
      </w:r>
      <w:r>
        <w:t>CERTAIN RISK FACTORS.</w:t>
      </w:r>
      <w:r w:rsidR="00A06786">
        <w:t>”</w:t>
      </w:r>
    </w:p>
    <w:p w:rsidR="006123A1" w:rsidRDefault="006123A1" w:rsidP="003A3DD0">
      <w:pPr>
        <w:pStyle w:val="Heading2"/>
      </w:pPr>
      <w:bookmarkStart w:id="32" w:name="_Toc56668361"/>
      <w:r>
        <w:t>Lease Term</w:t>
      </w:r>
      <w:bookmarkEnd w:id="32"/>
    </w:p>
    <w:p w:rsidR="006123A1" w:rsidRDefault="006123A1" w:rsidP="00F93C9E">
      <w:pPr>
        <w:pStyle w:val="BodyText1"/>
      </w:pPr>
      <w:r>
        <w:t>The Lease Term of each Lease is comprised of the Initial Term commencing on the date the Lease is executed and delivered and ending on June 30 of that Fiscal Year and successive one year Renewal Terms, subject to the provisions described below.  The Lease Term of any Lease expires upon the earliest of any of the following events: (a) the last day of the month in which the final Base Rent payment is scheduled to be paid in accordance with the Lease; (b) June 30 of the Initial Term or June 30 of any Renewal Term during which, in either case, an Event of Nonappropriation has occurred; (c) the purchase of all the Leased Property by the State pursuant to the Lease; or (d) termination of the Lease following an Event of Default in accordance with the Lease.  Notwithstanding the preceding sentence, an Event of Nonappropriation will not be deemed to occur if, on or before August 15 of the ensuing Fiscal Year, (i) the General Assembly has appropriated or otherwise authorized the expenditure of amounts sufficient to avoid an Event of Nonappropriation as described in the preceding sentence</w:t>
      </w:r>
      <w:r w:rsidR="00016BB9">
        <w:t>;</w:t>
      </w:r>
      <w:r>
        <w:t xml:space="preserve"> and (ii) the State has paid all Rent due during the period from June 30 through the date of such appropriation or authorization.</w:t>
      </w:r>
    </w:p>
    <w:p w:rsidR="006123A1" w:rsidRDefault="006123A1" w:rsidP="00F93C9E">
      <w:pPr>
        <w:pStyle w:val="BodyText1"/>
      </w:pPr>
      <w:r>
        <w:t>Upon termination of the Lease Term, all unaccrued obligations of the State under the Lease will terminate, but all obligations of the State that have accrued thereunder prior to such termination will continue until they are discharged in full; and if the termination occurs because of the occurrence of an Event of Nonappropriation or an Event of Default, the State</w:t>
      </w:r>
      <w:r w:rsidR="00A06786">
        <w:t>’</w:t>
      </w:r>
      <w:r>
        <w:t>s right to possession of the Leased Property thereunder will terminate and (i) the State is required to vacate the Leased Property within 90 days; and (ii)</w:t>
      </w:r>
      <w:r w:rsidR="003E1FEA">
        <w:t> </w:t>
      </w:r>
      <w:r>
        <w:t>if and to the extent the General Assembly has appropriated funds for payment of Rent payable during, or with respect to the State</w:t>
      </w:r>
      <w:r w:rsidR="00A06786">
        <w:t>’</w:t>
      </w:r>
      <w:r>
        <w:t>s use of the Leased Property during, the period between termination of the Lease Term and the date the Leased Property is vacated pursuant to clause (i), the State is obligated to pay Base Rent to the Trustee and Additional Rent to the Persons entitled thereto.  If the termination occurs because of the occurrence of an Event of Nonappropriation or an Event of Default, the Trustee is entitled to exercise certain remedies with respect to the Leased Property as further des</w:t>
      </w:r>
      <w:r w:rsidR="00D71B53">
        <w:t xml:space="preserve">cribed in the forms of the </w:t>
      </w:r>
      <w:r w:rsidR="00480C95">
        <w:t>2020R</w:t>
      </w:r>
      <w:r w:rsidR="00D71B53">
        <w:t xml:space="preserve"> Lease,</w:t>
      </w:r>
      <w:r>
        <w:t xml:space="preserve"> </w:t>
      </w:r>
      <w:r w:rsidR="00480C95">
        <w:t>2020R</w:t>
      </w:r>
      <w:r w:rsidR="00D71B53">
        <w:t xml:space="preserve"> Site Lease</w:t>
      </w:r>
      <w:r w:rsidR="00F040E2">
        <w:t>s</w:t>
      </w:r>
      <w:r>
        <w:t xml:space="preserve">, the </w:t>
      </w:r>
      <w:r w:rsidR="00480C95">
        <w:t>2020R</w:t>
      </w:r>
      <w:r w:rsidR="00D71B53">
        <w:t xml:space="preserve"> Sublease</w:t>
      </w:r>
      <w:r w:rsidR="00F040E2">
        <w:t>s</w:t>
      </w:r>
      <w:r>
        <w:t>, the Master Indenture</w:t>
      </w:r>
      <w:r w:rsidR="00D71B53">
        <w:t xml:space="preserve"> and</w:t>
      </w:r>
      <w:r>
        <w:t xml:space="preserve"> the </w:t>
      </w:r>
      <w:r w:rsidR="00480C95">
        <w:t>2020R</w:t>
      </w:r>
      <w:r>
        <w:t xml:space="preserve"> Supplemental Indenture appended to this Official Statement.</w:t>
      </w:r>
    </w:p>
    <w:p w:rsidR="006123A1" w:rsidRDefault="006123A1" w:rsidP="008C2AC2">
      <w:pPr>
        <w:pStyle w:val="Heading2"/>
        <w:keepNext/>
      </w:pPr>
      <w:bookmarkStart w:id="33" w:name="_Toc56668362"/>
      <w:r>
        <w:t>Nonrenewal of the Lease Term</w:t>
      </w:r>
      <w:bookmarkEnd w:id="33"/>
    </w:p>
    <w:p w:rsidR="006123A1" w:rsidRDefault="006123A1" w:rsidP="008C2AC2">
      <w:pPr>
        <w:pStyle w:val="BodyText1"/>
        <w:keepNext/>
      </w:pPr>
      <w:r>
        <w:t xml:space="preserve">The State is not permitted to renew the Leases or any of them (including the </w:t>
      </w:r>
      <w:r w:rsidR="00480C95">
        <w:t>2020R</w:t>
      </w:r>
      <w:r>
        <w:t xml:space="preserve"> Lease</w:t>
      </w:r>
      <w:r w:rsidR="00A87D3B">
        <w:t>)</w:t>
      </w:r>
      <w:r>
        <w:t xml:space="preserve"> with respect to less than all of the Leased Property.  Accordingly, a decision to not renew a Lease would mean the loss of the use by the State of all of the Leased Property (including th</w:t>
      </w:r>
      <w:r w:rsidR="00D71B53">
        <w:t xml:space="preserve">e </w:t>
      </w:r>
      <w:r w:rsidR="00480C95">
        <w:t>2020R</w:t>
      </w:r>
      <w:r>
        <w:t xml:space="preserve"> Leased Property).  Upon a nonrenewal of the Lease Term by reason of an Event of Nonappropriation or an Event of Default, and so long as the State has not exercised its purchase option with respect to all the related Leased Property as described in </w:t>
      </w:r>
      <w:r w:rsidR="00A06786">
        <w:t>“</w:t>
      </w:r>
      <w:r>
        <w:t xml:space="preserve">The Leased Property – </w:t>
      </w:r>
      <w:r w:rsidRPr="007941AC">
        <w:rPr>
          <w:i/>
        </w:rPr>
        <w:t>State</w:t>
      </w:r>
      <w:r w:rsidR="00A06786">
        <w:rPr>
          <w:i/>
        </w:rPr>
        <w:t>’</w:t>
      </w:r>
      <w:r w:rsidRPr="007941AC">
        <w:rPr>
          <w:i/>
        </w:rPr>
        <w:t>s Purchase Option</w:t>
      </w:r>
      <w:r w:rsidR="00A06786">
        <w:t>”</w:t>
      </w:r>
      <w:r w:rsidR="00D32159">
        <w:t xml:space="preserve"> below</w:t>
      </w:r>
      <w:r>
        <w:t xml:space="preserve">, or any Participating </w:t>
      </w:r>
      <w:r w:rsidR="00006F60">
        <w:t>K-12</w:t>
      </w:r>
      <w:r>
        <w:t xml:space="preserve"> Institution has not exercised the purchase option of its portion of the related Leased Property as described in </w:t>
      </w:r>
      <w:r w:rsidR="00A06786">
        <w:t>“</w:t>
      </w:r>
      <w:r>
        <w:t xml:space="preserve">The Leased Property – </w:t>
      </w:r>
      <w:r w:rsidRPr="007941AC">
        <w:rPr>
          <w:i/>
        </w:rPr>
        <w:t>Sublessee</w:t>
      </w:r>
      <w:r w:rsidR="00A06786">
        <w:rPr>
          <w:i/>
        </w:rPr>
        <w:t>’</w:t>
      </w:r>
      <w:r w:rsidRPr="007941AC">
        <w:rPr>
          <w:i/>
        </w:rPr>
        <w:t>s Purchase Option</w:t>
      </w:r>
      <w:r w:rsidR="00A06786">
        <w:t>”</w:t>
      </w:r>
      <w:r>
        <w:t xml:space="preserve"> in this section, the State and such related Participating </w:t>
      </w:r>
      <w:r w:rsidR="00006F60">
        <w:t>K-12</w:t>
      </w:r>
      <w:r>
        <w:t xml:space="preserve"> Institutions (and, in the case of charter schools, the chartering entities) not exercising the purchase option are required to vacate the Leased Property within 90 days.  The Trustee may proceed to exercise any remedies available to the Trustee for the benefit of the Owners of the Certificates and may exercise any other remedies available upon default as provided in the Leases, including the sale of or lease of the Trustee</w:t>
      </w:r>
      <w:r w:rsidR="00A06786">
        <w:t>’</w:t>
      </w:r>
      <w:r>
        <w:t xml:space="preserve">s interest under the Site Leases.  See </w:t>
      </w:r>
      <w:r w:rsidR="00A06786">
        <w:t>“</w:t>
      </w:r>
      <w:r>
        <w:t>CERTAIN RISK FACTORS</w:t>
      </w:r>
      <w:r w:rsidR="00A06786">
        <w:t>”</w:t>
      </w:r>
      <w:r>
        <w:t xml:space="preserve"> and the forms of the </w:t>
      </w:r>
      <w:r w:rsidR="00480C95">
        <w:t>2020R</w:t>
      </w:r>
      <w:r w:rsidR="00D71B53">
        <w:t xml:space="preserve"> Site Lease, the </w:t>
      </w:r>
      <w:r w:rsidR="00480C95">
        <w:t>2020R</w:t>
      </w:r>
      <w:r>
        <w:t xml:space="preserve"> Lease, the </w:t>
      </w:r>
      <w:r w:rsidR="00480C95">
        <w:t>2020R</w:t>
      </w:r>
      <w:r w:rsidR="00D71B53">
        <w:t xml:space="preserve"> Sublease</w:t>
      </w:r>
      <w:r>
        <w:t>,</w:t>
      </w:r>
      <w:r w:rsidR="00D71B53">
        <w:t xml:space="preserve"> the Master Indenture and the </w:t>
      </w:r>
      <w:r w:rsidR="00480C95">
        <w:t>2020R</w:t>
      </w:r>
      <w:r>
        <w:t xml:space="preserve"> Supplemental Indenture appended to this Official Statement.</w:t>
      </w:r>
    </w:p>
    <w:p w:rsidR="006123A1" w:rsidRDefault="006123A1" w:rsidP="00F93C9E">
      <w:pPr>
        <w:pStyle w:val="BodyText1"/>
      </w:pPr>
      <w:r>
        <w:t xml:space="preserve">The Leases place certain limitations on the availability of money damages against the State as a remedy in an Event of Default or an Event of Nonappropriation.  For example, the Leases provide that a judgment requiring a payment of money may be entered against the State by reason of an Event of Nonappropriation only to the extent the State fails to vacate the Leased Property as required by the related Lease and only as to certain liabilities as described in the Leases.  All property, funds and rights acquired by the Trustee upon the nonrenewal of the Leases, along with other moneys then held by the Trustee under the Indenture (with certain exceptions and subject to certain priorities as provided in the Leases and the Indenture), are required to be used to redeem the related Certificates if and to the extent any such moneys are realized.  See </w:t>
      </w:r>
      <w:r w:rsidR="00A06786">
        <w:t>“</w:t>
      </w:r>
      <w:r>
        <w:t>CERTAIN RISK FACTORS</w:t>
      </w:r>
      <w:r w:rsidR="00A06786">
        <w:t>”</w:t>
      </w:r>
      <w:r>
        <w:t xml:space="preserve"> and the forms of the </w:t>
      </w:r>
      <w:r w:rsidR="00480C95">
        <w:t>2020R</w:t>
      </w:r>
      <w:r>
        <w:t xml:space="preserve"> Site Lease, the </w:t>
      </w:r>
      <w:r w:rsidR="00480C95">
        <w:t>2020R</w:t>
      </w:r>
      <w:r>
        <w:t xml:space="preserve"> Lease, the </w:t>
      </w:r>
      <w:r w:rsidR="00480C95">
        <w:t>2020R</w:t>
      </w:r>
      <w:r>
        <w:t xml:space="preserve"> Sublease, the Master Indenture</w:t>
      </w:r>
      <w:r w:rsidR="00D71B53">
        <w:t xml:space="preserve"> and</w:t>
      </w:r>
      <w:r>
        <w:t xml:space="preserve"> the </w:t>
      </w:r>
      <w:r w:rsidR="00480C95">
        <w:t>2020R</w:t>
      </w:r>
      <w:r>
        <w:t xml:space="preserve"> Supplemental Indenture appended to this Official Statement.</w:t>
      </w:r>
    </w:p>
    <w:p w:rsidR="006123A1" w:rsidRDefault="006123A1" w:rsidP="003A3DD0">
      <w:pPr>
        <w:pStyle w:val="Heading2"/>
      </w:pPr>
      <w:bookmarkStart w:id="34" w:name="_Toc56668363"/>
      <w:r>
        <w:t>The Leased Property</w:t>
      </w:r>
      <w:bookmarkEnd w:id="34"/>
    </w:p>
    <w:p w:rsidR="006123A1" w:rsidRDefault="006123A1" w:rsidP="00F93C9E">
      <w:pPr>
        <w:pStyle w:val="BodyText1"/>
      </w:pPr>
      <w:r w:rsidRPr="00BE641C">
        <w:rPr>
          <w:b/>
          <w:i/>
        </w:rPr>
        <w:t>Generally</w:t>
      </w:r>
      <w:r>
        <w:t xml:space="preserve">.  The Leased Property consists of the property leased by the Trustee to the State pursuant to each of the Leases.  As described above, the State is not permitted to renew the Leases or any of them (including the </w:t>
      </w:r>
      <w:r w:rsidR="00480C95">
        <w:t>2020R</w:t>
      </w:r>
      <w:r>
        <w:t xml:space="preserve"> Lease) with respect to less than all of the Leased Property.  Accordingly, a decision to not renew a Lease would mean the loss of the use by the State of all of the Leas</w:t>
      </w:r>
      <w:r w:rsidR="00D71B53">
        <w:t xml:space="preserve">ed Property (including the </w:t>
      </w:r>
      <w:r w:rsidR="00480C95">
        <w:t>2020R</w:t>
      </w:r>
      <w:r>
        <w:t xml:space="preserve"> Leased Property) unless the purchase option for all of the Leased Property has been exercised by the State.  See </w:t>
      </w:r>
      <w:r w:rsidR="00A06786">
        <w:t>“</w:t>
      </w:r>
      <w:r w:rsidRPr="00BE641C">
        <w:rPr>
          <w:i/>
        </w:rPr>
        <w:t>State</w:t>
      </w:r>
      <w:r w:rsidR="00A06786">
        <w:rPr>
          <w:i/>
        </w:rPr>
        <w:t>’</w:t>
      </w:r>
      <w:r w:rsidRPr="00BE641C">
        <w:rPr>
          <w:i/>
        </w:rPr>
        <w:t>s Purchase Option</w:t>
      </w:r>
      <w:r w:rsidR="00A06786">
        <w:t>”</w:t>
      </w:r>
      <w:r>
        <w:t xml:space="preserve"> below.  The State may make substitutions, or may consent to substitutions by the related Participating </w:t>
      </w:r>
      <w:r w:rsidR="00006F60">
        <w:t>K-12</w:t>
      </w:r>
      <w:r>
        <w:t xml:space="preserve"> Institution, of the related Leased Property in accordance with the terms of the related Leases and Subleases as described in </w:t>
      </w:r>
      <w:r w:rsidR="00A06786">
        <w:t>“</w:t>
      </w:r>
      <w:r>
        <w:t>Substitution of Leased Property</w:t>
      </w:r>
      <w:r w:rsidR="00A06786">
        <w:t>”</w:t>
      </w:r>
      <w:r>
        <w:t xml:space="preserve"> in this section.  </w:t>
      </w:r>
      <w:r w:rsidRPr="00AF52CB">
        <w:rPr>
          <w:b/>
        </w:rPr>
        <w:t xml:space="preserve">Owners of the Series </w:t>
      </w:r>
      <w:r w:rsidR="00480C95">
        <w:rPr>
          <w:b/>
        </w:rPr>
        <w:t>2020R</w:t>
      </w:r>
      <w:r w:rsidRPr="00AF52CB">
        <w:rPr>
          <w:b/>
        </w:rPr>
        <w:t xml:space="preserve"> Certificates should not assume that it will be possible to foreclose upon or otherwise dispose of any Leased Property, or any portion thereof, for an amount equal to the respective principal amounts of the Certificates (including the Prior Certificates) plus accrued interest thereon.  See </w:t>
      </w:r>
      <w:r w:rsidR="00A06786">
        <w:rPr>
          <w:b/>
        </w:rPr>
        <w:t>“</w:t>
      </w:r>
      <w:r w:rsidRPr="00AF52CB">
        <w:rPr>
          <w:b/>
        </w:rPr>
        <w:t>CERTAIN RISK FACTORS – Effect of Nonrenewal of a Lease</w:t>
      </w:r>
      <w:r w:rsidR="00A06786">
        <w:rPr>
          <w:b/>
        </w:rPr>
        <w:t>”</w:t>
      </w:r>
      <w:r w:rsidRPr="00AF52CB">
        <w:rPr>
          <w:b/>
        </w:rPr>
        <w:t xml:space="preserve"> for a description of some of the factors that may impact the value of Leased Property.</w:t>
      </w:r>
    </w:p>
    <w:p w:rsidR="006123A1" w:rsidRDefault="006123A1" w:rsidP="00F93C9E">
      <w:pPr>
        <w:pStyle w:val="BodyText1"/>
      </w:pPr>
      <w:r>
        <w:t xml:space="preserve">In some cases, the Leased Property for a Participating </w:t>
      </w:r>
      <w:r w:rsidR="00006F60">
        <w:t>K-12</w:t>
      </w:r>
      <w:r>
        <w:t xml:space="preserve"> Institution is comprised of leasehold interests in land and the school facilities for such Participating </w:t>
      </w:r>
      <w:r w:rsidR="00006F60">
        <w:t>K-12</w:t>
      </w:r>
      <w:r>
        <w:t xml:space="preserve"> Institutions to be built thereon consistent with construction guidelines adopted by the Assistance Board.  Under such circumstances, such Participating </w:t>
      </w:r>
      <w:r w:rsidR="00006F60">
        <w:t>K-12</w:t>
      </w:r>
      <w:r>
        <w:t xml:space="preserve"> Institutions have covenanted to complete construction of their respective facilities within three years of the date of the related Sublease.  See </w:t>
      </w:r>
      <w:r w:rsidR="00A06786">
        <w:t>“</w:t>
      </w:r>
      <w:r>
        <w:t xml:space="preserve">APPENDIX H – LEASED PROPERTY RELATING TO THE </w:t>
      </w:r>
      <w:r w:rsidR="00AF018D">
        <w:t>PRIOR</w:t>
      </w:r>
      <w:r>
        <w:t xml:space="preserve"> CERTIFICATES</w:t>
      </w:r>
      <w:r w:rsidR="00A06786">
        <w:t>”</w:t>
      </w:r>
      <w:r>
        <w:t xml:space="preserve"> for a description of Projects constituting Leased Property, including Projects that have been cleared for occupancy and are currently in operation.  In other cases, the Leased Property for a Participating </w:t>
      </w:r>
      <w:r w:rsidR="00006F60">
        <w:t>K-12</w:t>
      </w:r>
      <w:r>
        <w:t xml:space="preserve"> Institution is comprised of existing facilities that were not financed with the Certificates.</w:t>
      </w:r>
    </w:p>
    <w:p w:rsidR="009105A0" w:rsidRPr="009105A0" w:rsidRDefault="009105A0" w:rsidP="009105A0">
      <w:pPr>
        <w:pStyle w:val="BodyText1"/>
      </w:pPr>
      <w:r w:rsidRPr="009105A0">
        <w:t xml:space="preserve">Prior to the issuance of the Series </w:t>
      </w:r>
      <w:r w:rsidR="00480C95">
        <w:t>2020R</w:t>
      </w:r>
      <w:r w:rsidRPr="009105A0">
        <w:t xml:space="preserve"> Certificates, the State is required to certify and is expected to certify to the Trustee that the Fair Market Value of the </w:t>
      </w:r>
      <w:r w:rsidR="00480C95">
        <w:t>2020R</w:t>
      </w:r>
      <w:r w:rsidRPr="009105A0">
        <w:t xml:space="preserve"> Leased Property is at least equal to 90% of the principal amount of the Series </w:t>
      </w:r>
      <w:r w:rsidR="00480C95">
        <w:t>2020R</w:t>
      </w:r>
      <w:r w:rsidRPr="009105A0">
        <w:t xml:space="preserve"> Certificates.  See </w:t>
      </w:r>
      <w:r w:rsidR="00A06786">
        <w:t>“</w:t>
      </w:r>
      <w:r w:rsidR="00CF5110">
        <w:t>SECURITY AND SOURCES OF PAYMENT</w:t>
      </w:r>
      <w:r w:rsidRPr="009105A0">
        <w:t xml:space="preserve"> – Additional Series of Certificates.</w:t>
      </w:r>
      <w:r w:rsidR="00A06786">
        <w:t>”</w:t>
      </w:r>
      <w:r w:rsidRPr="009105A0">
        <w:t xml:space="preserve">  The following table describes the </w:t>
      </w:r>
      <w:r w:rsidR="00480C95">
        <w:t>2020R</w:t>
      </w:r>
      <w:r w:rsidRPr="009105A0">
        <w:t xml:space="preserve"> Leased Property subject to </w:t>
      </w:r>
      <w:r w:rsidR="00480C95">
        <w:t>2020R</w:t>
      </w:r>
      <w:r w:rsidRPr="009105A0">
        <w:t xml:space="preserve"> Site Leases between the Trustee and the respective </w:t>
      </w:r>
      <w:r w:rsidR="00480C95">
        <w:t>2020R</w:t>
      </w:r>
      <w:r w:rsidRPr="009105A0">
        <w:t xml:space="preserve"> Participating K-12 Institutions as indicated on the table:  </w:t>
      </w:r>
    </w:p>
    <w:p w:rsidR="009105A0" w:rsidRPr="00F40065" w:rsidRDefault="00480C95" w:rsidP="00F40065">
      <w:pPr>
        <w:pStyle w:val="TitleNCnotoc"/>
        <w:rPr>
          <w:u w:val="single"/>
        </w:rPr>
      </w:pPr>
      <w:r>
        <w:rPr>
          <w:u w:val="single"/>
        </w:rPr>
        <w:t>2020R</w:t>
      </w:r>
      <w:r w:rsidR="009105A0" w:rsidRPr="00F40065">
        <w:rPr>
          <w:u w:val="single"/>
        </w:rPr>
        <w:t xml:space="preserve"> Leased Property</w:t>
      </w:r>
    </w:p>
    <w:tbl>
      <w:tblPr>
        <w:tblW w:w="9879" w:type="dxa"/>
        <w:jc w:val="center"/>
        <w:tblLayout w:type="fixed"/>
        <w:tblCellMar>
          <w:top w:w="29" w:type="dxa"/>
          <w:left w:w="115" w:type="dxa"/>
          <w:bottom w:w="29" w:type="dxa"/>
          <w:right w:w="115" w:type="dxa"/>
        </w:tblCellMar>
        <w:tblLook w:val="01E0" w:firstRow="1" w:lastRow="1" w:firstColumn="1" w:lastColumn="1" w:noHBand="0" w:noVBand="0"/>
      </w:tblPr>
      <w:tblGrid>
        <w:gridCol w:w="3330"/>
        <w:gridCol w:w="2700"/>
        <w:gridCol w:w="1890"/>
        <w:gridCol w:w="1959"/>
      </w:tblGrid>
      <w:tr w:rsidR="009105A0" w:rsidRPr="009105A0" w:rsidTr="002B3833">
        <w:trPr>
          <w:jc w:val="center"/>
        </w:trPr>
        <w:tc>
          <w:tcPr>
            <w:tcW w:w="3330" w:type="dxa"/>
            <w:shd w:val="clear" w:color="auto" w:fill="auto"/>
          </w:tcPr>
          <w:p w:rsidR="009105A0" w:rsidRPr="009105A0" w:rsidRDefault="009105A0" w:rsidP="008C2AC2">
            <w:pPr>
              <w:pStyle w:val="BodyText1"/>
              <w:spacing w:after="0"/>
              <w:jc w:val="center"/>
            </w:pPr>
            <w:r w:rsidRPr="009105A0">
              <w:t>Participating</w:t>
            </w:r>
          </w:p>
          <w:p w:rsidR="009105A0" w:rsidRPr="009105A0" w:rsidRDefault="009105A0" w:rsidP="008C2AC2">
            <w:pPr>
              <w:pStyle w:val="BodyText1"/>
              <w:spacing w:after="0"/>
              <w:jc w:val="center"/>
              <w:rPr>
                <w:u w:val="single"/>
              </w:rPr>
            </w:pPr>
            <w:r w:rsidRPr="009105A0">
              <w:rPr>
                <w:u w:val="single"/>
              </w:rPr>
              <w:t>K-12 Institutions</w:t>
            </w:r>
          </w:p>
        </w:tc>
        <w:tc>
          <w:tcPr>
            <w:tcW w:w="2700" w:type="dxa"/>
            <w:shd w:val="clear" w:color="auto" w:fill="auto"/>
          </w:tcPr>
          <w:p w:rsidR="009105A0" w:rsidRPr="009105A0" w:rsidRDefault="009105A0" w:rsidP="008C2AC2">
            <w:pPr>
              <w:pStyle w:val="BodyText1"/>
              <w:spacing w:after="0"/>
              <w:ind w:firstLine="0"/>
              <w:jc w:val="center"/>
            </w:pPr>
            <w:r w:rsidRPr="009105A0">
              <w:t>Description of</w:t>
            </w:r>
          </w:p>
          <w:p w:rsidR="009105A0" w:rsidRPr="009105A0" w:rsidRDefault="009105A0" w:rsidP="008C2AC2">
            <w:pPr>
              <w:pStyle w:val="BodyText1"/>
              <w:spacing w:after="0"/>
              <w:ind w:firstLine="0"/>
              <w:jc w:val="center"/>
              <w:rPr>
                <w:u w:val="single"/>
              </w:rPr>
            </w:pPr>
            <w:r w:rsidRPr="009105A0">
              <w:rPr>
                <w:u w:val="single"/>
              </w:rPr>
              <w:t>Leased Property</w:t>
            </w:r>
            <w:r w:rsidR="00966F37">
              <w:rPr>
                <w:vertAlign w:val="superscript"/>
              </w:rPr>
              <w:t>1</w:t>
            </w:r>
          </w:p>
        </w:tc>
        <w:tc>
          <w:tcPr>
            <w:tcW w:w="1890" w:type="dxa"/>
            <w:shd w:val="clear" w:color="auto" w:fill="auto"/>
          </w:tcPr>
          <w:p w:rsidR="009105A0" w:rsidRPr="009105A0" w:rsidRDefault="009105A0" w:rsidP="008C2AC2">
            <w:pPr>
              <w:pStyle w:val="BodyText1"/>
              <w:spacing w:after="0"/>
              <w:jc w:val="center"/>
              <w:rPr>
                <w:u w:val="single"/>
              </w:rPr>
            </w:pPr>
            <w:r w:rsidRPr="009105A0">
              <w:rPr>
                <w:u w:val="single"/>
              </w:rPr>
              <w:br/>
              <w:t>Land</w:t>
            </w:r>
          </w:p>
        </w:tc>
        <w:tc>
          <w:tcPr>
            <w:tcW w:w="1959" w:type="dxa"/>
            <w:shd w:val="clear" w:color="auto" w:fill="auto"/>
          </w:tcPr>
          <w:p w:rsidR="009105A0" w:rsidRPr="009105A0" w:rsidRDefault="009105A0" w:rsidP="008C2AC2">
            <w:pPr>
              <w:pStyle w:val="BodyText1"/>
              <w:spacing w:after="0"/>
              <w:ind w:firstLine="0"/>
              <w:jc w:val="center"/>
              <w:rPr>
                <w:u w:val="single"/>
              </w:rPr>
            </w:pPr>
            <w:r w:rsidRPr="009105A0">
              <w:t>Fair Market</w:t>
            </w:r>
          </w:p>
          <w:p w:rsidR="009105A0" w:rsidRPr="009105A0" w:rsidRDefault="009105A0" w:rsidP="008C2AC2">
            <w:pPr>
              <w:pStyle w:val="BodyText1"/>
              <w:spacing w:after="0"/>
              <w:ind w:firstLine="0"/>
              <w:jc w:val="center"/>
              <w:rPr>
                <w:u w:val="single"/>
              </w:rPr>
            </w:pPr>
            <w:r w:rsidRPr="009105A0">
              <w:rPr>
                <w:u w:val="single"/>
              </w:rPr>
              <w:t>Value</w:t>
            </w:r>
            <w:r w:rsidR="00966F37">
              <w:rPr>
                <w:vertAlign w:val="superscript"/>
              </w:rPr>
              <w:t>2,3</w:t>
            </w:r>
          </w:p>
        </w:tc>
      </w:tr>
      <w:tr w:rsidR="00F64928" w:rsidRPr="009105A0" w:rsidTr="002B3833">
        <w:trPr>
          <w:jc w:val="center"/>
        </w:trPr>
        <w:tc>
          <w:tcPr>
            <w:tcW w:w="3330" w:type="dxa"/>
            <w:shd w:val="clear" w:color="auto" w:fill="auto"/>
            <w:tcMar>
              <w:top w:w="43" w:type="dxa"/>
              <w:left w:w="115" w:type="dxa"/>
              <w:right w:w="115" w:type="dxa"/>
            </w:tcMar>
          </w:tcPr>
          <w:p w:rsidR="00F64928" w:rsidRDefault="003606FD" w:rsidP="00F64928">
            <w:pPr>
              <w:pStyle w:val="BodyText"/>
              <w:keepNext/>
              <w:keepLines/>
              <w:spacing w:after="0"/>
              <w:ind w:right="92"/>
              <w:jc w:val="left"/>
              <w:rPr>
                <w:sz w:val="20"/>
              </w:rPr>
            </w:pPr>
            <w:r>
              <w:rPr>
                <w:sz w:val="20"/>
              </w:rPr>
              <w:t>Johnstown-Milliken RE-5J</w:t>
            </w:r>
          </w:p>
        </w:tc>
        <w:tc>
          <w:tcPr>
            <w:tcW w:w="2700" w:type="dxa"/>
            <w:shd w:val="clear" w:color="auto" w:fill="auto"/>
            <w:tcMar>
              <w:top w:w="43" w:type="dxa"/>
              <w:left w:w="115" w:type="dxa"/>
              <w:right w:w="115" w:type="dxa"/>
            </w:tcMar>
          </w:tcPr>
          <w:p w:rsidR="00F64928" w:rsidRDefault="003606FD" w:rsidP="00F64928">
            <w:pPr>
              <w:pStyle w:val="BodyText"/>
              <w:keepNext/>
              <w:keepLines/>
              <w:spacing w:after="0"/>
              <w:ind w:right="92"/>
              <w:jc w:val="left"/>
              <w:rPr>
                <w:sz w:val="20"/>
                <w:szCs w:val="20"/>
              </w:rPr>
            </w:pPr>
            <w:r>
              <w:rPr>
                <w:sz w:val="20"/>
                <w:szCs w:val="20"/>
              </w:rPr>
              <w:t xml:space="preserve">New Elementary </w:t>
            </w:r>
            <w:r w:rsidR="005E1EEB">
              <w:rPr>
                <w:sz w:val="20"/>
                <w:szCs w:val="20"/>
              </w:rPr>
              <w:t>School</w:t>
            </w:r>
          </w:p>
          <w:p w:rsidR="005E1EEB" w:rsidRDefault="003606FD" w:rsidP="00F64928">
            <w:pPr>
              <w:pStyle w:val="BodyText"/>
              <w:keepNext/>
              <w:keepLines/>
              <w:spacing w:after="0"/>
              <w:ind w:right="92"/>
              <w:jc w:val="left"/>
              <w:rPr>
                <w:sz w:val="20"/>
                <w:szCs w:val="20"/>
              </w:rPr>
            </w:pPr>
            <w:r>
              <w:rPr>
                <w:sz w:val="20"/>
                <w:szCs w:val="20"/>
              </w:rPr>
              <w:t>80,000 SF w/40</w:t>
            </w:r>
            <w:r w:rsidR="005E1EEB">
              <w:rPr>
                <w:sz w:val="20"/>
                <w:szCs w:val="20"/>
              </w:rPr>
              <w:t xml:space="preserve"> classrooms</w:t>
            </w:r>
          </w:p>
          <w:p w:rsidR="000813DF" w:rsidRPr="00C86D4A" w:rsidRDefault="000813DF" w:rsidP="00F64928">
            <w:pPr>
              <w:pStyle w:val="BodyText"/>
              <w:keepNext/>
              <w:keepLines/>
              <w:spacing w:after="0"/>
              <w:ind w:right="92"/>
              <w:jc w:val="left"/>
              <w:rPr>
                <w:sz w:val="20"/>
                <w:szCs w:val="20"/>
              </w:rPr>
            </w:pPr>
          </w:p>
        </w:tc>
        <w:tc>
          <w:tcPr>
            <w:tcW w:w="1890" w:type="dxa"/>
            <w:shd w:val="clear" w:color="auto" w:fill="auto"/>
            <w:tcMar>
              <w:top w:w="43" w:type="dxa"/>
              <w:left w:w="115" w:type="dxa"/>
              <w:right w:w="115" w:type="dxa"/>
            </w:tcMar>
          </w:tcPr>
          <w:p w:rsidR="00F64928" w:rsidRPr="009105A0" w:rsidRDefault="003606FD" w:rsidP="005E1EEB">
            <w:pPr>
              <w:pStyle w:val="BodyText1"/>
              <w:spacing w:after="0"/>
              <w:ind w:firstLine="0"/>
              <w:jc w:val="center"/>
            </w:pPr>
            <w:r>
              <w:t>10.002</w:t>
            </w:r>
            <w:r w:rsidR="005E1EEB">
              <w:t xml:space="preserve"> acres</w:t>
            </w:r>
          </w:p>
        </w:tc>
        <w:tc>
          <w:tcPr>
            <w:tcW w:w="1959" w:type="dxa"/>
            <w:shd w:val="clear" w:color="auto" w:fill="auto"/>
            <w:tcMar>
              <w:top w:w="43" w:type="dxa"/>
              <w:left w:w="115" w:type="dxa"/>
              <w:right w:w="115" w:type="dxa"/>
            </w:tcMar>
          </w:tcPr>
          <w:p w:rsidR="00F64928" w:rsidRPr="009105A0" w:rsidRDefault="003606FD" w:rsidP="000813DF">
            <w:pPr>
              <w:pStyle w:val="BodyText1"/>
              <w:tabs>
                <w:tab w:val="decimal" w:pos="1415"/>
              </w:tabs>
              <w:spacing w:after="0"/>
              <w:ind w:firstLine="0"/>
            </w:pPr>
            <w:r>
              <w:t>$33,300,413</w:t>
            </w:r>
          </w:p>
        </w:tc>
      </w:tr>
      <w:tr w:rsidR="00F64928" w:rsidRPr="009105A0" w:rsidTr="002B3833">
        <w:trPr>
          <w:jc w:val="center"/>
        </w:trPr>
        <w:tc>
          <w:tcPr>
            <w:tcW w:w="3330" w:type="dxa"/>
            <w:shd w:val="clear" w:color="auto" w:fill="auto"/>
            <w:tcMar>
              <w:top w:w="43" w:type="dxa"/>
              <w:left w:w="115" w:type="dxa"/>
              <w:right w:w="115" w:type="dxa"/>
            </w:tcMar>
          </w:tcPr>
          <w:p w:rsidR="00F64928" w:rsidRDefault="003606FD" w:rsidP="00F64928">
            <w:pPr>
              <w:pStyle w:val="BodyText"/>
              <w:keepNext/>
              <w:keepLines/>
              <w:spacing w:after="0"/>
              <w:ind w:right="92"/>
              <w:jc w:val="left"/>
              <w:rPr>
                <w:sz w:val="20"/>
              </w:rPr>
            </w:pPr>
            <w:r>
              <w:rPr>
                <w:sz w:val="20"/>
              </w:rPr>
              <w:t xml:space="preserve">Pueblo </w:t>
            </w:r>
            <w:r w:rsidR="00D3374C">
              <w:rPr>
                <w:sz w:val="20"/>
              </w:rPr>
              <w:t>School District No.</w:t>
            </w:r>
            <w:r>
              <w:rPr>
                <w:sz w:val="20"/>
              </w:rPr>
              <w:t xml:space="preserve"> 60</w:t>
            </w:r>
          </w:p>
          <w:p w:rsidR="00F64928" w:rsidRPr="00942B3C" w:rsidRDefault="00F64928" w:rsidP="00F64928">
            <w:pPr>
              <w:pStyle w:val="BodyText"/>
              <w:keepNext/>
              <w:keepLines/>
              <w:spacing w:after="0"/>
              <w:ind w:right="92"/>
              <w:jc w:val="left"/>
              <w:rPr>
                <w:sz w:val="20"/>
              </w:rPr>
            </w:pPr>
          </w:p>
        </w:tc>
        <w:tc>
          <w:tcPr>
            <w:tcW w:w="2700" w:type="dxa"/>
            <w:shd w:val="clear" w:color="auto" w:fill="auto"/>
            <w:tcMar>
              <w:top w:w="43" w:type="dxa"/>
              <w:left w:w="115" w:type="dxa"/>
              <w:right w:w="115" w:type="dxa"/>
            </w:tcMar>
          </w:tcPr>
          <w:p w:rsidR="00F64928" w:rsidRPr="00C86D4A" w:rsidRDefault="003606FD" w:rsidP="00F64928">
            <w:pPr>
              <w:pStyle w:val="BodyText"/>
              <w:keepNext/>
              <w:keepLines/>
              <w:spacing w:after="0"/>
              <w:ind w:right="92"/>
              <w:jc w:val="left"/>
              <w:rPr>
                <w:sz w:val="20"/>
                <w:szCs w:val="20"/>
              </w:rPr>
            </w:pPr>
            <w:r>
              <w:rPr>
                <w:sz w:val="20"/>
                <w:szCs w:val="20"/>
              </w:rPr>
              <w:t>New Elementary School</w:t>
            </w:r>
          </w:p>
          <w:p w:rsidR="00F64928" w:rsidRDefault="00EE0EE1" w:rsidP="00D97D76">
            <w:pPr>
              <w:pStyle w:val="BodyText"/>
              <w:keepNext/>
              <w:keepLines/>
              <w:spacing w:after="0"/>
              <w:ind w:right="92"/>
              <w:jc w:val="left"/>
              <w:rPr>
                <w:sz w:val="20"/>
                <w:szCs w:val="20"/>
              </w:rPr>
            </w:pPr>
            <w:r>
              <w:rPr>
                <w:sz w:val="20"/>
                <w:szCs w:val="20"/>
              </w:rPr>
              <w:t>56,000</w:t>
            </w:r>
            <w:r w:rsidR="00F64928" w:rsidRPr="00C86D4A">
              <w:rPr>
                <w:sz w:val="20"/>
                <w:szCs w:val="20"/>
              </w:rPr>
              <w:t xml:space="preserve"> SF w/</w:t>
            </w:r>
            <w:r>
              <w:rPr>
                <w:sz w:val="20"/>
                <w:szCs w:val="20"/>
              </w:rPr>
              <w:t>24</w:t>
            </w:r>
            <w:r w:rsidR="00F64928" w:rsidRPr="00C86D4A">
              <w:rPr>
                <w:sz w:val="20"/>
                <w:szCs w:val="20"/>
              </w:rPr>
              <w:t xml:space="preserve"> classrooms</w:t>
            </w:r>
          </w:p>
          <w:p w:rsidR="00D97D76" w:rsidRPr="00C86D4A" w:rsidRDefault="00D97D76" w:rsidP="00D97D76">
            <w:pPr>
              <w:pStyle w:val="BodyText"/>
              <w:keepNext/>
              <w:keepLines/>
              <w:spacing w:after="0"/>
              <w:ind w:right="92"/>
              <w:jc w:val="left"/>
              <w:rPr>
                <w:sz w:val="20"/>
                <w:szCs w:val="20"/>
              </w:rPr>
            </w:pPr>
          </w:p>
        </w:tc>
        <w:tc>
          <w:tcPr>
            <w:tcW w:w="1890" w:type="dxa"/>
            <w:shd w:val="clear" w:color="auto" w:fill="auto"/>
            <w:tcMar>
              <w:top w:w="43" w:type="dxa"/>
              <w:left w:w="115" w:type="dxa"/>
              <w:right w:w="115" w:type="dxa"/>
            </w:tcMar>
          </w:tcPr>
          <w:p w:rsidR="00EE0EE1" w:rsidRPr="009105A0" w:rsidRDefault="00EE0EE1" w:rsidP="00D97D76">
            <w:pPr>
              <w:pStyle w:val="BodyText1"/>
              <w:spacing w:after="0"/>
              <w:ind w:firstLine="0"/>
              <w:jc w:val="center"/>
            </w:pPr>
            <w:r>
              <w:t>7.641</w:t>
            </w:r>
            <w:r w:rsidR="005E1EEB">
              <w:t xml:space="preserve"> acres</w:t>
            </w:r>
          </w:p>
        </w:tc>
        <w:tc>
          <w:tcPr>
            <w:tcW w:w="1959" w:type="dxa"/>
            <w:shd w:val="clear" w:color="auto" w:fill="auto"/>
            <w:tcMar>
              <w:top w:w="43" w:type="dxa"/>
              <w:left w:w="115" w:type="dxa"/>
              <w:right w:w="115" w:type="dxa"/>
            </w:tcMar>
          </w:tcPr>
          <w:p w:rsidR="00EE0EE1" w:rsidRPr="009105A0" w:rsidRDefault="00D97D76" w:rsidP="00430D60">
            <w:pPr>
              <w:pStyle w:val="BodyText1"/>
              <w:tabs>
                <w:tab w:val="decimal" w:pos="1415"/>
              </w:tabs>
              <w:spacing w:after="0"/>
              <w:ind w:firstLine="0"/>
            </w:pPr>
            <w:r>
              <w:t>22,426</w:t>
            </w:r>
            <w:r w:rsidR="00EE0EE1">
              <w:t>,688</w:t>
            </w:r>
          </w:p>
        </w:tc>
      </w:tr>
      <w:tr w:rsidR="00D97D76" w:rsidRPr="009105A0" w:rsidTr="002B3833">
        <w:trPr>
          <w:jc w:val="center"/>
        </w:trPr>
        <w:tc>
          <w:tcPr>
            <w:tcW w:w="3330" w:type="dxa"/>
            <w:shd w:val="clear" w:color="auto" w:fill="auto"/>
            <w:tcMar>
              <w:top w:w="43" w:type="dxa"/>
              <w:left w:w="115" w:type="dxa"/>
              <w:right w:w="115" w:type="dxa"/>
            </w:tcMar>
          </w:tcPr>
          <w:p w:rsidR="00D97D76" w:rsidRDefault="00D97D76" w:rsidP="00D3374C">
            <w:pPr>
              <w:pStyle w:val="BodyText"/>
              <w:keepNext/>
              <w:keepLines/>
              <w:spacing w:after="0"/>
              <w:ind w:right="92"/>
              <w:jc w:val="left"/>
              <w:rPr>
                <w:sz w:val="20"/>
              </w:rPr>
            </w:pPr>
            <w:r>
              <w:rPr>
                <w:sz w:val="20"/>
              </w:rPr>
              <w:t xml:space="preserve">Pueblo </w:t>
            </w:r>
            <w:r w:rsidR="00D3374C">
              <w:rPr>
                <w:sz w:val="20"/>
              </w:rPr>
              <w:t>School District No.</w:t>
            </w:r>
            <w:r>
              <w:rPr>
                <w:sz w:val="20"/>
              </w:rPr>
              <w:t xml:space="preserve"> 60</w:t>
            </w:r>
          </w:p>
        </w:tc>
        <w:tc>
          <w:tcPr>
            <w:tcW w:w="2700" w:type="dxa"/>
            <w:shd w:val="clear" w:color="auto" w:fill="auto"/>
            <w:tcMar>
              <w:top w:w="43" w:type="dxa"/>
              <w:left w:w="115" w:type="dxa"/>
              <w:right w:w="115" w:type="dxa"/>
            </w:tcMar>
          </w:tcPr>
          <w:p w:rsidR="00D97D76" w:rsidRDefault="00D97D76" w:rsidP="00D97D76">
            <w:pPr>
              <w:pStyle w:val="BodyText"/>
              <w:keepNext/>
              <w:keepLines/>
              <w:spacing w:after="0"/>
              <w:ind w:right="92"/>
              <w:jc w:val="left"/>
              <w:rPr>
                <w:sz w:val="20"/>
                <w:szCs w:val="20"/>
              </w:rPr>
            </w:pPr>
            <w:r>
              <w:rPr>
                <w:sz w:val="20"/>
                <w:szCs w:val="20"/>
              </w:rPr>
              <w:t>New Elementary School</w:t>
            </w:r>
            <w:r w:rsidRPr="00C86D4A">
              <w:rPr>
                <w:sz w:val="20"/>
                <w:szCs w:val="20"/>
              </w:rPr>
              <w:t xml:space="preserve"> </w:t>
            </w:r>
          </w:p>
          <w:p w:rsidR="00D97D76" w:rsidRDefault="00D97D76" w:rsidP="00D97D76">
            <w:pPr>
              <w:pStyle w:val="BodyText"/>
              <w:keepNext/>
              <w:keepLines/>
              <w:spacing w:after="0"/>
              <w:ind w:right="92"/>
              <w:jc w:val="left"/>
              <w:rPr>
                <w:sz w:val="20"/>
                <w:szCs w:val="20"/>
              </w:rPr>
            </w:pPr>
            <w:r>
              <w:rPr>
                <w:sz w:val="20"/>
                <w:szCs w:val="20"/>
              </w:rPr>
              <w:t xml:space="preserve">56,000 </w:t>
            </w:r>
            <w:r w:rsidRPr="00C86D4A">
              <w:rPr>
                <w:sz w:val="20"/>
                <w:szCs w:val="20"/>
              </w:rPr>
              <w:t>SF w/</w:t>
            </w:r>
            <w:r>
              <w:rPr>
                <w:sz w:val="20"/>
                <w:szCs w:val="20"/>
              </w:rPr>
              <w:t xml:space="preserve"> 24</w:t>
            </w:r>
            <w:r w:rsidRPr="00C86D4A">
              <w:rPr>
                <w:sz w:val="20"/>
                <w:szCs w:val="20"/>
              </w:rPr>
              <w:t xml:space="preserve"> classrooms</w:t>
            </w:r>
          </w:p>
          <w:p w:rsidR="00D97D76" w:rsidRDefault="00D97D76" w:rsidP="00F64928">
            <w:pPr>
              <w:pStyle w:val="BodyText"/>
              <w:keepNext/>
              <w:keepLines/>
              <w:spacing w:after="0"/>
              <w:ind w:right="92"/>
              <w:jc w:val="left"/>
              <w:rPr>
                <w:sz w:val="20"/>
                <w:szCs w:val="20"/>
              </w:rPr>
            </w:pPr>
          </w:p>
        </w:tc>
        <w:tc>
          <w:tcPr>
            <w:tcW w:w="1890" w:type="dxa"/>
            <w:shd w:val="clear" w:color="auto" w:fill="auto"/>
            <w:tcMar>
              <w:top w:w="43" w:type="dxa"/>
              <w:left w:w="115" w:type="dxa"/>
              <w:right w:w="115" w:type="dxa"/>
            </w:tcMar>
          </w:tcPr>
          <w:p w:rsidR="00D97D76" w:rsidRDefault="00D97D76" w:rsidP="005E1EEB">
            <w:pPr>
              <w:pStyle w:val="BodyText1"/>
              <w:spacing w:after="0"/>
              <w:ind w:firstLine="0"/>
              <w:jc w:val="center"/>
            </w:pPr>
            <w:r>
              <w:t>7.046 acres</w:t>
            </w:r>
          </w:p>
        </w:tc>
        <w:tc>
          <w:tcPr>
            <w:tcW w:w="1959" w:type="dxa"/>
            <w:shd w:val="clear" w:color="auto" w:fill="auto"/>
            <w:tcMar>
              <w:top w:w="43" w:type="dxa"/>
              <w:left w:w="115" w:type="dxa"/>
              <w:right w:w="115" w:type="dxa"/>
            </w:tcMar>
          </w:tcPr>
          <w:p w:rsidR="00D97D76" w:rsidRDefault="00D97D76" w:rsidP="000813DF">
            <w:pPr>
              <w:pStyle w:val="BodyText1"/>
              <w:tabs>
                <w:tab w:val="decimal" w:pos="1415"/>
              </w:tabs>
              <w:spacing w:after="0"/>
              <w:ind w:firstLine="0"/>
            </w:pPr>
            <w:r>
              <w:t>22,168,976</w:t>
            </w:r>
          </w:p>
        </w:tc>
      </w:tr>
      <w:tr w:rsidR="00F64928" w:rsidRPr="009105A0" w:rsidTr="002B3833">
        <w:trPr>
          <w:jc w:val="center"/>
        </w:trPr>
        <w:tc>
          <w:tcPr>
            <w:tcW w:w="3330" w:type="dxa"/>
            <w:shd w:val="clear" w:color="auto" w:fill="auto"/>
            <w:tcMar>
              <w:top w:w="43" w:type="dxa"/>
              <w:left w:w="115" w:type="dxa"/>
              <w:right w:w="115" w:type="dxa"/>
            </w:tcMar>
          </w:tcPr>
          <w:p w:rsidR="00F64928" w:rsidRDefault="002B3833" w:rsidP="00F64928">
            <w:pPr>
              <w:pStyle w:val="BodyText"/>
              <w:keepNext/>
              <w:keepLines/>
              <w:spacing w:after="0"/>
              <w:ind w:right="92"/>
              <w:jc w:val="left"/>
              <w:rPr>
                <w:sz w:val="20"/>
              </w:rPr>
            </w:pPr>
            <w:r>
              <w:rPr>
                <w:sz w:val="20"/>
              </w:rPr>
              <w:t xml:space="preserve">Springfield </w:t>
            </w:r>
            <w:r w:rsidR="0066604A">
              <w:rPr>
                <w:sz w:val="20"/>
              </w:rPr>
              <w:t>School District No.</w:t>
            </w:r>
            <w:r w:rsidR="00EE0EE1">
              <w:rPr>
                <w:sz w:val="20"/>
              </w:rPr>
              <w:t xml:space="preserve"> RE-4</w:t>
            </w:r>
          </w:p>
          <w:p w:rsidR="00F64928" w:rsidRPr="00942B3C" w:rsidRDefault="00F64928" w:rsidP="00F64928">
            <w:pPr>
              <w:pStyle w:val="BodyText"/>
              <w:keepNext/>
              <w:keepLines/>
              <w:spacing w:after="0"/>
              <w:ind w:right="92"/>
              <w:jc w:val="left"/>
              <w:rPr>
                <w:sz w:val="20"/>
              </w:rPr>
            </w:pPr>
          </w:p>
        </w:tc>
        <w:tc>
          <w:tcPr>
            <w:tcW w:w="2700" w:type="dxa"/>
            <w:shd w:val="clear" w:color="auto" w:fill="auto"/>
            <w:tcMar>
              <w:top w:w="43" w:type="dxa"/>
              <w:left w:w="115" w:type="dxa"/>
              <w:right w:w="115" w:type="dxa"/>
            </w:tcMar>
          </w:tcPr>
          <w:p w:rsidR="00F64928" w:rsidRPr="00C86D4A" w:rsidRDefault="00EE0EE1" w:rsidP="00F64928">
            <w:pPr>
              <w:pStyle w:val="BodyText"/>
              <w:keepNext/>
              <w:keepLines/>
              <w:spacing w:after="0"/>
              <w:ind w:right="92"/>
              <w:jc w:val="left"/>
              <w:rPr>
                <w:sz w:val="20"/>
                <w:szCs w:val="20"/>
              </w:rPr>
            </w:pPr>
            <w:r>
              <w:rPr>
                <w:sz w:val="20"/>
                <w:szCs w:val="20"/>
              </w:rPr>
              <w:t>High School and New Elementary School</w:t>
            </w:r>
          </w:p>
          <w:p w:rsidR="00F64928" w:rsidRDefault="008E67C4" w:rsidP="00F64928">
            <w:pPr>
              <w:pStyle w:val="BodyText"/>
              <w:keepNext/>
              <w:keepLines/>
              <w:spacing w:after="0"/>
              <w:ind w:right="92"/>
              <w:jc w:val="left"/>
              <w:rPr>
                <w:sz w:val="20"/>
                <w:szCs w:val="20"/>
              </w:rPr>
            </w:pPr>
            <w:r>
              <w:rPr>
                <w:sz w:val="20"/>
                <w:szCs w:val="20"/>
              </w:rPr>
              <w:t>80,683</w:t>
            </w:r>
            <w:r w:rsidR="00F64928">
              <w:rPr>
                <w:sz w:val="20"/>
                <w:szCs w:val="20"/>
              </w:rPr>
              <w:t xml:space="preserve"> </w:t>
            </w:r>
            <w:r w:rsidR="00F64928" w:rsidRPr="00C86D4A">
              <w:rPr>
                <w:sz w:val="20"/>
                <w:szCs w:val="20"/>
              </w:rPr>
              <w:t xml:space="preserve">SF </w:t>
            </w:r>
          </w:p>
          <w:p w:rsidR="00F64928" w:rsidRPr="00C86D4A" w:rsidRDefault="00F64928" w:rsidP="00F64928">
            <w:pPr>
              <w:pStyle w:val="BodyText"/>
              <w:keepNext/>
              <w:keepLines/>
              <w:spacing w:after="0"/>
              <w:ind w:right="92"/>
              <w:jc w:val="left"/>
              <w:rPr>
                <w:sz w:val="20"/>
                <w:szCs w:val="20"/>
              </w:rPr>
            </w:pPr>
          </w:p>
        </w:tc>
        <w:tc>
          <w:tcPr>
            <w:tcW w:w="1890" w:type="dxa"/>
            <w:shd w:val="clear" w:color="auto" w:fill="auto"/>
            <w:tcMar>
              <w:top w:w="43" w:type="dxa"/>
              <w:left w:w="115" w:type="dxa"/>
              <w:right w:w="115" w:type="dxa"/>
            </w:tcMar>
          </w:tcPr>
          <w:p w:rsidR="00F64928" w:rsidRPr="009105A0" w:rsidRDefault="00882FE7" w:rsidP="005E1EEB">
            <w:pPr>
              <w:pStyle w:val="BodyText1"/>
              <w:spacing w:after="0"/>
              <w:ind w:firstLine="0"/>
              <w:jc w:val="center"/>
            </w:pPr>
            <w:r>
              <w:t>21.63</w:t>
            </w:r>
            <w:r w:rsidR="005E1EEB">
              <w:t xml:space="preserve"> acres</w:t>
            </w:r>
          </w:p>
        </w:tc>
        <w:tc>
          <w:tcPr>
            <w:tcW w:w="1959" w:type="dxa"/>
            <w:shd w:val="clear" w:color="auto" w:fill="auto"/>
            <w:tcMar>
              <w:top w:w="43" w:type="dxa"/>
              <w:left w:w="115" w:type="dxa"/>
              <w:right w:w="115" w:type="dxa"/>
            </w:tcMar>
          </w:tcPr>
          <w:p w:rsidR="00F64928" w:rsidRPr="009105A0" w:rsidRDefault="00FA24DA" w:rsidP="000813DF">
            <w:pPr>
              <w:pStyle w:val="BodyText1"/>
              <w:tabs>
                <w:tab w:val="decimal" w:pos="1415"/>
              </w:tabs>
              <w:spacing w:after="0"/>
              <w:ind w:firstLine="0"/>
            </w:pPr>
            <w:r>
              <w:t>46,098,236</w:t>
            </w:r>
          </w:p>
        </w:tc>
      </w:tr>
      <w:tr w:rsidR="00F64928" w:rsidRPr="009105A0" w:rsidTr="002B3833">
        <w:trPr>
          <w:jc w:val="center"/>
        </w:trPr>
        <w:tc>
          <w:tcPr>
            <w:tcW w:w="3330" w:type="dxa"/>
            <w:shd w:val="clear" w:color="auto" w:fill="auto"/>
            <w:tcMar>
              <w:top w:w="43" w:type="dxa"/>
              <w:left w:w="115" w:type="dxa"/>
              <w:right w:w="115" w:type="dxa"/>
            </w:tcMar>
          </w:tcPr>
          <w:p w:rsidR="00F64928" w:rsidRPr="00942B3C" w:rsidRDefault="00F64928" w:rsidP="00F64928">
            <w:pPr>
              <w:pStyle w:val="BodyText"/>
              <w:keepNext/>
              <w:keepLines/>
              <w:spacing w:after="0"/>
              <w:ind w:right="92"/>
              <w:jc w:val="left"/>
              <w:rPr>
                <w:sz w:val="20"/>
              </w:rPr>
            </w:pPr>
            <w:r w:rsidRPr="00942B3C">
              <w:rPr>
                <w:sz w:val="20"/>
              </w:rPr>
              <w:t>Total</w:t>
            </w:r>
          </w:p>
        </w:tc>
        <w:tc>
          <w:tcPr>
            <w:tcW w:w="2700" w:type="dxa"/>
            <w:shd w:val="clear" w:color="auto" w:fill="auto"/>
            <w:tcMar>
              <w:top w:w="43" w:type="dxa"/>
              <w:left w:w="115" w:type="dxa"/>
              <w:right w:w="115" w:type="dxa"/>
            </w:tcMar>
          </w:tcPr>
          <w:p w:rsidR="00F64928" w:rsidRPr="00942B3C" w:rsidRDefault="00F64928" w:rsidP="00F64928">
            <w:pPr>
              <w:pStyle w:val="BodyText"/>
              <w:keepNext/>
              <w:keepLines/>
              <w:spacing w:after="0"/>
              <w:ind w:right="92"/>
              <w:jc w:val="left"/>
              <w:rPr>
                <w:sz w:val="20"/>
              </w:rPr>
            </w:pPr>
          </w:p>
        </w:tc>
        <w:tc>
          <w:tcPr>
            <w:tcW w:w="1890" w:type="dxa"/>
            <w:shd w:val="clear" w:color="auto" w:fill="auto"/>
            <w:tcMar>
              <w:top w:w="43" w:type="dxa"/>
              <w:left w:w="115" w:type="dxa"/>
              <w:right w:w="115" w:type="dxa"/>
            </w:tcMar>
          </w:tcPr>
          <w:p w:rsidR="00F64928" w:rsidRPr="009105A0" w:rsidRDefault="00F64928" w:rsidP="00F64928">
            <w:pPr>
              <w:pStyle w:val="BodyText1"/>
              <w:spacing w:after="0"/>
            </w:pPr>
          </w:p>
        </w:tc>
        <w:tc>
          <w:tcPr>
            <w:tcW w:w="1959" w:type="dxa"/>
            <w:shd w:val="clear" w:color="auto" w:fill="auto"/>
            <w:tcMar>
              <w:top w:w="43" w:type="dxa"/>
              <w:left w:w="115" w:type="dxa"/>
              <w:right w:w="115" w:type="dxa"/>
            </w:tcMar>
            <w:vAlign w:val="center"/>
          </w:tcPr>
          <w:p w:rsidR="00F64928" w:rsidRPr="009105A0" w:rsidRDefault="00F64928" w:rsidP="00D97D76">
            <w:pPr>
              <w:pStyle w:val="BodyText1"/>
              <w:tabs>
                <w:tab w:val="decimal" w:pos="1415"/>
              </w:tabs>
              <w:spacing w:after="0"/>
              <w:ind w:firstLine="0"/>
            </w:pPr>
            <w:r>
              <w:t>$</w:t>
            </w:r>
            <w:r w:rsidR="00CB3195">
              <w:t>12</w:t>
            </w:r>
            <w:r w:rsidR="00D97D76">
              <w:t>3</w:t>
            </w:r>
            <w:r w:rsidR="00842241">
              <w:t>,</w:t>
            </w:r>
            <w:r w:rsidR="00D97D76">
              <w:t>994</w:t>
            </w:r>
            <w:r w:rsidR="00842241">
              <w:t>,</w:t>
            </w:r>
            <w:r w:rsidR="00CB3195">
              <w:t>313</w:t>
            </w:r>
          </w:p>
        </w:tc>
      </w:tr>
    </w:tbl>
    <w:p w:rsidR="00520E5D" w:rsidRPr="008E459C" w:rsidRDefault="00520E5D" w:rsidP="00520E5D">
      <w:pPr>
        <w:pStyle w:val="OStablenotes"/>
        <w:keepNext w:val="0"/>
        <w:spacing w:before="80" w:after="0"/>
        <w:rPr>
          <w:spacing w:val="-3"/>
        </w:rPr>
      </w:pPr>
      <w:r>
        <w:rPr>
          <w:spacing w:val="-3"/>
        </w:rPr>
        <w:t>________________________</w:t>
      </w:r>
    </w:p>
    <w:p w:rsidR="009105A0" w:rsidRDefault="009105A0" w:rsidP="004B2DCB">
      <w:pPr>
        <w:pStyle w:val="OStablenotes"/>
        <w:keepNext w:val="0"/>
        <w:spacing w:before="80" w:after="80"/>
        <w:rPr>
          <w:szCs w:val="16"/>
        </w:rPr>
      </w:pPr>
      <w:r w:rsidRPr="004B2DCB">
        <w:rPr>
          <w:szCs w:val="16"/>
          <w:vertAlign w:val="superscript"/>
        </w:rPr>
        <w:t>1</w:t>
      </w:r>
      <w:r w:rsidR="004B2DCB">
        <w:rPr>
          <w:szCs w:val="16"/>
        </w:rPr>
        <w:tab/>
      </w:r>
      <w:r w:rsidRPr="004B2DCB">
        <w:rPr>
          <w:szCs w:val="16"/>
        </w:rPr>
        <w:t xml:space="preserve">The </w:t>
      </w:r>
      <w:r w:rsidR="00480C95">
        <w:rPr>
          <w:szCs w:val="16"/>
        </w:rPr>
        <w:t>2020R</w:t>
      </w:r>
      <w:r w:rsidRPr="004B2DCB">
        <w:rPr>
          <w:szCs w:val="16"/>
        </w:rPr>
        <w:t xml:space="preserve"> Leased Property shown on this list, or any portion thereof, may be released and other property substituted therefor as described in </w:t>
      </w:r>
      <w:r w:rsidR="00A06786">
        <w:rPr>
          <w:szCs w:val="16"/>
        </w:rPr>
        <w:t>“</w:t>
      </w:r>
      <w:r w:rsidRPr="004B2DCB">
        <w:rPr>
          <w:szCs w:val="16"/>
        </w:rPr>
        <w:t>Substitution of Leased Property</w:t>
      </w:r>
      <w:r w:rsidR="00A06786">
        <w:rPr>
          <w:szCs w:val="16"/>
        </w:rPr>
        <w:t>”</w:t>
      </w:r>
      <w:r w:rsidRPr="004B2DCB">
        <w:rPr>
          <w:szCs w:val="16"/>
        </w:rPr>
        <w:t xml:space="preserve"> under this c</w:t>
      </w:r>
      <w:r w:rsidR="007B5EE3">
        <w:rPr>
          <w:szCs w:val="16"/>
        </w:rPr>
        <w:t xml:space="preserve">aption.  In some cases, the </w:t>
      </w:r>
      <w:r w:rsidR="00480C95">
        <w:rPr>
          <w:szCs w:val="16"/>
        </w:rPr>
        <w:t>2020R</w:t>
      </w:r>
      <w:r w:rsidRPr="004B2DCB">
        <w:rPr>
          <w:szCs w:val="16"/>
        </w:rPr>
        <w:t xml:space="preserve"> Leased Property is comprised of existing facilities which will not be wholly or partially financed with the proceeds of the S</w:t>
      </w:r>
      <w:r w:rsidR="007B5EE3">
        <w:rPr>
          <w:szCs w:val="16"/>
        </w:rPr>
        <w:t xml:space="preserve">eries </w:t>
      </w:r>
      <w:r w:rsidR="00480C95">
        <w:rPr>
          <w:szCs w:val="16"/>
        </w:rPr>
        <w:t>2020R</w:t>
      </w:r>
      <w:r w:rsidRPr="004B2DCB">
        <w:rPr>
          <w:szCs w:val="16"/>
        </w:rPr>
        <w:t xml:space="preserve"> Certificates.</w:t>
      </w:r>
    </w:p>
    <w:p w:rsidR="009105A0" w:rsidRDefault="009105A0" w:rsidP="004B2DCB">
      <w:pPr>
        <w:pStyle w:val="OStablenotes"/>
        <w:keepNext w:val="0"/>
        <w:spacing w:before="80" w:after="80"/>
        <w:rPr>
          <w:szCs w:val="16"/>
        </w:rPr>
      </w:pPr>
      <w:r w:rsidRPr="004B2DCB">
        <w:rPr>
          <w:szCs w:val="16"/>
          <w:vertAlign w:val="superscript"/>
        </w:rPr>
        <w:t>2</w:t>
      </w:r>
      <w:r w:rsidR="004B2DCB">
        <w:rPr>
          <w:szCs w:val="16"/>
        </w:rPr>
        <w:tab/>
      </w:r>
      <w:r w:rsidRPr="004B2DCB">
        <w:rPr>
          <w:szCs w:val="16"/>
        </w:rPr>
        <w:t xml:space="preserve">As defined in the Glossary included in the form of </w:t>
      </w:r>
      <w:r w:rsidR="00480C95">
        <w:rPr>
          <w:szCs w:val="16"/>
        </w:rPr>
        <w:t>2020R</w:t>
      </w:r>
      <w:r w:rsidRPr="004B2DCB">
        <w:rPr>
          <w:szCs w:val="16"/>
        </w:rPr>
        <w:t xml:space="preserve"> Supplemental Indenture attached as Appendix B hereto.</w:t>
      </w:r>
    </w:p>
    <w:p w:rsidR="009105A0" w:rsidRDefault="004B2DCB" w:rsidP="004B2DCB">
      <w:pPr>
        <w:pStyle w:val="OStablenotes"/>
        <w:keepNext w:val="0"/>
        <w:spacing w:before="80" w:after="80"/>
        <w:rPr>
          <w:szCs w:val="16"/>
        </w:rPr>
      </w:pPr>
      <w:r w:rsidRPr="004B2DCB">
        <w:rPr>
          <w:szCs w:val="16"/>
          <w:vertAlign w:val="superscript"/>
        </w:rPr>
        <w:t>3</w:t>
      </w:r>
      <w:r>
        <w:rPr>
          <w:szCs w:val="16"/>
        </w:rPr>
        <w:tab/>
      </w:r>
      <w:r w:rsidR="009105A0" w:rsidRPr="004B2DCB">
        <w:rPr>
          <w:szCs w:val="16"/>
        </w:rPr>
        <w:t>These amounts include, entirely or in part (in the case of renovations or additions), the valuation of existing buildings on the Leased Property based on a determination by the Colorado School District Self Insurance Pool, the Participating K-12 Institution</w:t>
      </w:r>
      <w:r w:rsidR="00A06786">
        <w:rPr>
          <w:szCs w:val="16"/>
        </w:rPr>
        <w:t>’</w:t>
      </w:r>
      <w:r w:rsidR="009105A0" w:rsidRPr="004B2DCB">
        <w:rPr>
          <w:szCs w:val="16"/>
        </w:rPr>
        <w:t xml:space="preserve">s private carrier and the State and have not been determined or confirmed by any third party evaluation.  New construction value is equal to the amount deposited to the related Project Account, Allocated Investment Earnings (as defined in the Glossary included in the form of </w:t>
      </w:r>
      <w:r w:rsidR="00480C95">
        <w:rPr>
          <w:szCs w:val="16"/>
        </w:rPr>
        <w:t>2020R</w:t>
      </w:r>
      <w:r w:rsidR="009105A0" w:rsidRPr="004B2DCB">
        <w:rPr>
          <w:szCs w:val="16"/>
        </w:rPr>
        <w:t xml:space="preserve"> Supplemental Indenture attached as Appendix B hereto) and amounts that may be withdrawn from the Assistance Fund to fund construction of the related Project.</w:t>
      </w:r>
    </w:p>
    <w:p w:rsidR="00F64928" w:rsidRPr="004B2DCB" w:rsidRDefault="00F64928" w:rsidP="009223A1"/>
    <w:p w:rsidR="00F64928" w:rsidRPr="00F64928" w:rsidRDefault="00F64928" w:rsidP="00F64928">
      <w:pPr>
        <w:ind w:firstLine="720"/>
        <w:rPr>
          <w:b/>
          <w:i/>
        </w:rPr>
      </w:pPr>
      <w:r w:rsidRPr="00F64928">
        <w:rPr>
          <w:b/>
          <w:i/>
        </w:rPr>
        <w:t xml:space="preserve">The </w:t>
      </w:r>
      <w:r w:rsidR="00480C95">
        <w:rPr>
          <w:b/>
          <w:i/>
        </w:rPr>
        <w:t>2020R</w:t>
      </w:r>
      <w:r w:rsidRPr="00F64928">
        <w:rPr>
          <w:b/>
          <w:i/>
        </w:rPr>
        <w:t xml:space="preserve"> Subleases and Matching Moneys</w:t>
      </w:r>
    </w:p>
    <w:p w:rsidR="00F64928" w:rsidRDefault="00F64928" w:rsidP="00F64928"/>
    <w:p w:rsidR="00F64928" w:rsidRDefault="00F64928" w:rsidP="00F64928">
      <w:pPr>
        <w:pStyle w:val="BodyText1"/>
      </w:pPr>
      <w:r>
        <w:t xml:space="preserve">In connection with the execution and delivery of the Series </w:t>
      </w:r>
      <w:r w:rsidR="00480C95">
        <w:t>2020R</w:t>
      </w:r>
      <w:r>
        <w:t xml:space="preserve"> Certificates, the State and each of the Series </w:t>
      </w:r>
      <w:r w:rsidR="00480C95">
        <w:t>2020R</w:t>
      </w:r>
      <w:r>
        <w:t xml:space="preserve"> Participating K-12 Institutions is entering into a </w:t>
      </w:r>
      <w:r w:rsidR="00480C95">
        <w:t>2020R</w:t>
      </w:r>
      <w:r>
        <w:t xml:space="preserve"> Sublease pursuant to which each of such Series </w:t>
      </w:r>
      <w:r w:rsidR="00480C95">
        <w:t>2020R</w:t>
      </w:r>
      <w:r>
        <w:t xml:space="preserve"> Participating K-12 Institutions, as Sublessee, will agree, in exchange for use of a portion of the </w:t>
      </w:r>
      <w:r w:rsidR="00480C95">
        <w:t>2020R</w:t>
      </w:r>
      <w:r>
        <w:t xml:space="preserve"> Leased Property, to pay (subject to their right not to appropriate) all Additional Rent due under the </w:t>
      </w:r>
      <w:r w:rsidR="00480C95">
        <w:t>2020R</w:t>
      </w:r>
      <w:r>
        <w:t xml:space="preserve"> Lease with</w:t>
      </w:r>
      <w:r w:rsidR="00785DE4">
        <w:t xml:space="preserve"> respect to such portion of the</w:t>
      </w:r>
      <w:r>
        <w:t xml:space="preserve"> </w:t>
      </w:r>
      <w:r w:rsidR="00480C95">
        <w:t>2020R</w:t>
      </w:r>
      <w:r>
        <w:t xml:space="preserve"> Leased Property and the Series </w:t>
      </w:r>
      <w:r w:rsidR="00480C95">
        <w:t>2020R</w:t>
      </w:r>
      <w:r>
        <w:t xml:space="preserve"> Certificates.  The respective Series </w:t>
      </w:r>
      <w:r w:rsidR="00480C95">
        <w:t>2020R</w:t>
      </w:r>
      <w:r>
        <w:t xml:space="preserve"> Participating K-12 Institution</w:t>
      </w:r>
      <w:r w:rsidR="00A06786">
        <w:t>’</w:t>
      </w:r>
      <w:r>
        <w:t xml:space="preserve">s obligations to pay such amounts under the </w:t>
      </w:r>
      <w:r w:rsidR="00480C95">
        <w:t>2020R</w:t>
      </w:r>
      <w:r>
        <w:t xml:space="preserve"> Sublease are subject to annual appropriation by such Series </w:t>
      </w:r>
      <w:r w:rsidR="00480C95">
        <w:t>2020R</w:t>
      </w:r>
      <w:r>
        <w:t xml:space="preserve"> Participating K-12 Institution.  Pursuant to the </w:t>
      </w:r>
      <w:r w:rsidR="00480C95">
        <w:t>2020R</w:t>
      </w:r>
      <w:r>
        <w:t xml:space="preserve"> Subleases, each of the Series </w:t>
      </w:r>
      <w:r w:rsidR="00480C95">
        <w:t>2020R</w:t>
      </w:r>
      <w:r>
        <w:t xml:space="preserve"> Participating K-12 Institutions has agreed to maintain the respective </w:t>
      </w:r>
      <w:r w:rsidR="00480C95">
        <w:t>2020R</w:t>
      </w:r>
      <w:r>
        <w:t xml:space="preserve"> Leased Property and to provide all insurance for such </w:t>
      </w:r>
      <w:r w:rsidR="00480C95">
        <w:t>2020R</w:t>
      </w:r>
      <w:r>
        <w:t xml:space="preserve"> Leased Property as required by the </w:t>
      </w:r>
      <w:r w:rsidR="00480C95">
        <w:t>2020R</w:t>
      </w:r>
      <w:r>
        <w:t xml:space="preserve"> Lease.  </w:t>
      </w:r>
    </w:p>
    <w:p w:rsidR="00F64928" w:rsidRDefault="00F64928" w:rsidP="00F64928">
      <w:pPr>
        <w:pStyle w:val="BodyText1"/>
      </w:pPr>
      <w:r>
        <w:t xml:space="preserve">Certain Series </w:t>
      </w:r>
      <w:r w:rsidR="00480C95">
        <w:t>2020R</w:t>
      </w:r>
      <w:r>
        <w:t xml:space="preserve"> Participating K-12 Institutions or their chartering entity have agreed to pay Matching Moneys to the State for credit to the Assistance Fund with respect to such Series </w:t>
      </w:r>
      <w:r w:rsidR="00480C95">
        <w:t>2020R</w:t>
      </w:r>
      <w:r>
        <w:t xml:space="preserve"> Participating K-12 Institution</w:t>
      </w:r>
      <w:r w:rsidR="00A06786">
        <w:t>’</w:t>
      </w:r>
      <w:r>
        <w:t>s Project in the form of cash</w:t>
      </w:r>
      <w:r w:rsidR="00A26382">
        <w:t>,</w:t>
      </w:r>
      <w:r>
        <w:t xml:space="preserve"> principal of and interest on Matching Moneys Bonds</w:t>
      </w:r>
      <w:r w:rsidR="004D1918">
        <w:t xml:space="preserve"> or </w:t>
      </w:r>
      <w:r w:rsidR="00A26382">
        <w:t>installment payments</w:t>
      </w:r>
      <w:r>
        <w:t>.  Neither the cash nor the Matching Money</w:t>
      </w:r>
      <w:r w:rsidR="00ED3C0C">
        <w:t>s</w:t>
      </w:r>
      <w:r>
        <w:t xml:space="preserve"> Bonds are subject to annual appropriation by the Series </w:t>
      </w:r>
      <w:r w:rsidR="00480C95">
        <w:t>2020R</w:t>
      </w:r>
      <w:r>
        <w:t xml:space="preserve"> Participating K-12 Institution</w:t>
      </w:r>
      <w:r w:rsidR="00A26382">
        <w:t>, but Matching Moneys installment payments are subject to such annual appropriation</w:t>
      </w:r>
      <w:r>
        <w:t>.</w:t>
      </w:r>
    </w:p>
    <w:p w:rsidR="00F64928" w:rsidRDefault="00F64928" w:rsidP="00F64928">
      <w:pPr>
        <w:pStyle w:val="BodyText1"/>
      </w:pPr>
      <w:r>
        <w:t xml:space="preserve">The obligations and rights of a Series </w:t>
      </w:r>
      <w:r w:rsidR="00480C95">
        <w:t>2020R</w:t>
      </w:r>
      <w:r>
        <w:t xml:space="preserve"> Participating K-12 Institution and the State with respect to the Series </w:t>
      </w:r>
      <w:r w:rsidR="00480C95">
        <w:t>2020R</w:t>
      </w:r>
      <w:r>
        <w:t xml:space="preserve"> Participating K-12 Institution</w:t>
      </w:r>
      <w:r w:rsidR="00A06786">
        <w:t>’</w:t>
      </w:r>
      <w:r>
        <w:t xml:space="preserve">s Matching Moneys Bonds </w:t>
      </w:r>
      <w:r w:rsidR="00A26382">
        <w:t xml:space="preserve">or installment payments </w:t>
      </w:r>
      <w:r>
        <w:t xml:space="preserve">are independent of the obligations of the Series </w:t>
      </w:r>
      <w:r w:rsidR="00480C95">
        <w:t>2020R</w:t>
      </w:r>
      <w:r>
        <w:t xml:space="preserve"> Participating K-12 Institution, as Sublessee, and the rights of the State under the  </w:t>
      </w:r>
      <w:r w:rsidR="00480C95">
        <w:t>2020R</w:t>
      </w:r>
      <w:r>
        <w:t xml:space="preserve"> Subleases and, except as otherwise specifically provided in the related </w:t>
      </w:r>
      <w:r w:rsidR="00480C95">
        <w:t>2020R</w:t>
      </w:r>
      <w:r>
        <w:t xml:space="preserve"> Sublease, (a) the obligations of the Series </w:t>
      </w:r>
      <w:r w:rsidR="00480C95">
        <w:t>2020R</w:t>
      </w:r>
      <w:r>
        <w:t xml:space="preserve"> Participating K-12 Institution or its chartering entity and the rights of the State with respect to the Series </w:t>
      </w:r>
      <w:r w:rsidR="00480C95">
        <w:t>2020R</w:t>
      </w:r>
      <w:r>
        <w:t xml:space="preserve"> Participating K-12 Institution</w:t>
      </w:r>
      <w:r w:rsidR="00A06786">
        <w:t>’</w:t>
      </w:r>
      <w:r>
        <w:t xml:space="preserve">s obligations under the Matching Moneys Bonds </w:t>
      </w:r>
      <w:r w:rsidR="00A26382">
        <w:t xml:space="preserve">or installment payments </w:t>
      </w:r>
      <w:r>
        <w:t xml:space="preserve">will survive the termination of the </w:t>
      </w:r>
      <w:r w:rsidR="00480C95">
        <w:t>2020R</w:t>
      </w:r>
      <w:r>
        <w:t xml:space="preserve"> Subleases</w:t>
      </w:r>
      <w:r w:rsidR="00785DE4">
        <w:t>,</w:t>
      </w:r>
      <w:r>
        <w:t xml:space="preserve"> and (b) no failure to perform or other action of the State with respect to the </w:t>
      </w:r>
      <w:r w:rsidR="00480C95">
        <w:t>2020R</w:t>
      </w:r>
      <w:r>
        <w:t xml:space="preserve"> Subleases will affect the State</w:t>
      </w:r>
      <w:r w:rsidR="00A06786">
        <w:t>’</w:t>
      </w:r>
      <w:r>
        <w:t xml:space="preserve">s rights to enforce the obligations of the Series </w:t>
      </w:r>
      <w:r w:rsidR="00480C95">
        <w:t>2020R</w:t>
      </w:r>
      <w:r>
        <w:t xml:space="preserve"> Participating K-12 Institutions or their chartering entity to make payments under their Matching Moneys Bonds</w:t>
      </w:r>
      <w:r w:rsidR="00A26382">
        <w:t xml:space="preserve"> or installment payments</w:t>
      </w:r>
      <w:r>
        <w:t>.</w:t>
      </w:r>
    </w:p>
    <w:p w:rsidR="00F64928" w:rsidRPr="003F4EE4" w:rsidRDefault="00F64928" w:rsidP="00F64928">
      <w:pPr>
        <w:pStyle w:val="BodyText1"/>
      </w:pPr>
      <w:r>
        <w:t xml:space="preserve">Matching Moneys and other amounts deposited in the Assistance Fund do not directly secure payment of the Series </w:t>
      </w:r>
      <w:r w:rsidR="00480C95">
        <w:t>2020R</w:t>
      </w:r>
      <w:r>
        <w:t xml:space="preserve"> Certificates.  Once Matching Moneys are deposited in the Assistance Fund, such amounts, together with other amounts on deposit therein, are available to be appropriated by the State to pay principal and interest on the Series </w:t>
      </w:r>
      <w:r w:rsidR="00480C95">
        <w:t>2020R</w:t>
      </w:r>
      <w:r>
        <w:t xml:space="preserve"> Certificates or for other purposes permitted by the Act, including, without limitation, defraying the cost of Projects.</w:t>
      </w:r>
    </w:p>
    <w:p w:rsidR="006123A1" w:rsidRDefault="006123A1" w:rsidP="00F93C9E">
      <w:pPr>
        <w:pStyle w:val="BodyText1"/>
      </w:pPr>
      <w:r w:rsidRPr="00BE641C">
        <w:rPr>
          <w:b/>
          <w:i/>
        </w:rPr>
        <w:t>State</w:t>
      </w:r>
      <w:r w:rsidR="00A06786">
        <w:rPr>
          <w:b/>
          <w:i/>
        </w:rPr>
        <w:t>’</w:t>
      </w:r>
      <w:r w:rsidRPr="00BE641C">
        <w:rPr>
          <w:b/>
          <w:i/>
        </w:rPr>
        <w:t>s Purchase Option</w:t>
      </w:r>
      <w:r>
        <w:t xml:space="preserve">.  The Leases grant to the State the option to purchase all, but not less than all, of the related Leased Property in connection with the defeasance of all the related Certificates by paying to the Trustee the </w:t>
      </w:r>
      <w:r w:rsidR="00A06786">
        <w:t>“</w:t>
      </w:r>
      <w:r>
        <w:t>State</w:t>
      </w:r>
      <w:r w:rsidR="00A06786">
        <w:t>’</w:t>
      </w:r>
      <w:r>
        <w:t>s Purchase Option Price,</w:t>
      </w:r>
      <w:r w:rsidR="00A06786">
        <w:t>”</w:t>
      </w:r>
      <w:r>
        <w:t xml:space="preserve"> subject to compliance with all conditions to the defeasance of the related Certificates under the Indenture, including, but not limited to, the receipt of an opinion of Bond Counsel that the defeasance will not cause an Adverse Tax Event as defined in the related Supplemental Indenture.  For purposes of the purchase of all the related Leased Property as described in this paragraph, the </w:t>
      </w:r>
      <w:r w:rsidR="00A06786">
        <w:t>“</w:t>
      </w:r>
      <w:r>
        <w:t>State</w:t>
      </w:r>
      <w:r w:rsidR="00A06786">
        <w:t>’</w:t>
      </w:r>
      <w:r>
        <w:t>s Purchase Option Price</w:t>
      </w:r>
      <w:r w:rsidR="00A06786">
        <w:t>”</w:t>
      </w:r>
      <w:r>
        <w:t xml:space="preserve"> is an amount sufficient (i) to defease all the related Certificates in accordance with the defeasance provisions of the Indenture, and (ii) to pay all Additional Rent payable through the date on which the related Leased Property is conveyed to the State or its designee pursuant to the Indenture, including, but not limited to, all fees and expenses of the Trustee relating to the conveyance of the related Leased Property and the payment, redemption or defeasance of the Outstanding related Certificates; provided, however, that (a) the State</w:t>
      </w:r>
      <w:r w:rsidR="00A06786">
        <w:t>’</w:t>
      </w:r>
      <w:r>
        <w:t>s Purchase Option Price is to be reduced by the moneys, if any, in the funds and accounts created under the Master Indenture (except the Rebate Fund and any existing defeasance escrows accounts established pursuant to the Master Indenture) that are available for deposit in the defeasance escrow account established pursuant to the Master Indenture for the related Certificates, and (b) if any related Certificates have been paid, redeemed or defeased with the proceeds of another Series of Certificates, in applying this subsection, Outstanding Certificates of the Series of Certificates the proceeds of which were used to pay, redeem or defease the related Certificates are to be substituted for the related Certificates that were paid, redeemed or defeased, which substitution is to be accomplished in any reasonable manner selected by the State in its sole discretion.</w:t>
      </w:r>
    </w:p>
    <w:p w:rsidR="006123A1" w:rsidRDefault="006123A1" w:rsidP="00F93C9E">
      <w:pPr>
        <w:pStyle w:val="BodyText1"/>
      </w:pPr>
      <w:r>
        <w:t>In order to exercise its option to purchase the related Leased Property as described in the previous paragraph, the State is required to: (i) give written notice to the Trustee (A) stating that the State intends to purchase the related Leased Property as described in the previous paragraph, (B) identifying the source of funds it will use to pay the State</w:t>
      </w:r>
      <w:r w:rsidR="00A06786">
        <w:t>’</w:t>
      </w:r>
      <w:r>
        <w:t>s Purchase Option Price</w:t>
      </w:r>
      <w:r w:rsidR="00785DE4">
        <w:t>,</w:t>
      </w:r>
      <w:r>
        <w:t xml:space="preserve"> and (C) specifying a closing date for such purpose which is at least 30 and no more than 90 days after the delivery of such notice; and (ii) pay the State</w:t>
      </w:r>
      <w:r w:rsidR="00A06786">
        <w:t>’</w:t>
      </w:r>
      <w:r>
        <w:t>s Purchase Option Price to the Trustee in immediately available funds on the closing date.</w:t>
      </w:r>
    </w:p>
    <w:p w:rsidR="006123A1" w:rsidRDefault="006123A1" w:rsidP="00F93C9E">
      <w:pPr>
        <w:pStyle w:val="BodyText1"/>
      </w:pPr>
      <w:r w:rsidRPr="00BE641C">
        <w:rPr>
          <w:b/>
          <w:i/>
        </w:rPr>
        <w:t>Sublessee</w:t>
      </w:r>
      <w:r w:rsidR="00A06786">
        <w:rPr>
          <w:b/>
          <w:i/>
        </w:rPr>
        <w:t>’</w:t>
      </w:r>
      <w:r w:rsidRPr="00BE641C">
        <w:rPr>
          <w:b/>
          <w:i/>
        </w:rPr>
        <w:t>s Purchase Option</w:t>
      </w:r>
      <w:r>
        <w:t xml:space="preserve">.  Each Sublessee has the option to purchase all, but not less than all, of the portion of the Leased Property subject to its Sublease following the occurrence of an Event of Default or an Event of Nonappropriation under the Leases.  See the forms of the </w:t>
      </w:r>
      <w:r w:rsidR="00480C95">
        <w:t>2020R</w:t>
      </w:r>
      <w:r w:rsidR="00E959C7">
        <w:t xml:space="preserve"> Site Lease</w:t>
      </w:r>
      <w:r>
        <w:t xml:space="preserve">, the </w:t>
      </w:r>
      <w:r w:rsidR="00480C95">
        <w:t>2020R</w:t>
      </w:r>
      <w:r>
        <w:t xml:space="preserve"> Lease, the </w:t>
      </w:r>
      <w:r w:rsidR="00480C95">
        <w:t>2020R</w:t>
      </w:r>
      <w:r>
        <w:t xml:space="preserve"> Sublease, the Master Indenture</w:t>
      </w:r>
      <w:r w:rsidR="002324E1">
        <w:t xml:space="preserve"> and the </w:t>
      </w:r>
      <w:r w:rsidR="00480C95">
        <w:t>2020R</w:t>
      </w:r>
      <w:r>
        <w:t xml:space="preserve"> Supplemental Indenture appended to this Official Statement.  A Sublessee would exercise such option by paying an amount equal to the principal amount of the Attributable Certificates through the closing date for the purchase of such Leased Property and to pay all Additional Rent payable through the date of conveyance of such Leased Property.  The net proceeds from the exercise of such remedies are to be applied toward the payment of the Certificates under the Master Indenture, including the Series </w:t>
      </w:r>
      <w:r w:rsidR="00480C95">
        <w:t>2020R</w:t>
      </w:r>
      <w:r>
        <w:t xml:space="preserve"> Certificates.  In the Leases, the Trustee has agreed to notify each Sublessee of the occurrence of an Event of Default or Event of Nonappropriation under any Lease.  There can be no assurance that the Sublessee will exercise its right to purchase such Leased Property or that such proceeds will be sufficient to pay all of the principal due on the related Certificates.</w:t>
      </w:r>
    </w:p>
    <w:p w:rsidR="006123A1" w:rsidRDefault="006123A1" w:rsidP="00F93C9E">
      <w:pPr>
        <w:pStyle w:val="BodyText1"/>
      </w:pPr>
      <w:r w:rsidRPr="00BE641C">
        <w:rPr>
          <w:b/>
          <w:i/>
        </w:rPr>
        <w:t>Substitution of Leased Property</w:t>
      </w:r>
      <w:r>
        <w:t>.  The Sublessees are permitted by the respective Subleases to substitute other property for the respective Leased Property with the consent of the State and upon delivery of certain items, including a certification that the Fair Market Value of the substituted property is equal to or greater than the Fair Market Value of the Leased Property for which it is being substituted, a title insurance policy, a certificate regarding the useful life and essentiality of the substituted property and an opinion of Bond Counsel to the effect that such substitution is permitted under the related Lease and that such substitution will not cause the State or any sublessee to violate the State</w:t>
      </w:r>
      <w:r w:rsidR="00A06786">
        <w:t>’</w:t>
      </w:r>
      <w:r>
        <w:t xml:space="preserve">s tax covenants set forth in Section 9.04 of the related Lease or the Participating </w:t>
      </w:r>
      <w:r w:rsidR="00006F60">
        <w:t>K-12</w:t>
      </w:r>
      <w:r>
        <w:t xml:space="preserve"> Institution</w:t>
      </w:r>
      <w:r w:rsidR="00A06786">
        <w:t>’</w:t>
      </w:r>
      <w:r>
        <w:t>s tax covenants set forth i</w:t>
      </w:r>
      <w:r w:rsidR="00E959C7">
        <w:t>n Section 10.04 of the Sublease</w:t>
      </w:r>
      <w:r>
        <w:t xml:space="preserve">.  See such sections in the forms of the </w:t>
      </w:r>
      <w:r w:rsidR="00480C95">
        <w:t>2020R</w:t>
      </w:r>
      <w:r w:rsidR="002324E1">
        <w:t xml:space="preserve"> Lease </w:t>
      </w:r>
      <w:r>
        <w:t xml:space="preserve">and the </w:t>
      </w:r>
      <w:r w:rsidR="00480C95">
        <w:t>2020R</w:t>
      </w:r>
      <w:r>
        <w:t xml:space="preserve"> Sublease appended to this Official Statement.  Furthermore, the State is permitted under each Lease to substitute other property for certain Leased Property so long as, following the substitution, either (i) the Fair Market Value of the substituted property determined as of the date of substitution is equal to or greater than the Fair Market Value of the Leased Property for which it is being substituted, or (ii) all of the Leased Property has a Fair Market Value at least equal to 90% of the principal amount of all Outstanding Certificates and the Trustee receives adequate title insurance documentation, a certificate as to the useful life and essentiality of the substituted property and an opinion of Bond Counsel that such substitution will not cause the State to violate its tax covenant set forth in Section 9.04 of the related Lease.  The State</w:t>
      </w:r>
      <w:r w:rsidR="00A06786">
        <w:t>’</w:t>
      </w:r>
      <w:r>
        <w:t>s certification as to the value may be given based and in reliance upon certifications by the Sublessees and the certifications as to useful life and essentiality may also be provided by the Sublessees.</w:t>
      </w:r>
    </w:p>
    <w:p w:rsidR="006123A1" w:rsidRDefault="006123A1" w:rsidP="00F93C9E">
      <w:pPr>
        <w:pStyle w:val="BodyText1"/>
      </w:pPr>
      <w:r w:rsidRPr="00BE641C">
        <w:rPr>
          <w:b/>
          <w:i/>
        </w:rPr>
        <w:t>Insurance</w:t>
      </w:r>
      <w:r>
        <w:t xml:space="preserve">.  The Leased Property is required to be insured by the related Participating </w:t>
      </w:r>
      <w:r w:rsidR="00006F60">
        <w:t>K-12</w:t>
      </w:r>
      <w:r>
        <w:t xml:space="preserve"> Institutions as described in </w:t>
      </w:r>
      <w:r w:rsidR="00A06786">
        <w:t>“</w:t>
      </w:r>
      <w:r>
        <w:t>CERTAIN RISK FACTORS – Insurance of the Leased Property,</w:t>
      </w:r>
      <w:r w:rsidR="00A06786">
        <w:t>”</w:t>
      </w:r>
      <w:r>
        <w:t xml:space="preserve"> and the insurance proceeds are required to be applied by the Trustee as described in the section of the form of the Leases appended to this Official Statement under the caption </w:t>
      </w:r>
      <w:r w:rsidR="00A06786">
        <w:t>“</w:t>
      </w:r>
      <w:r>
        <w:t>Damage, Destruction and Condemnation.</w:t>
      </w:r>
      <w:r w:rsidR="00A06786">
        <w:t>”</w:t>
      </w:r>
      <w:r>
        <w:t xml:space="preserve">  Pursuant to the Subleases, the related Participating </w:t>
      </w:r>
      <w:r w:rsidR="00006F60">
        <w:t>K-12</w:t>
      </w:r>
      <w:r>
        <w:t xml:space="preserve"> Institutions have undertaken or will undertake to provide such insurance with respect to the respective Leased Property as required by the related Leases.  See the forms of the </w:t>
      </w:r>
      <w:r w:rsidR="00480C95">
        <w:t>2020R</w:t>
      </w:r>
      <w:r>
        <w:t xml:space="preserve"> Subleases appended to this Official Statement.</w:t>
      </w:r>
    </w:p>
    <w:p w:rsidR="006123A1" w:rsidRDefault="006123A1" w:rsidP="00890CBC">
      <w:pPr>
        <w:pStyle w:val="Heading2"/>
        <w:keepNext/>
      </w:pPr>
      <w:bookmarkStart w:id="35" w:name="_Toc56668364"/>
      <w:r>
        <w:t>Federal Direct Payments</w:t>
      </w:r>
      <w:bookmarkEnd w:id="35"/>
    </w:p>
    <w:p w:rsidR="006123A1" w:rsidRDefault="006123A1" w:rsidP="00890CBC">
      <w:pPr>
        <w:pStyle w:val="BodyText1"/>
        <w:keepNext/>
      </w:pPr>
      <w:r>
        <w:t xml:space="preserve">The State elected to designate the Series 2010D Certificates as </w:t>
      </w:r>
      <w:r w:rsidR="00A06786">
        <w:t>“</w:t>
      </w:r>
      <w:r>
        <w:t>Qualified School Construction Bonds</w:t>
      </w:r>
      <w:r w:rsidR="00A06786">
        <w:t>”</w:t>
      </w:r>
      <w:r>
        <w:t xml:space="preserve"> under Section 54F of the Tax Code and made an irrevocable election under the Tax Code so that the State </w:t>
      </w:r>
      <w:r w:rsidR="000202CD">
        <w:t xml:space="preserve">would and </w:t>
      </w:r>
      <w:r>
        <w:t>will receive Federal Direct Payments from the United States Tre</w:t>
      </w:r>
      <w:r w:rsidR="00A32E6B">
        <w:t>asury in connection therewith.</w:t>
      </w:r>
    </w:p>
    <w:p w:rsidR="006123A1" w:rsidRDefault="006123A1" w:rsidP="00F93C9E">
      <w:pPr>
        <w:pStyle w:val="BodyText1"/>
      </w:pPr>
      <w:r>
        <w:t xml:space="preserve">Federal Direct Payments, to the extent received from the United States Treasury and deposited with the Trustee on behalf of the State and in accordance with the terms of the CRRFA, </w:t>
      </w:r>
      <w:r w:rsidR="000202CD">
        <w:t xml:space="preserve">are </w:t>
      </w:r>
      <w:r>
        <w:t xml:space="preserve">netted against, and reduce, the interest portion of the gross Base Rent due each Fiscal Year from the State under the related Lease.  However, the amount of Base Rent included in the annual budget proposal submitted to the General Assembly pursuant to the terms of the Leases </w:t>
      </w:r>
      <w:r w:rsidR="000202CD">
        <w:t xml:space="preserve">is </w:t>
      </w:r>
      <w:r>
        <w:t xml:space="preserve">the gross Base Rent not reduced by the Federal Direct Payments.  See </w:t>
      </w:r>
      <w:r w:rsidR="00A06786">
        <w:t>“</w:t>
      </w:r>
      <w:r>
        <w:t>CERTAIN RISK FACTORS – Federal Direct Payments.</w:t>
      </w:r>
      <w:r w:rsidR="00A06786">
        <w:t>”</w:t>
      </w:r>
      <w:r>
        <w:t xml:space="preserve">  To the extent any moneys in the Principal Account or Interest Account of the Certificate Fund are not held to pay the redemption price of Certificates for which a notice of redemption has been delivered, such moneys </w:t>
      </w:r>
      <w:r w:rsidR="000202CD">
        <w:t xml:space="preserve">are </w:t>
      </w:r>
      <w:r>
        <w:t>applied as a reduction of the budgeted Base Rent.</w:t>
      </w:r>
    </w:p>
    <w:p w:rsidR="006123A1" w:rsidRPr="00040A5C" w:rsidRDefault="006123A1" w:rsidP="00F93C9E">
      <w:pPr>
        <w:pStyle w:val="BodyText1"/>
        <w:rPr>
          <w:b/>
          <w:sz w:val="20"/>
        </w:rPr>
      </w:pPr>
      <w:r>
        <w:t>The State, like other governmental entities, is subject to developments at the federal level with respect to the Budget Control Act of 2011 (</w:t>
      </w:r>
      <w:r w:rsidR="00A06786">
        <w:t>“</w:t>
      </w:r>
      <w:r>
        <w:t>sequestration</w:t>
      </w:r>
      <w:r w:rsidR="00A06786">
        <w:t>”</w:t>
      </w:r>
      <w:r>
        <w:t>).  The originally scheduled Federal Direct Payments were reduced by 6.</w:t>
      </w:r>
      <w:r w:rsidR="006154A6">
        <w:t>2% for federal fiscal year 2019 (which ended September 30, 2019</w:t>
      </w:r>
      <w:r>
        <w:t xml:space="preserve">) as a result of sequestration.  The originally scheduled Federal Direct Payments </w:t>
      </w:r>
      <w:r w:rsidR="00842241">
        <w:t>were</w:t>
      </w:r>
      <w:r>
        <w:t xml:space="preserve"> reduced by </w:t>
      </w:r>
      <w:r w:rsidR="008E67C4">
        <w:t>5.9</w:t>
      </w:r>
      <w:r w:rsidR="006154A6">
        <w:t>% in federal fiscal year 2020</w:t>
      </w:r>
      <w:r>
        <w:t xml:space="preserve"> </w:t>
      </w:r>
      <w:r w:rsidR="000202CD">
        <w:t>(</w:t>
      </w:r>
      <w:r w:rsidR="006154A6">
        <w:t>which ended September 30, 2020</w:t>
      </w:r>
      <w:r w:rsidR="000202CD">
        <w:t xml:space="preserve">) </w:t>
      </w:r>
      <w:r>
        <w:t xml:space="preserve">and </w:t>
      </w:r>
      <w:r w:rsidR="008D7ED3">
        <w:t xml:space="preserve">are reduced </w:t>
      </w:r>
      <w:r w:rsidR="006154A6">
        <w:t>by 5.7% in federal fiscal year 2021</w:t>
      </w:r>
      <w:r>
        <w:t>.  Under a federal budget bill enacted in November 2015, the sequestration reduction will continue</w:t>
      </w:r>
      <w:r w:rsidR="006154A6">
        <w:t xml:space="preserve"> through federal fiscal year 2030</w:t>
      </w:r>
      <w:r>
        <w:t>.  The sequestration reduction rate remains subject to change should additional laws be enacted which impact the sequester.</w:t>
      </w:r>
      <w:r w:rsidR="00040A5C">
        <w:t xml:space="preserve"> </w:t>
      </w:r>
    </w:p>
    <w:p w:rsidR="006123A1" w:rsidRDefault="006123A1" w:rsidP="003A3DD0">
      <w:pPr>
        <w:pStyle w:val="Heading2"/>
      </w:pPr>
      <w:bookmarkStart w:id="36" w:name="_Toc56668365"/>
      <w:r>
        <w:t>Additional Series of Certificates</w:t>
      </w:r>
      <w:bookmarkEnd w:id="36"/>
    </w:p>
    <w:p w:rsidR="006123A1" w:rsidRDefault="006123A1" w:rsidP="00F93C9E">
      <w:pPr>
        <w:pStyle w:val="BodyText1"/>
      </w:pPr>
      <w:r w:rsidRPr="00BE641C">
        <w:rPr>
          <w:b/>
          <w:i/>
        </w:rPr>
        <w:t>Generally</w:t>
      </w:r>
      <w:r>
        <w:t>.  So long as the Lease Term remains in effect and no Event of Nonappropriation or an Event of Default has occurred and is continuing, one or more additional Series of Certificates may be executed and delivered as directed by the</w:t>
      </w:r>
      <w:r w:rsidR="00040A5C">
        <w:t xml:space="preserve"> State, without the consent of O</w:t>
      </w:r>
      <w:r>
        <w:t xml:space="preserve">wners of outstanding Certificates, upon the terms and conditions as provided in the Master Indenture.  </w:t>
      </w:r>
      <w:r w:rsidRPr="00BE641C">
        <w:rPr>
          <w:b/>
          <w:i/>
        </w:rPr>
        <w:t>Each Certificate executed and delivered pursuant to the Indenture will evidence an undivided interest in the right to receive Lease Revenues and will be payable solely from the Trust Estate without preference, priority or distinction of any Certificate over any other Certificate.</w:t>
      </w:r>
    </w:p>
    <w:p w:rsidR="006123A1" w:rsidRDefault="006123A1" w:rsidP="00F93C9E">
      <w:pPr>
        <w:pStyle w:val="BodyText1"/>
      </w:pPr>
      <w:r>
        <w:t>Additional Series of Certificates may be executed and delivered only upon satisfaction of each of the following conditions:</w:t>
      </w:r>
    </w:p>
    <w:p w:rsidR="006123A1" w:rsidRDefault="006123A1" w:rsidP="00BE641C">
      <w:pPr>
        <w:pStyle w:val="BodyText1"/>
        <w:ind w:left="720" w:firstLine="0"/>
      </w:pPr>
      <w:r>
        <w:t>(i)</w:t>
      </w:r>
      <w:r>
        <w:tab/>
        <w:t>The Trustee has received a form of Supplemental Indenture that specifies the following: (a) the Series designation, the aggregate principal amount, the Authorized Denominations, the dated date, the maturity dates, the interest rates, if any, the redemption provisions, if any, the Tax Treatment Designation, the form and any variations from the terms set forth in the Master Indenture with respect to such Series of Certificates; (b) any amendment, supplement or restatement of the Glossary required or deemed by the State to be advisable or desirable in connection with such Supplemental Indenture; and (c) any other provisions deemed by the State to be advisable or desirable and  that do not violate and are not in conflict with the Master Indenture or any previous Supplemental Indenture.</w:t>
      </w:r>
    </w:p>
    <w:p w:rsidR="006123A1" w:rsidRDefault="006123A1" w:rsidP="00BE641C">
      <w:pPr>
        <w:pStyle w:val="BodyText1"/>
        <w:ind w:left="720" w:firstLine="0"/>
      </w:pPr>
      <w:r>
        <w:t>(ii)</w:t>
      </w:r>
      <w:r>
        <w:tab/>
        <w:t>The Trustee has received forms of a new Site Lease and Lease or amendments to an existing Site Lease and Lease adding any new Leased Property and/or amendments to an existing Site Lease and Lease removing or modifying any Leased Property that is to be removed or modified.</w:t>
      </w:r>
    </w:p>
    <w:p w:rsidR="006123A1" w:rsidRDefault="006123A1" w:rsidP="00BE641C">
      <w:pPr>
        <w:pStyle w:val="BodyText1"/>
        <w:ind w:left="720" w:firstLine="0"/>
      </w:pPr>
      <w:r>
        <w:t>(iii)</w:t>
      </w:r>
      <w:r>
        <w:tab/>
        <w:t>If the proceeds of such Series of Certificates are to be used to defease Outstanding Certificates pursuant to the Master Indenture, the Trustee has received a form of a defeasance escrow agreement and the other items required by the Master Indenture.</w:t>
      </w:r>
    </w:p>
    <w:p w:rsidR="006123A1" w:rsidRDefault="006123A1" w:rsidP="00BE641C">
      <w:pPr>
        <w:pStyle w:val="BodyText1"/>
        <w:ind w:left="720" w:firstLine="0"/>
      </w:pPr>
      <w:r>
        <w:t>(iv)</w:t>
      </w:r>
      <w:r>
        <w:tab/>
        <w:t>The State has certified to the Trustee that: (a) the Fair Market Value of the property added to the Leased Property in connection with the execution and delivery of such Series of Certificates is at least equal to 90% of the principal amount of such Series of Certificates; and (b) no Event of Default or Event of Nonappropriation exists under any Lease.  The certification of the State pursuant to clause (a) may be given based and in reliance upon certifications by the Sublessees that leased the Leased Property to the Trustee pursuant to Site Leases.</w:t>
      </w:r>
    </w:p>
    <w:p w:rsidR="006123A1" w:rsidRDefault="006123A1" w:rsidP="00BE641C">
      <w:pPr>
        <w:pStyle w:val="BodyText1"/>
        <w:ind w:left="720" w:firstLine="0"/>
      </w:pPr>
      <w:r>
        <w:t>(v)</w:t>
      </w:r>
      <w:r>
        <w:tab/>
        <w:t>The Trustee has received evidence that the execution and delivery of the Series of Certificates will not result in a reduction of the then current rating by any Rating Agency of any Outstanding Certificates, which evidence may take the form of a letter from a Rating Agency, a certificate of a financial advisor to the State or a certificate of an underwriter of Certificates.</w:t>
      </w:r>
    </w:p>
    <w:p w:rsidR="006123A1" w:rsidRDefault="006123A1" w:rsidP="00BE641C">
      <w:pPr>
        <w:pStyle w:val="BodyText1"/>
        <w:ind w:left="720" w:firstLine="0"/>
      </w:pPr>
      <w:r>
        <w:t>(vi)</w:t>
      </w:r>
      <w:r>
        <w:tab/>
        <w:t xml:space="preserve">The State has directed the Trustee in writing as to the delivery of the Series of Certificates and the application of the proceeds of the Series of Certificates, including, but not limited to, the amount to be deposited into the Project Account established for each Participating </w:t>
      </w:r>
      <w:r w:rsidR="00006F60">
        <w:t>K-12</w:t>
      </w:r>
      <w:r>
        <w:t xml:space="preserve"> Institution, the amount, if any, of the Allocated Investment Earnings for each Project Account, the amount to be deposited into the Cost of Issuance Account and, if proceeds of such Series of Certificates are to be used to defease Outstanding Certificates pursuant to the Master Indenture, the amount to be deposited into the defeasance escrow account established pursuant to the Master Indenture.</w:t>
      </w:r>
    </w:p>
    <w:p w:rsidR="006123A1" w:rsidRDefault="006123A1" w:rsidP="00BE641C">
      <w:pPr>
        <w:pStyle w:val="BodyText1"/>
        <w:ind w:left="720" w:firstLine="0"/>
      </w:pPr>
      <w:r>
        <w:t>(vii)</w:t>
      </w:r>
      <w:r>
        <w:tab/>
        <w:t>The Trustee has received a written opinion of Bond Counsel to the effect that (a) the Certificates of such Series have been duly authorized, executed and delivered pursuant to the Act, the Master Indenture and the Supplemental Indenture executed and delivered in connection with the execution and delivery of such Series of Certificates and will not adversely affect the exclusion from gross income for federal income tax purposes of interest on any Outstanding Certificate, and (b) the execution, sale and delivery of the Series of Certificates will not constitute an Event of Default or a Failure to Perform nor cause any violation of the covenants set forth in the Master Indenture.</w:t>
      </w:r>
    </w:p>
    <w:p w:rsidR="006123A1" w:rsidRDefault="006123A1" w:rsidP="003A3DD0">
      <w:pPr>
        <w:pStyle w:val="Heading1"/>
      </w:pPr>
      <w:bookmarkStart w:id="37" w:name="_Toc56668366"/>
      <w:r>
        <w:t>CERTAIN RISK FACTORS</w:t>
      </w:r>
      <w:bookmarkEnd w:id="37"/>
    </w:p>
    <w:p w:rsidR="006123A1" w:rsidRDefault="006123A1" w:rsidP="00F93C9E">
      <w:pPr>
        <w:pStyle w:val="BodyText1"/>
      </w:pPr>
      <w:r>
        <w:t xml:space="preserve">The following is a discussion of certain risks and other factors to be considered in connection with a prospective investment in the Series </w:t>
      </w:r>
      <w:r w:rsidR="00480C95">
        <w:t>2020R</w:t>
      </w:r>
      <w:r>
        <w:t xml:space="preserve"> Certificates.  Prospective investors should read this Official Statement in its entirety, and fully understand and evaluate these risks and other factors, as well as the information set forth elsewhere in this Official Statement, in order to make an informed investment decision.  Each prospective investor is urged to consult with its own legal, financial and tax advisors to determine whether an investment in the Series </w:t>
      </w:r>
      <w:r w:rsidR="00480C95">
        <w:t>2020R</w:t>
      </w:r>
      <w:r>
        <w:t xml:space="preserve"> Certificates is appropriate for such prospective investor.</w:t>
      </w:r>
    </w:p>
    <w:p w:rsidR="006123A1" w:rsidRPr="00BE641C" w:rsidRDefault="006123A1" w:rsidP="00F93C9E">
      <w:pPr>
        <w:pStyle w:val="BodyText1"/>
        <w:rPr>
          <w:i/>
        </w:rPr>
      </w:pPr>
      <w:r w:rsidRPr="00BE641C">
        <w:rPr>
          <w:i/>
        </w:rPr>
        <w:t xml:space="preserve">This section is not intended to be an exhaustive list of all risks associated with an investment in the Series </w:t>
      </w:r>
      <w:r w:rsidR="00480C95">
        <w:rPr>
          <w:i/>
        </w:rPr>
        <w:t>2020R</w:t>
      </w:r>
      <w:r w:rsidRPr="00BE641C">
        <w:rPr>
          <w:i/>
        </w:rPr>
        <w:t xml:space="preserve"> Certificates, nor are the risks set forth in this section necessarily presented in order of relevance, materiality or importance.</w:t>
      </w:r>
    </w:p>
    <w:p w:rsidR="006123A1" w:rsidRDefault="006123A1" w:rsidP="003A3DD0">
      <w:pPr>
        <w:pStyle w:val="Heading2"/>
      </w:pPr>
      <w:bookmarkStart w:id="38" w:name="_Toc56668367"/>
      <w:r>
        <w:t>Option to Renew the Leases Annually</w:t>
      </w:r>
      <w:bookmarkEnd w:id="38"/>
    </w:p>
    <w:p w:rsidR="006123A1" w:rsidRDefault="006123A1" w:rsidP="00F93C9E">
      <w:pPr>
        <w:pStyle w:val="BodyText1"/>
      </w:pPr>
      <w:r>
        <w:t>The obligation of the State, as lessee, to make payments under</w:t>
      </w:r>
      <w:r w:rsidR="00F12A69">
        <w:t xml:space="preserve"> the Leases (including the </w:t>
      </w:r>
      <w:r w:rsidR="00480C95">
        <w:t>2020R</w:t>
      </w:r>
      <w:r>
        <w:t xml:space="preserve"> Lease) does not constitute an obligation of the State to apply its general resources beyond the current Fiscal Year.  The State is not obligated to pay Base Rent or Additional Rent under the Leases unless funds are appropriated by the General Assembly each year, notwithstanding the fact that sufficient funds may or may not be on deposit in the Assistance Fund or otherwise may be available for transfer from any other source.  If, on or before June 30 of each Fiscal Year, the General Assembly does not specifically appropriate amounts sufficient to pay all Base Rent and Additional Rent, as estimated, for the next Fiscal Year, then an Event of Nonappropriation will be deemed to have occurred.  Upon the occurrence of an Event of Nonappropriation as described above, or otherwise as provided in the Leases (including the </w:t>
      </w:r>
      <w:r w:rsidR="00480C95">
        <w:t>2020R</w:t>
      </w:r>
      <w:r>
        <w:t xml:space="preserve"> Lease), the Lease Term of the Leases will be terminated; provided, however, that an Event of Nonappropriation will not be deemed to occur if, on or before August 15 of the ensuing Fiscal Year, (i) the General Assembly has appropriated or otherwise authorized the expenditure of amounts sufficient to avoid an Event of Nonappropriation</w:t>
      </w:r>
      <w:r w:rsidR="00785DE4">
        <w:t>,</w:t>
      </w:r>
      <w:r>
        <w:t xml:space="preserve"> and (ii) the State has paid all Rent due during the period from June 30 through the date of such appropriation or authorization.  See the sections captioned </w:t>
      </w:r>
      <w:r w:rsidR="00A06786">
        <w:t>“</w:t>
      </w:r>
      <w:r>
        <w:t>Event of Nonappropriation</w:t>
      </w:r>
      <w:r w:rsidR="00A06786">
        <w:t>”</w:t>
      </w:r>
      <w:r w:rsidR="00F12A69">
        <w:t xml:space="preserve"> in the form of the </w:t>
      </w:r>
      <w:r w:rsidR="00480C95">
        <w:t>2020R</w:t>
      </w:r>
      <w:r>
        <w:t xml:space="preserve"> Lease appended to this Official Statement.</w:t>
      </w:r>
    </w:p>
    <w:p w:rsidR="006123A1" w:rsidRDefault="006123A1" w:rsidP="00F93C9E">
      <w:pPr>
        <w:pStyle w:val="BodyText1"/>
      </w:pPr>
      <w:r>
        <w:t xml:space="preserve">There can be no assurance that the State will renew the Leases from Fiscal Year to Fiscal Year and therefore not terminate the Leases, and the State has no obligation to do so.  There is no penalty to the State (other than loss of the use of the Leased Property for itself and, unless the purchase option under a Sublease has been exercised, the related Participating </w:t>
      </w:r>
      <w:r w:rsidR="00006F60">
        <w:t>K-12</w:t>
      </w:r>
      <w:r>
        <w:t xml:space="preserve"> Institutions) if the State does not renew particular Leases on an annual basis and therefore terminates all of its obligations under such Leases.  Various political and economic factors could lead to the failure to appropriate or budget sufficient funds to make the required payments under the Leases, and prospective investors should carefully consider any factors which may influence the budgetary process.  The appropriation of funds may be affected by the continuing need of the State or the Participating </w:t>
      </w:r>
      <w:r w:rsidR="00006F60">
        <w:t>K-12</w:t>
      </w:r>
      <w:r>
        <w:t xml:space="preserve"> Institutions for the Leas</w:t>
      </w:r>
      <w:r w:rsidR="00F12A69">
        <w:t xml:space="preserve">ed Property (including the </w:t>
      </w:r>
      <w:r w:rsidR="00480C95">
        <w:t>2020R</w:t>
      </w:r>
      <w:r>
        <w:t xml:space="preserve"> Leased Property).  In addition, the ability of the State to maintain adequate revenues for its operations and obligations in general (including oblig</w:t>
      </w:r>
      <w:r w:rsidR="00F12A69">
        <w:t xml:space="preserve">ations associated with the </w:t>
      </w:r>
      <w:r w:rsidR="00480C95">
        <w:t>2020R</w:t>
      </w:r>
      <w:r>
        <w:t xml:space="preserve"> Lease) is dependent upon several factors outside the State</w:t>
      </w:r>
      <w:r w:rsidR="00A06786">
        <w:t>’</w:t>
      </w:r>
      <w:r>
        <w:t>s control, such as the economy, legislative changes and federal funding.  Restrictions imposed under the State Constitution on the State</w:t>
      </w:r>
      <w:r w:rsidR="00A06786">
        <w:t>’</w:t>
      </w:r>
      <w:r>
        <w:t xml:space="preserve">s revenues and spending apply to the collection and expenditure of certain revenues which may be used to pay Base Rent and Additional Rent, and also may impact the ability of the State to appropriate sufficient funds to pay Base Rent and Additional Rent each year.  See </w:t>
      </w:r>
      <w:r w:rsidR="00A06786">
        <w:t>“</w:t>
      </w:r>
      <w:r>
        <w:t>SECURITY AND SOURCES OF PAYMENT,</w:t>
      </w:r>
      <w:r w:rsidR="00A06786">
        <w:t>”</w:t>
      </w:r>
      <w:r>
        <w:t xml:space="preserve"> </w:t>
      </w:r>
      <w:r w:rsidR="00A06786">
        <w:t>“</w:t>
      </w:r>
      <w:r>
        <w:t>STATE FINANCIAL INFORMATION,</w:t>
      </w:r>
      <w:r w:rsidR="00A06786">
        <w:t>”</w:t>
      </w:r>
      <w:r>
        <w:t xml:space="preserve"> </w:t>
      </w:r>
      <w:r w:rsidR="00A06786">
        <w:t>“</w:t>
      </w:r>
      <w:r>
        <w:t>APPENDIX</w:t>
      </w:r>
      <w:r w:rsidR="00F27774">
        <w:t> </w:t>
      </w:r>
      <w:r>
        <w:t>E – THE STATE GENERAL FUND</w:t>
      </w:r>
      <w:r w:rsidR="00A06786">
        <w:t>”</w:t>
      </w:r>
      <w:r>
        <w:t xml:space="preserve"> and </w:t>
      </w:r>
      <w:r w:rsidR="00A06786">
        <w:t>“</w:t>
      </w:r>
      <w:r>
        <w:t>APPENDIX G – PUBLIC SCHOOL CAPITAL CONSTRUCTION ASSISTANCE FUND.</w:t>
      </w:r>
      <w:r w:rsidR="00A06786">
        <w:t>”</w:t>
      </w:r>
    </w:p>
    <w:p w:rsidR="006123A1" w:rsidRDefault="006123A1" w:rsidP="00F93C9E">
      <w:pPr>
        <w:pStyle w:val="BodyText1"/>
      </w:pPr>
      <w:r>
        <w:t xml:space="preserve">Payment of the principal of and interest, if any, on the Certificates (including the Series </w:t>
      </w:r>
      <w:r w:rsidR="00480C95">
        <w:t>2020R</w:t>
      </w:r>
      <w:r>
        <w:t xml:space="preserve"> Certificates) upon the occurrence of an Event of Lease Default or an Event of Nonappropriation will be dependent upon (1) the value of the Leased Property in a liquidation proceeding instituted by the Trustee</w:t>
      </w:r>
      <w:r w:rsidR="00785DE4">
        <w:t>,</w:t>
      </w:r>
      <w:r>
        <w:t xml:space="preserve"> or (2) any rental income from leasing (to others) the Leased Property.  See </w:t>
      </w:r>
      <w:r w:rsidR="00A06786">
        <w:t>“</w:t>
      </w:r>
      <w:r>
        <w:t>Effect of a Nonrenewal of the Leases</w:t>
      </w:r>
      <w:r w:rsidR="00A06786">
        <w:t>”</w:t>
      </w:r>
      <w:r>
        <w:t xml:space="preserve"> in this section.</w:t>
      </w:r>
    </w:p>
    <w:p w:rsidR="006123A1" w:rsidRDefault="006123A1" w:rsidP="00F93C9E">
      <w:pPr>
        <w:pStyle w:val="BodyText1"/>
      </w:pPr>
      <w:r>
        <w:t xml:space="preserve">The State is not permitted to renew any of the Leases with respect to less than all of the Leased Property.  Accordingly, a decision not to renew any Lease (including the </w:t>
      </w:r>
      <w:r w:rsidR="00480C95">
        <w:t>2020R</w:t>
      </w:r>
      <w:r>
        <w:t xml:space="preserve"> Lease) would mean the loss of the use of all of the Leased Property by the State.  However, each of the Participating </w:t>
      </w:r>
      <w:r w:rsidR="00006F60">
        <w:t>K-12</w:t>
      </w:r>
      <w:r>
        <w:t xml:space="preserve"> Institutions which is a Sublessee has the right to exercise a purchase option under its respective Sublease in order to purchase and retain the right to use its portion of the Leased Property in the event that the State chooses not to appropriate and thereby terminate</w:t>
      </w:r>
      <w:r w:rsidR="00F12A69">
        <w:t xml:space="preserve"> the Leases (including the </w:t>
      </w:r>
      <w:r w:rsidR="00480C95">
        <w:t>2020R</w:t>
      </w:r>
      <w:r>
        <w:t xml:space="preserve"> Lease).  See </w:t>
      </w:r>
      <w:r w:rsidR="00A06786">
        <w:t>“</w:t>
      </w:r>
      <w:r>
        <w:t>SECURITY AND SOURCES OF PAYMENT – The Leased Property.</w:t>
      </w:r>
      <w:r w:rsidR="00A06786">
        <w:t>”</w:t>
      </w:r>
    </w:p>
    <w:p w:rsidR="006123A1" w:rsidRDefault="006123A1" w:rsidP="00F93C9E">
      <w:pPr>
        <w:pStyle w:val="BodyText1"/>
      </w:pPr>
      <w:r>
        <w:t>The Trustee, as Lessor or Trustee, has no obligation to, nor will it make any payment on the Certificates or otherwise pursuant to the Leases except to the extent of amounts in the Trust Estate under the Indenture.</w:t>
      </w:r>
    </w:p>
    <w:p w:rsidR="006123A1" w:rsidRDefault="006123A1" w:rsidP="003A3DD0">
      <w:pPr>
        <w:pStyle w:val="Heading2"/>
      </w:pPr>
      <w:bookmarkStart w:id="39" w:name="_Toc56668368"/>
      <w:r>
        <w:t>Effect of a Nonrenewal of a Lease</w:t>
      </w:r>
      <w:bookmarkEnd w:id="39"/>
    </w:p>
    <w:p w:rsidR="006123A1" w:rsidRDefault="006123A1" w:rsidP="00F93C9E">
      <w:pPr>
        <w:pStyle w:val="BodyText1"/>
      </w:pPr>
      <w:r w:rsidRPr="002F3EC5">
        <w:rPr>
          <w:b/>
          <w:i/>
        </w:rPr>
        <w:t>General</w:t>
      </w:r>
      <w:r>
        <w:t>.  In the event of nonrenewal of the State</w:t>
      </w:r>
      <w:r w:rsidR="00A06786">
        <w:t>’</w:t>
      </w:r>
      <w:r>
        <w:t xml:space="preserve">s obligations under any of the Leases upon the occurrence of an Event of Nonappropriation or an Event of Default, the State is required to vacate the Leased Property under the Leases and the Sublessees are required to vacate the respective Leased Property being used under the Subleases (unless the purchase option under any Sublease has been exercised by any Participating </w:t>
      </w:r>
      <w:r w:rsidR="00006F60">
        <w:t>K-12</w:t>
      </w:r>
      <w:r>
        <w:t xml:space="preserve"> Institution) within 90 days.  The Subleases will automatically terminate upon any nonrenewal of any Lease by the State.  Subject to the right of the respective Sublessees to purchase the Leased Property under the Subleases, the Trustee may proceed to lease the Leased Property or any portion thereof, including the sale of an assignment of the Trustee</w:t>
      </w:r>
      <w:r w:rsidR="00A06786">
        <w:t>’</w:t>
      </w:r>
      <w:r>
        <w:t>s interest under the Site Leases, or exercise any other remedies available to the Trustee for the benefit of the Owners and may exercise one or any combination of the remedies available upon default as provided in the Indenture and the Leases.  The Leases place certain limitations on the availability of money damages against the State as a remedy.  For example, the Leases provide that a judgment requiring a payment of money may be entered against the State by reason of an Event of Nonappropriation only to the extent the State fails to vacate the Leased Property as required by the related Lease and only as to certain liabilities as described in such Lease.  All property, funds and rights acquired by the Trustee upon the nonrenewal of any Lease, along with other moneys then held by the Trustee under the Indenture (with certain exceptions as provided in the Leases and the Indenture), are required to be used to redeem the Certificates, if and to the extent any such moneys are realized</w:t>
      </w:r>
      <w:r w:rsidR="002324E1">
        <w:t xml:space="preserve">.  See the sections of the </w:t>
      </w:r>
      <w:r w:rsidR="00480C95">
        <w:t>2020R</w:t>
      </w:r>
      <w:r>
        <w:t xml:space="preserve"> Lease captioned </w:t>
      </w:r>
      <w:r w:rsidR="00A06786">
        <w:t>“</w:t>
      </w:r>
      <w:r>
        <w:t>Events of Default</w:t>
      </w:r>
      <w:r w:rsidR="00A06786">
        <w:t>”</w:t>
      </w:r>
      <w:r>
        <w:t xml:space="preserve"> and </w:t>
      </w:r>
      <w:r w:rsidR="00A06786">
        <w:t>“</w:t>
      </w:r>
      <w:r>
        <w:t>– Remedies on Default</w:t>
      </w:r>
      <w:r w:rsidR="00A06786">
        <w:t>”</w:t>
      </w:r>
      <w:r>
        <w:t xml:space="preserve"> in the form of such document appended to this Official Statement and </w:t>
      </w:r>
      <w:r w:rsidR="00A06786">
        <w:t>“</w:t>
      </w:r>
      <w:r>
        <w:t xml:space="preserve">THE SERIES </w:t>
      </w:r>
      <w:r w:rsidR="00480C95">
        <w:t>2020R</w:t>
      </w:r>
      <w:r>
        <w:t xml:space="preserve"> CERTIFICATES – Redemption Prior to Maturity – </w:t>
      </w:r>
      <w:r w:rsidRPr="002F3EC5">
        <w:rPr>
          <w:i/>
        </w:rPr>
        <w:t>Extraordinary Redemption Upon Occurrence of Event of Nonappropriation or an Event of Default</w:t>
      </w:r>
      <w:r w:rsidR="002F3EC5">
        <w:t>.</w:t>
      </w:r>
      <w:r w:rsidR="00A06786">
        <w:t>”</w:t>
      </w:r>
    </w:p>
    <w:p w:rsidR="006123A1" w:rsidRDefault="006123A1" w:rsidP="00F93C9E">
      <w:pPr>
        <w:pStyle w:val="BodyText1"/>
      </w:pPr>
      <w:r>
        <w:t xml:space="preserve">The moneys derived by the Trustee from the exercise of the remedies described above may be less than the aggregate principal amount of the Outstanding Certificates and accrued interest thereon.  If any Certificates are redeemed subsequent to a termination of any Lease for an amount less than the aggregate principal amount thereof and accrued interest thereon, such partial payment will be deemed to constitute a redemption in full of such Certificates pursuant to the Master Indenture and applicable series indenture; and upon such a partial payment, no owner of any Certificate (including any Series </w:t>
      </w:r>
      <w:r w:rsidR="00480C95">
        <w:t>2020R</w:t>
      </w:r>
      <w:r>
        <w:t xml:space="preserve"> Certificate) will have any further claims for payment upon the State, the Trustee, or the Participating </w:t>
      </w:r>
      <w:r w:rsidR="00006F60">
        <w:t>K-12</w:t>
      </w:r>
      <w:r>
        <w:t xml:space="preserve"> Institutions.</w:t>
      </w:r>
    </w:p>
    <w:p w:rsidR="006123A1" w:rsidRDefault="006123A1" w:rsidP="00F93C9E">
      <w:pPr>
        <w:pStyle w:val="BodyText1"/>
      </w:pPr>
      <w:r w:rsidRPr="002F3EC5">
        <w:rPr>
          <w:b/>
          <w:i/>
        </w:rPr>
        <w:t>Factors Affecting the Value of the Leased Property</w:t>
      </w:r>
      <w:r>
        <w:t xml:space="preserve">.  A potential purchaser of the Series </w:t>
      </w:r>
      <w:r w:rsidR="00480C95">
        <w:t>2020R</w:t>
      </w:r>
      <w:r>
        <w:t xml:space="preserve"> Certificates should not assume that it will be possible to sell, lease or sublease the Leased Property or any portion thereof after a termination of the Lease Term for an amount equal to the aggregate principal amount of the Certificates then Outstanding plus accrued interest thereon.  This may be due to the inability to recover certain of the costs incurred in connection with the execution and delivery of the Certificates, the construction of the Projects or the acquisition of the Leased Property.  The valuation of the Leased Property has not been based on any independent third party appraisal or evaluation.  See </w:t>
      </w:r>
      <w:r w:rsidR="00A06786">
        <w:t>“</w:t>
      </w:r>
      <w:r>
        <w:t>SECURITY AND SOURCES OF PAYMENT – The Leased Property.</w:t>
      </w:r>
      <w:r w:rsidR="00A06786">
        <w:t>”</w:t>
      </w:r>
      <w:r>
        <w:t xml:space="preserve">  To the extent Leased Property constitutes Projects financed by Outstanding Certificates and such Projects are partially constructed, the Trustee</w:t>
      </w:r>
      <w:r w:rsidR="00A06786">
        <w:t>’</w:t>
      </w:r>
      <w:r>
        <w:t>s ability to liquidate such Leased Property may be hindered.  The value of the Leased Property could also be adversely affected by the presence, or even by the alleged presence of, hazardous substances.  Present or future zoning requirements, restrictive covenants or other land use regulations may also restrict use of the Leased Property</w:t>
      </w:r>
      <w:r w:rsidR="0074310E">
        <w:t xml:space="preserve">.  </w:t>
      </w:r>
      <w:r>
        <w:t>Further, a considerable amount of Leased Property is located in areas of the State with lower population and commercial densities, which could have a detrimental effect on the Trustee</w:t>
      </w:r>
      <w:r w:rsidR="00A06786">
        <w:t>’</w:t>
      </w:r>
      <w:r>
        <w:t xml:space="preserve">s efforts to liquidate such properties.  The Sublessees and the State may also substitute other property for certain Leased Property as described in </w:t>
      </w:r>
      <w:r w:rsidR="00A06786">
        <w:t>“</w:t>
      </w:r>
      <w:r>
        <w:t xml:space="preserve">SECURITY AND SOURCES OF PAYMENT – The Leased Property – </w:t>
      </w:r>
      <w:r w:rsidRPr="002F3EC5">
        <w:rPr>
          <w:i/>
        </w:rPr>
        <w:t>Substitution of Leased Property</w:t>
      </w:r>
      <w:r>
        <w:t>.</w:t>
      </w:r>
      <w:r w:rsidR="00A06786">
        <w:t>”</w:t>
      </w:r>
      <w:r>
        <w:t xml:space="preserve">  </w:t>
      </w:r>
    </w:p>
    <w:p w:rsidR="006123A1" w:rsidRDefault="006123A1" w:rsidP="00F93C9E">
      <w:pPr>
        <w:pStyle w:val="BodyText1"/>
      </w:pPr>
      <w:r>
        <w:t xml:space="preserve">As described under </w:t>
      </w:r>
      <w:r w:rsidR="00A06786">
        <w:t>“</w:t>
      </w:r>
      <w:r>
        <w:t>SECURITY AND SOURCES OF PAYMENT – The Leased Property,</w:t>
      </w:r>
      <w:r w:rsidR="00A06786">
        <w:t>”</w:t>
      </w:r>
      <w:r>
        <w:t xml:space="preserve"> the Trustee may only be able to lease certain Leased Property to a lessee that will continue to use it for educational purposes.  Such restriction may limit the Trustee</w:t>
      </w:r>
      <w:r w:rsidR="00A06786">
        <w:t>’</w:t>
      </w:r>
      <w:r>
        <w:t>s ability to obtain lease revenues for Owners in the event of nonrenewal of the State</w:t>
      </w:r>
      <w:r w:rsidR="00A06786">
        <w:t>’</w:t>
      </w:r>
      <w:r>
        <w:t>s obligations under the related Lease.</w:t>
      </w:r>
    </w:p>
    <w:p w:rsidR="006123A1" w:rsidRDefault="006123A1" w:rsidP="00F93C9E">
      <w:pPr>
        <w:pStyle w:val="BodyText1"/>
      </w:pPr>
      <w:r>
        <w:t xml:space="preserve">Upon termination of any Lease, there is no assurance of any payment of the principal of Series </w:t>
      </w:r>
      <w:r w:rsidR="00480C95">
        <w:t>2020R</w:t>
      </w:r>
      <w:r>
        <w:t xml:space="preserve"> Certificates by the State or the Trustee.</w:t>
      </w:r>
    </w:p>
    <w:p w:rsidR="006123A1" w:rsidRDefault="006123A1" w:rsidP="00F93C9E">
      <w:pPr>
        <w:pStyle w:val="BodyText1"/>
      </w:pPr>
      <w:r>
        <w:t xml:space="preserve">Payment of the principal of and interest on the Series </w:t>
      </w:r>
      <w:r w:rsidR="00480C95">
        <w:t>2020R</w:t>
      </w:r>
      <w:r>
        <w:t xml:space="preserve"> Certificates and the Prior Certificates is paid from the State</w:t>
      </w:r>
      <w:r w:rsidR="00A06786">
        <w:t>’</w:t>
      </w:r>
      <w:r>
        <w:t xml:space="preserve">s payment of the Base Rent and other sources identified in </w:t>
      </w:r>
      <w:r w:rsidR="00A06786">
        <w:t>“</w:t>
      </w:r>
      <w:r>
        <w:t>SECURITY AND SOURCES OF PAYMENT,</w:t>
      </w:r>
      <w:r w:rsidR="00A06786">
        <w:t>”</w:t>
      </w:r>
      <w:r>
        <w:t xml:space="preserve"> which sources do not include any payments generated from the Leased Property, other than the Base Rent.  The State is not permitted to renew the Leases or </w:t>
      </w:r>
      <w:r w:rsidR="002324E1">
        <w:t xml:space="preserve">any of them (including the </w:t>
      </w:r>
      <w:r w:rsidR="00480C95">
        <w:t>2020R</w:t>
      </w:r>
      <w:r>
        <w:t xml:space="preserve"> Lease) with respect to less than all of the Leased Property.  Accordingly, a decision not to renew any Lease would mean the loss of the use by the State of all of the Leased Property.  An Event of Default or Event of Nonappropriation by a Participating </w:t>
      </w:r>
      <w:r w:rsidR="00006F60">
        <w:t>K-12</w:t>
      </w:r>
      <w:r>
        <w:t xml:space="preserve"> Institution under its Sublease does not constitute an Event of Default or an Event of Nonappropriation under the related Lease and does not affect the State</w:t>
      </w:r>
      <w:r w:rsidR="00A06786">
        <w:t>’</w:t>
      </w:r>
      <w:r>
        <w:t>s obligation to pay Base Rent.  Prospective investors should be aware that value of the Leased Property could be affected if there are design or construction defects in any of the buildings subject to a Lease.</w:t>
      </w:r>
    </w:p>
    <w:p w:rsidR="006123A1" w:rsidRDefault="006123A1" w:rsidP="003A3DD0">
      <w:pPr>
        <w:pStyle w:val="Heading2"/>
      </w:pPr>
      <w:bookmarkStart w:id="40" w:name="_Toc56668369"/>
      <w:r>
        <w:t>Federal Direct Payments</w:t>
      </w:r>
      <w:bookmarkEnd w:id="40"/>
    </w:p>
    <w:p w:rsidR="006123A1" w:rsidRDefault="006123A1" w:rsidP="00F93C9E">
      <w:pPr>
        <w:pStyle w:val="BodyText1"/>
      </w:pPr>
      <w:r>
        <w:t>Federal Direct Payments, to the extent received by the State from the United States Treasury and held by the Trustee on behalf of the State, are required under the Indenture to be deposited in the Interest Account of the Certificate Fund to net against and reduce the gross Base Rent payable by the State each Fiscal Year under the related Lease.  Federal Direct Payments currently are being received in connection with the Series 2010D Certificates.</w:t>
      </w:r>
    </w:p>
    <w:p w:rsidR="006123A1" w:rsidRDefault="006123A1" w:rsidP="00F93C9E">
      <w:pPr>
        <w:pStyle w:val="BodyText1"/>
      </w:pPr>
      <w:r>
        <w:t xml:space="preserve">No assurances are provided that the State or the Trustee will continue to receive any Federal Direct Payments.  The amount of any Federal Direct Payment is subject to legislative changes by Congress.  See </w:t>
      </w:r>
      <w:r w:rsidR="00A06786">
        <w:t>“</w:t>
      </w:r>
      <w:r>
        <w:t>SECURITY AND SOURCES OF PAYMENT – Federal Direct Payments</w:t>
      </w:r>
      <w:r w:rsidR="00A06786">
        <w:t>”</w:t>
      </w:r>
      <w:r>
        <w:t xml:space="preserve"> for a discussion of the actual and potential impact of sequestration under the 2011 Federal Budget Act on the receipt of Federal Direct Payments.  Further, Federal Direct Payments will only be paid if the Series 2010D Certificates qualify as </w:t>
      </w:r>
      <w:r w:rsidR="00A06786">
        <w:t>“</w:t>
      </w:r>
      <w:r>
        <w:t>Specified Tax Credit Bonds</w:t>
      </w:r>
      <w:r w:rsidR="00A06786">
        <w:t>”</w:t>
      </w:r>
      <w:r>
        <w:t xml:space="preserve"> within the meaning of the Recovery Act.  To satisfy such qualifications, the State and the relevant Participating </w:t>
      </w:r>
      <w:r w:rsidR="00006F60">
        <w:t>K-12</w:t>
      </w:r>
      <w:r>
        <w:t xml:space="preserve"> Institutions must comply with certain covenants and the State and the relevant Participating </w:t>
      </w:r>
      <w:r w:rsidR="00006F60">
        <w:t>K-12</w:t>
      </w:r>
      <w:r>
        <w:t xml:space="preserve"> Institutions must establish certain facts and expectations with respect to the Series 2010D Certificates, the use and investment of proceeds thereof and the use of property financed thereby.</w:t>
      </w:r>
    </w:p>
    <w:p w:rsidR="006123A1" w:rsidRDefault="006123A1" w:rsidP="00F93C9E">
      <w:pPr>
        <w:pStyle w:val="BodyText1"/>
      </w:pPr>
      <w:r>
        <w:t>There are currently no procedures for requesting a Federal Direct Payment after the 45</w:t>
      </w:r>
      <w:r w:rsidRPr="002F3EC5">
        <w:rPr>
          <w:vertAlign w:val="superscript"/>
        </w:rPr>
        <w:t>th</w:t>
      </w:r>
      <w:r>
        <w:t xml:space="preserve"> day prior to an interest payment date.  Therefore, if the request for a Federal Direct Payment is not filed in a timely fashion, it is possible that the State will never receive such Federal Direct Payment.  In addition, Federal Direct Payments are subject to offset against certain amounts that may, for unrelated reasons, be owed by the State to an agency of the United States of America.  The amount expected to be appropriated each year by the State for payment of Base Rent is the gross Base Rent not reduced by the Federal Direct Payments under the related Lease.  See </w:t>
      </w:r>
      <w:r w:rsidR="00A06786">
        <w:t>“</w:t>
      </w:r>
      <w:r>
        <w:t>SECURITY AND SOURCES OF PAYMENT – Federal Direct Payments.</w:t>
      </w:r>
      <w:r w:rsidR="00A06786">
        <w:t>”</w:t>
      </w:r>
    </w:p>
    <w:p w:rsidR="006123A1" w:rsidRDefault="006123A1" w:rsidP="00F93C9E">
      <w:pPr>
        <w:pStyle w:val="BodyText1"/>
      </w:pPr>
      <w:r>
        <w:t>If the Trustee leases the Leased Property to a non-governmental entity as a result of an Event of Nonappropriation or an Event of Default and the Series 2010D Certificates remain outstanding, the Federal Direct Payments will no longer be paid by the United States Treasury because the requisite qualifications will no longer be satisfied.</w:t>
      </w:r>
    </w:p>
    <w:p w:rsidR="006123A1" w:rsidRDefault="006123A1" w:rsidP="00F93C9E">
      <w:pPr>
        <w:pStyle w:val="BodyText1"/>
      </w:pPr>
      <w:r>
        <w:t>The IRS has implemented an examination program for obligations such as the Series 2010D Certificates that qualify for direct federal subsidies, and no assurance can be given that such Certificates will not be selected by the IRS for examination.  In the event the IRS files a proposed adverse determination letter as a result of such an examination, announced IRS policy is to suspend payment of the Federal Direct Payments pending a final determination of the qualification of the Series 2010D Certificates for eligibility to receive Federal Direct Payments.  Furthermore, in certain circumstances, the Federal Direct Payments may be reduced (offset) by amounts determined to be applicable under the Tax Code and regulations promulgated thereunder.  For example, offsets may occur by reason of any past-due legally enforceable debt of the State to any federal agency.  The amount of any such offsets is not predictable by the State.</w:t>
      </w:r>
    </w:p>
    <w:p w:rsidR="006123A1" w:rsidRDefault="006123A1" w:rsidP="003A3DD0">
      <w:pPr>
        <w:pStyle w:val="Heading2"/>
      </w:pPr>
      <w:bookmarkStart w:id="41" w:name="_Toc56668370"/>
      <w:r>
        <w:t>Enforceability of Remedies</w:t>
      </w:r>
      <w:bookmarkEnd w:id="41"/>
    </w:p>
    <w:p w:rsidR="006123A1" w:rsidRDefault="006123A1" w:rsidP="00F93C9E">
      <w:pPr>
        <w:pStyle w:val="BodyText1"/>
      </w:pPr>
      <w:r>
        <w:t>Under the Leases, the Trustee has the right to take possession of and dispose of the Leased Property upon an Event of Nonappropriation or an Event of Default.  However, the enforceability of the Leases is subject to applicable bankruptcy laws, equitable principles affecting the enforcement of creditors</w:t>
      </w:r>
      <w:r w:rsidR="00A06786">
        <w:t>’</w:t>
      </w:r>
      <w:r>
        <w:t xml:space="preserve"> rights generally and liens securing such rights, and the police powers of the State.  Because of the inherent police power of the State, a court in any action brought to enforce the remedy of the Trustee to take possession of the Leased Property may delay repossession for an indefinite period, even though the Lessee may be in default under a Lease.  The right of the Trustee to obtain possession of the Leased Property and to sell, lease or sublease portions of the Leased Property could be delayed until appropriate alternative space is obtained by the relevant Participating </w:t>
      </w:r>
      <w:r w:rsidR="00006F60">
        <w:t>K-12</w:t>
      </w:r>
      <w:r>
        <w:t xml:space="preserve"> Institutions.  As long as the Trustee is unable to take possession of the Leased Property, it will be unable to sell or re-lease the Leased Property as permitted under the Leases and the Indenture or to redeem or pay the Series </w:t>
      </w:r>
      <w:r w:rsidR="00480C95">
        <w:t>2020R</w:t>
      </w:r>
      <w:r>
        <w:t xml:space="preserve"> Certificates except from funds otherwise available to the Trustee under the Indenture.  See also </w:t>
      </w:r>
      <w:r w:rsidR="00A06786">
        <w:t>“</w:t>
      </w:r>
      <w:r>
        <w:t>SECURITY AND SOURCES OF PAYMENT.</w:t>
      </w:r>
      <w:r w:rsidR="00A06786">
        <w:t>”</w:t>
      </w:r>
    </w:p>
    <w:p w:rsidR="006123A1" w:rsidRDefault="006123A1" w:rsidP="003A3DD0">
      <w:pPr>
        <w:pStyle w:val="Heading2"/>
      </w:pPr>
      <w:bookmarkStart w:id="42" w:name="_Toc56668371"/>
      <w:r>
        <w:t xml:space="preserve">Effects on the Series </w:t>
      </w:r>
      <w:r w:rsidR="00480C95">
        <w:t>2020R</w:t>
      </w:r>
      <w:r>
        <w:t xml:space="preserve"> Certificates of a Nonrenewal Event</w:t>
      </w:r>
      <w:bookmarkEnd w:id="42"/>
    </w:p>
    <w:p w:rsidR="006123A1" w:rsidRDefault="006123A1" w:rsidP="002F3EC5">
      <w:pPr>
        <w:pStyle w:val="BodyText1"/>
        <w:keepNext/>
      </w:pPr>
      <w:r>
        <w:t>Bond Counsel has expressed no opinion as to the effect of any termination of the State</w:t>
      </w:r>
      <w:r w:rsidR="00A06786">
        <w:t>’</w:t>
      </w:r>
      <w:r w:rsidR="002324E1">
        <w:t xml:space="preserve">s obligations under the </w:t>
      </w:r>
      <w:r w:rsidR="00480C95">
        <w:t>2020R</w:t>
      </w:r>
      <w:r>
        <w:t xml:space="preserve"> Lease under certain circumstances as provided in the </w:t>
      </w:r>
      <w:r w:rsidR="00480C95">
        <w:t>2020R</w:t>
      </w:r>
      <w:r>
        <w:t xml:space="preserve"> Lease upon the treatment for federal or State income tax purposes of any moneys received b</w:t>
      </w:r>
      <w:r w:rsidR="002324E1">
        <w:t xml:space="preserve">y the Owners of the Series </w:t>
      </w:r>
      <w:r w:rsidR="00480C95">
        <w:t>2020R</w:t>
      </w:r>
      <w:r>
        <w:t xml:space="preserve"> Certificates subsequent to such termination.  See </w:t>
      </w:r>
      <w:r w:rsidR="00A06786">
        <w:t>“</w:t>
      </w:r>
      <w:r>
        <w:t>TAX MATTERS.</w:t>
      </w:r>
      <w:r w:rsidR="00A06786">
        <w:t>”</w:t>
      </w:r>
      <w:r w:rsidR="002324E1">
        <w:t xml:space="preserve">  If the </w:t>
      </w:r>
      <w:r w:rsidR="00480C95">
        <w:t>2020R</w:t>
      </w:r>
      <w:r>
        <w:t xml:space="preserve"> Lease is terminated and the subject property is re-let to a lessee that is not a governmental entity, there is no</w:t>
      </w:r>
      <w:r w:rsidR="002324E1">
        <w:t xml:space="preserve"> assurance that the Series </w:t>
      </w:r>
      <w:r w:rsidR="00480C95">
        <w:t>2020R</w:t>
      </w:r>
      <w:r>
        <w:t xml:space="preserve"> Certificates will be transferable without registration or a transactional exemption from registration under the federal securities laws follow</w:t>
      </w:r>
      <w:r w:rsidR="002324E1">
        <w:t xml:space="preserve">ing the termination of the </w:t>
      </w:r>
      <w:r w:rsidR="00480C95">
        <w:t>2020R</w:t>
      </w:r>
      <w:r>
        <w:t xml:space="preserve"> Lease.</w:t>
      </w:r>
    </w:p>
    <w:p w:rsidR="006123A1" w:rsidRDefault="006123A1" w:rsidP="00C53E1A">
      <w:pPr>
        <w:pStyle w:val="Heading2"/>
        <w:keepNext/>
      </w:pPr>
      <w:bookmarkStart w:id="43" w:name="_Toc56668372"/>
      <w:r>
        <w:t>Insurance of the Leased Property</w:t>
      </w:r>
      <w:bookmarkEnd w:id="43"/>
    </w:p>
    <w:p w:rsidR="006123A1" w:rsidRDefault="006123A1" w:rsidP="00C53E1A">
      <w:pPr>
        <w:pStyle w:val="BodyText1"/>
        <w:keepNext/>
      </w:pPr>
      <w:r>
        <w:t xml:space="preserve">The Subleases require the Participating </w:t>
      </w:r>
      <w:r w:rsidR="00006F60">
        <w:t>K-12</w:t>
      </w:r>
      <w:r>
        <w:t xml:space="preserve"> Institutions to pay, as Additional Rent, all of the expenses with respect to casualty and property damage insurance with respect to the Leased Property subject to their respective Subleases in an amount equal to the current replacement value of the Leased Property.  The Subleases also require the Participating </w:t>
      </w:r>
      <w:r w:rsidR="00006F60">
        <w:t>K-12</w:t>
      </w:r>
      <w:r>
        <w:t xml:space="preserve"> Institutions to pay, as Additional Rent, all of the expenses with respect to public liability insurance with respect to the activities to be undertaken by the Participating </w:t>
      </w:r>
      <w:r w:rsidR="00006F60">
        <w:t>K-12</w:t>
      </w:r>
      <w:r>
        <w:t xml:space="preserve"> Institutions in connection with the Leased Property subject to their respective Subleases and the Leases: (1) to the extent such activities result in injuries for which immunity is available under the Colorado Governmental Immunity Act, Section 24-10-101, </w:t>
      </w:r>
      <w:r w:rsidRPr="002F3EC5">
        <w:rPr>
          <w:i/>
        </w:rPr>
        <w:t>et seq.</w:t>
      </w:r>
      <w:r>
        <w:t xml:space="preserve">, C.R.S., or any successor statute, in  an amount not less than the amounts for which the State and the Participating </w:t>
      </w:r>
      <w:r w:rsidR="00006F60">
        <w:t>K-12</w:t>
      </w:r>
      <w:r>
        <w:t xml:space="preserve"> Institutions may be liable to third parties thereunder</w:t>
      </w:r>
      <w:r w:rsidR="00785DE4">
        <w:t>,</w:t>
      </w:r>
      <w:r>
        <w:t xml:space="preserve"> and (2) for all other activities, in an amount not less than $1,000,000 per occurrence.  The Leases require the State to make the same Additional Rent payments with respect to insurance but permits the State, in its discretion, to have the required insurance coverage provided by the State or the Participating </w:t>
      </w:r>
      <w:r w:rsidR="00006F60">
        <w:t>K-12</w:t>
      </w:r>
      <w:r>
        <w:t xml:space="preserve"> Institutions and to have such required insurance provided under blanket insurance policies or through the Colorado School District</w:t>
      </w:r>
      <w:r w:rsidR="00A06786">
        <w:t>’</w:t>
      </w:r>
      <w:r>
        <w:t>s Self Insurance Program, in the case of the Colorado School for the Deaf and Blind by the State</w:t>
      </w:r>
      <w:r w:rsidR="00A06786">
        <w:t>’</w:t>
      </w:r>
      <w:r>
        <w:t>s risk management program or, with the State</w:t>
      </w:r>
      <w:r w:rsidR="00A06786">
        <w:t>’</w:t>
      </w:r>
      <w:r>
        <w:t xml:space="preserve">s consent, the Participating </w:t>
      </w:r>
      <w:r w:rsidR="00006F60">
        <w:t>K-12</w:t>
      </w:r>
      <w:r>
        <w:t xml:space="preserve"> Institution</w:t>
      </w:r>
      <w:r w:rsidR="00A06786">
        <w:t>’</w:t>
      </w:r>
      <w:r>
        <w:t xml:space="preserve">s risk management program.  See </w:t>
      </w:r>
      <w:r w:rsidR="00A06786">
        <w:t>“</w:t>
      </w:r>
      <w:r>
        <w:t>LITIGATION, GOVERNMENTAL IMMUNITY AND SELF INSURANCE – Self Insurance.</w:t>
      </w:r>
      <w:r w:rsidR="00A06786">
        <w:t>”</w:t>
      </w:r>
      <w:r>
        <w:t xml:space="preserve">  There is no assurance that in the event the Lease is terminated as a result of damage to or destruction or condemnation of the related Leased Property, moneys made available by reason of any such occurrence will be sufficient to redeem the Series </w:t>
      </w:r>
      <w:r w:rsidR="00480C95">
        <w:t>2020R</w:t>
      </w:r>
      <w:r>
        <w:t xml:space="preserve"> Certificates at a price equal to the principal amount thereof outstanding.  See </w:t>
      </w:r>
      <w:r w:rsidR="00A06786">
        <w:t>“</w:t>
      </w:r>
      <w:r>
        <w:t xml:space="preserve">THE SERIES </w:t>
      </w:r>
      <w:r w:rsidR="00480C95">
        <w:t>2020R</w:t>
      </w:r>
      <w:r>
        <w:t xml:space="preserve"> CERTIFICATES – Redemption Prior to Maturity.</w:t>
      </w:r>
      <w:r w:rsidR="00A06786">
        <w:t>”</w:t>
      </w:r>
    </w:p>
    <w:p w:rsidR="006123A1" w:rsidRDefault="00F27774" w:rsidP="003A3DD0">
      <w:pPr>
        <w:pStyle w:val="Heading2"/>
      </w:pPr>
      <w:bookmarkStart w:id="44" w:name="_Toc56668373"/>
      <w:r>
        <w:t>Actions u</w:t>
      </w:r>
      <w:r w:rsidR="006123A1">
        <w:t>nder the Subleases</w:t>
      </w:r>
      <w:bookmarkEnd w:id="44"/>
    </w:p>
    <w:p w:rsidR="006123A1" w:rsidRDefault="006123A1" w:rsidP="00F93C9E">
      <w:pPr>
        <w:pStyle w:val="BodyText1"/>
      </w:pPr>
      <w:r>
        <w:t>Although the State</w:t>
      </w:r>
      <w:r w:rsidR="00A06786">
        <w:t>’</w:t>
      </w:r>
      <w:r>
        <w:t xml:space="preserve">s payment of Rent under the Leases will not depend or be conditioned upon payment of Rent, if any, under the Subleases, certain actions by the Participating </w:t>
      </w:r>
      <w:r w:rsidR="00006F60">
        <w:t>K-12</w:t>
      </w:r>
      <w:r>
        <w:t xml:space="preserve"> Institutions in respect of the related Leased Property or Project could have an adverse effect on the interests of the owners of the Series </w:t>
      </w:r>
      <w:r w:rsidR="00480C95">
        <w:t>2020R</w:t>
      </w:r>
      <w:r>
        <w:t xml:space="preserve"> Certificates.  For example, failure to operate or maintain the Leased Property under a related Sublease in accordance with the terms thereof could diminish the value of that Leased Property.  If, for whatever reason, such Lease terminates or the Trustee exercises re-letting or sale remedies thereunder, that diminished value could adversely affect the Trustee</w:t>
      </w:r>
      <w:r w:rsidR="00A06786">
        <w:t>’</w:t>
      </w:r>
      <w:r>
        <w:t xml:space="preserve">s ability to recoup rentals or obtain a sale price sufficient to pay Certificate principal or to redeem the full Certificate principal, as the case may be.  Violations of environmental laws similarly could diminish the re-letting or sale value of the subject Leased Property, and could lead to statutory remedies under applicable federal and state laws.  Failure by a Participating </w:t>
      </w:r>
      <w:r w:rsidR="00006F60">
        <w:t>K-12</w:t>
      </w:r>
      <w:r>
        <w:t xml:space="preserve"> Institution to obtain the casualty and property insurance policies required by the applicable Sublease could limit the principal amount of Series </w:t>
      </w:r>
      <w:r w:rsidR="00480C95">
        <w:t>2020R</w:t>
      </w:r>
      <w:r>
        <w:t xml:space="preserve"> Certificates redeemed upon the damage or destruction of the subject Leased Property under certain circumstances.  In addition, while the State expects that Certificate principal and interest will be paid from funds other than moneys derived from payments in respect of property used in a private trade or business, and also expects that the Leased Property will be used by Participating </w:t>
      </w:r>
      <w:r w:rsidR="00006F60">
        <w:t>K-12</w:t>
      </w:r>
      <w:r>
        <w:t xml:space="preserve"> Institutions, which are governmental units, use of the Projects financed with Series </w:t>
      </w:r>
      <w:r w:rsidR="00480C95">
        <w:t>2020R</w:t>
      </w:r>
      <w:r>
        <w:t xml:space="preserve"> Certificate proceeds by private persons or businesses, within the meaning of applicable tax law, could adversely affect the federal tax treatment of Series </w:t>
      </w:r>
      <w:r w:rsidR="00480C95">
        <w:t>2020R</w:t>
      </w:r>
      <w:r>
        <w:t xml:space="preserve"> Certificates.</w:t>
      </w:r>
    </w:p>
    <w:p w:rsidR="006123A1" w:rsidRDefault="006123A1" w:rsidP="00C53E1A">
      <w:pPr>
        <w:pStyle w:val="Heading2"/>
        <w:keepNext/>
      </w:pPr>
      <w:bookmarkStart w:id="45" w:name="_Toc56668374"/>
      <w:r>
        <w:t>State Budgets and Revenue Forecasts</w:t>
      </w:r>
      <w:bookmarkEnd w:id="45"/>
    </w:p>
    <w:p w:rsidR="006123A1" w:rsidRDefault="006123A1" w:rsidP="00C53E1A">
      <w:pPr>
        <w:pStyle w:val="BodyText1"/>
        <w:keepNext/>
      </w:pPr>
      <w:r>
        <w:t>The State Constitution requires that expenditure</w:t>
      </w:r>
      <w:r w:rsidR="00F12A69">
        <w:t>s</w:t>
      </w:r>
      <w:r w:rsidR="008E0824">
        <w:t xml:space="preserve"> for any </w:t>
      </w:r>
      <w:r>
        <w:t xml:space="preserve">Fiscal Year not exceed revenues for such Fiscal Year.  In addition, Section 24-75-201.1(1)(d), C.R.S., provides that for each Fiscal Year, a portion of the unrestricted General Fund year-end balance is to be retained as a reserve (the </w:t>
      </w:r>
      <w:r w:rsidR="00A06786">
        <w:t>“</w:t>
      </w:r>
      <w:r>
        <w:t>Unappropriated Reserve</w:t>
      </w:r>
      <w:r w:rsidR="00A06786">
        <w:t>”</w:t>
      </w:r>
      <w:r>
        <w:t xml:space="preserve">), and Section 24-75-201.1, C.R.S., provides that General Fund appropriations for each Fiscal Year, with certain exceptions, may not exceed specified amounts, as discussed in </w:t>
      </w:r>
      <w:r w:rsidR="00A06786">
        <w:t>“</w:t>
      </w:r>
      <w:r>
        <w:t xml:space="preserve">STATE FINANCIAL INFORMATION – Budget Process and other Considerations – </w:t>
      </w:r>
      <w:r w:rsidRPr="002F3EC5">
        <w:rPr>
          <w:i/>
        </w:rPr>
        <w:t>Revenues and Unappropriated Amounts – Expenditures; The Balances Budget and Statutory Spending Limitation</w:t>
      </w:r>
      <w:r>
        <w:t>.</w:t>
      </w:r>
      <w:r w:rsidR="00A06786">
        <w:t>”</w:t>
      </w:r>
    </w:p>
    <w:p w:rsidR="006123A1" w:rsidRDefault="006123A1" w:rsidP="00F93C9E">
      <w:pPr>
        <w:pStyle w:val="BodyText1"/>
      </w:pPr>
      <w:r>
        <w:t>The State relies on revenue estimation as the basis for budgeting and establishing aggregate funds available for expenditure for its appropriation process.  By statute, the Governor</w:t>
      </w:r>
      <w:r w:rsidR="00A06786">
        <w:t>’</w:t>
      </w:r>
      <w:r>
        <w:t>s Office of State Planning and Budgeting (</w:t>
      </w:r>
      <w:r w:rsidR="00A06786">
        <w:t>“</w:t>
      </w:r>
      <w:r>
        <w:t>OSPB</w:t>
      </w:r>
      <w:r w:rsidR="00A06786">
        <w:t>”</w:t>
      </w:r>
      <w:r>
        <w:t xml:space="preserve">) is responsible for developing the General Fund revenue estimate.  The most recent OSPB revenue forecast was issued on </w:t>
      </w:r>
      <w:r w:rsidR="00FF1476">
        <w:t>September</w:t>
      </w:r>
      <w:r w:rsidR="00040A5C">
        <w:t xml:space="preserve"> 20, 2020</w:t>
      </w:r>
      <w:r>
        <w:t xml:space="preserve"> (the </w:t>
      </w:r>
      <w:r w:rsidR="00A06786">
        <w:t>“</w:t>
      </w:r>
      <w:r w:rsidR="009B293F">
        <w:t>OSPB September 2020</w:t>
      </w:r>
      <w:r>
        <w:t xml:space="preserve"> Revenue Forecast</w:t>
      </w:r>
      <w:r w:rsidR="00A06786">
        <w:t>”</w:t>
      </w:r>
      <w:r>
        <w:t xml:space="preserve">) and is included in this Official Statement.  See </w:t>
      </w:r>
      <w:r w:rsidR="00A06786">
        <w:t>“</w:t>
      </w:r>
      <w:r>
        <w:t>STATE FINANCIAL INFORMATION</w:t>
      </w:r>
      <w:r w:rsidR="00A06786">
        <w:t>”</w:t>
      </w:r>
      <w:r>
        <w:t xml:space="preserve"> and </w:t>
      </w:r>
      <w:r w:rsidR="00A06786">
        <w:t>“</w:t>
      </w:r>
      <w:r>
        <w:t xml:space="preserve">APPENDIX F – </w:t>
      </w:r>
      <w:r w:rsidR="009B293F">
        <w:t>OSPB SEPTEMBER 2020</w:t>
      </w:r>
      <w:r>
        <w:t xml:space="preserve"> REVENUE FORECAST.</w:t>
      </w:r>
      <w:r w:rsidR="00A06786">
        <w:t>”</w:t>
      </w:r>
      <w:r>
        <w:t xml:space="preserve">  The next OSPB revenue forecast will be released in </w:t>
      </w:r>
      <w:r w:rsidR="00FF1476">
        <w:t>December</w:t>
      </w:r>
      <w:r w:rsidR="00040A5C">
        <w:t xml:space="preserve"> 2020</w:t>
      </w:r>
      <w:r>
        <w:t xml:space="preserve">.  General Fund revenue projections in the new forecast may be materially different from the </w:t>
      </w:r>
      <w:r w:rsidR="009B293F">
        <w:t>OSPB September 2020</w:t>
      </w:r>
      <w:r>
        <w:t xml:space="preserve"> Revenue Forecast.  A revenue shortfall could adversely affect the State</w:t>
      </w:r>
      <w:r w:rsidR="00A06786">
        <w:t>’</w:t>
      </w:r>
      <w:r>
        <w:t xml:space="preserve">s ability to appropriate sufficient amounts to pay Base Rent in subsequent years.  If a revenue shortfall is projected for any forecasted years which would result in a budgetary shortfall, budget cuts will be necessary to ensure the balanced budget.  See </w:t>
      </w:r>
      <w:r w:rsidR="00A06786">
        <w:t>“</w:t>
      </w:r>
      <w:r>
        <w:t>APPENDIX E – THE STATE GENERAL FUND.</w:t>
      </w:r>
      <w:r w:rsidR="00A06786">
        <w:t>”</w:t>
      </w:r>
    </w:p>
    <w:p w:rsidR="006123A1" w:rsidRDefault="006123A1" w:rsidP="00F93C9E">
      <w:pPr>
        <w:pStyle w:val="BodyText1"/>
      </w:pPr>
      <w:r>
        <w:t xml:space="preserve">Prospective investors are cautioned that any forecast is subject to uncertainties, and inevitably some assumptions used to develop the forecasts will not be realized, and unanticipated events and circumstances may occur.  Therefore, there are likely to be differences between forecasted and actual results, and such differences may be material.  No representation or guaranty is made herein as to the accuracy of the forecasts.  See also </w:t>
      </w:r>
      <w:r w:rsidR="00A06786">
        <w:t>“</w:t>
      </w:r>
      <w:r>
        <w:t>PRELIMINARY NOTICES – Cautionary Statement Regarding Projections, Estimates and Other Forward-Looking Statements</w:t>
      </w:r>
      <w:r w:rsidR="00A06786">
        <w:t>”</w:t>
      </w:r>
      <w:r>
        <w:t xml:space="preserve"> at the beginning of this Official Statement.</w:t>
      </w:r>
    </w:p>
    <w:p w:rsidR="006123A1" w:rsidRDefault="006123A1" w:rsidP="00F93C9E">
      <w:pPr>
        <w:pStyle w:val="BodyText1"/>
      </w:pPr>
      <w:r>
        <w:t>The State</w:t>
      </w:r>
      <w:r w:rsidR="00A06786">
        <w:t>’</w:t>
      </w:r>
      <w:r>
        <w:t>s Fiscal Year budgets are not prepared on a cash basis, but rather are prepared using the modified accrual basis of accounting in accordance with the standards promulgated by the Governmental Accounting Standards Board (</w:t>
      </w:r>
      <w:r w:rsidR="00A06786">
        <w:t>“</w:t>
      </w:r>
      <w:r>
        <w:t>GASB</w:t>
      </w:r>
      <w:r w:rsidR="00A06786">
        <w:t>”</w:t>
      </w:r>
      <w:r>
        <w:t>), with certain statutory exceptions.  The State could experience temporary and cumulative cash shortfalls as the result of differences in the timing of the actual receipt of revenues and payment of expenditures by the State compared to the inclusion of such revenues and expenditures in the State</w:t>
      </w:r>
      <w:r w:rsidR="00A06786">
        <w:t>’</w:t>
      </w:r>
      <w:r>
        <w:t xml:space="preserve">s Fiscal Year budgets on the modified accrual basis, which does not take into account the timing of when such amounts are received or paid.  See </w:t>
      </w:r>
      <w:r w:rsidR="00A06786">
        <w:t>“</w:t>
      </w:r>
      <w:r>
        <w:t>STATE FINANCIAL INFORMATION – Budget Process and Other Considerations.</w:t>
      </w:r>
      <w:r w:rsidR="00A06786">
        <w:t>”</w:t>
      </w:r>
    </w:p>
    <w:p w:rsidR="00E428DD" w:rsidRDefault="00E428DD" w:rsidP="00E428DD">
      <w:pPr>
        <w:pStyle w:val="Heading2"/>
        <w:keepNext/>
      </w:pPr>
      <w:bookmarkStart w:id="46" w:name="_Toc56668375"/>
      <w:r>
        <w:t>Potential Impact of COVID-19 (Coronavirus)</w:t>
      </w:r>
      <w:bookmarkEnd w:id="46"/>
    </w:p>
    <w:p w:rsidR="00FB3B39" w:rsidRDefault="00E428DD" w:rsidP="00E428DD">
      <w:pPr>
        <w:pStyle w:val="BodyText1"/>
      </w:pPr>
      <w:r>
        <w:t xml:space="preserve">The spread of a novel strain of coronavirus called COVID-19 is currently altering the behavior of businesses and people in a manner that is having significant negative effects on global, national, state, and local economies.  State and local governments, including the State of Colorado, have announced orders, recommendations and other measures intended to </w:t>
      </w:r>
      <w:r w:rsidR="004C4110">
        <w:t xml:space="preserve">slow the spread of COVID-19, including </w:t>
      </w:r>
      <w:r>
        <w:t>limit</w:t>
      </w:r>
      <w:r w:rsidR="004C4110">
        <w:t>ing</w:t>
      </w:r>
      <w:r>
        <w:t xml:space="preserve"> the size o</w:t>
      </w:r>
      <w:r w:rsidR="004C4110">
        <w:t>f public gatherings and regulating</w:t>
      </w:r>
      <w:r>
        <w:t xml:space="preserve"> public spaces in order to</w:t>
      </w:r>
      <w:r w:rsidR="00FB3B39">
        <w:t xml:space="preserve"> minimize interpersonal contact. </w:t>
      </w:r>
      <w:r>
        <w:t xml:space="preserve"> </w:t>
      </w:r>
      <w:r w:rsidR="00FB3B39">
        <w:t>These COVID-19 measures are changing rapidly.</w:t>
      </w:r>
    </w:p>
    <w:p w:rsidR="00F744B7" w:rsidRDefault="00E428DD" w:rsidP="00E428DD">
      <w:pPr>
        <w:pStyle w:val="BodyText1"/>
      </w:pPr>
      <w:r>
        <w:t xml:space="preserve">Beginning in March 2020, </w:t>
      </w:r>
      <w:r w:rsidR="00FB3B39">
        <w:t xml:space="preserve">Colorado Governor Polis has issued numerous </w:t>
      </w:r>
      <w:r>
        <w:t xml:space="preserve">public health orders </w:t>
      </w:r>
      <w:r w:rsidR="00FB3B39">
        <w:t>pertaining to COVID-19. Certain material orders are describe</w:t>
      </w:r>
      <w:r w:rsidR="000E71F5">
        <w:t>d below. CDPHE provides information relating to COVID-19 and related developments in the State of Colorado on its website, covid19.colorado.gov.  Reference to such website is presented herein for informational purposes only and the information or links contained therein are not incorporated into, and are not part of, this Official Statement.</w:t>
      </w:r>
    </w:p>
    <w:p w:rsidR="00F744B7" w:rsidRPr="00F744B7" w:rsidRDefault="00F744B7" w:rsidP="00406305">
      <w:pPr>
        <w:pStyle w:val="BodyText1"/>
        <w:rPr>
          <w:b/>
          <w:u w:val="single"/>
        </w:rPr>
      </w:pPr>
      <w:r>
        <w:t>The primary current public health order of the Governor is Executive Order D 2020 235, issued October 30, 2020, and expiring November 30, 2020 (the “Dial Framework Order”).  The Dial Framework Order consolidates numerous prior orders which imposed various restrictions upon Colorado residents and businesses.  The Dial Framework Order recognizes unique local circumstances and uses a five-level dial to visualize a community’s success in containing the spread of COVID-19.  On November 2, 2020, CDPHE issued Public Health Order 20-36, which sets forth the requirements for the implementation of the Dial Framework Order (together with the Dial Framework Order, the “Dial Orders”).  Pursuant to the Dial Orders, each county or region is at one of five levels represented by colors on a dial: green, blue, yellow, orange and red.  The CDPHE is directed to certify and review the process of moving counties between levels.  Level Red requires residents to stay at home, and other levels require varying degrees of restrictions, depending on the level.  In addition to the Dial Framework Order, Executive Order D 2020 138 (issued July 16, 2020, as amended on August 14, 2020, September 12, 2020, October 11, 2020, and November 2, 2020) (currently expires November 11, 2020) is currently in place, pursuant to which masks must be worn statewide when ind</w:t>
      </w:r>
      <w:r w:rsidR="003705C9">
        <w:t xml:space="preserve">oors, with certain exceptions. </w:t>
      </w:r>
      <w:r w:rsidR="0074310E">
        <w:t xml:space="preserve"> </w:t>
      </w:r>
    </w:p>
    <w:p w:rsidR="00E428DD" w:rsidRDefault="00E428DD" w:rsidP="00E428DD">
      <w:pPr>
        <w:pStyle w:val="BodyText1"/>
      </w:pPr>
      <w:r>
        <w:t>In order to move to a less restrictive level, a county needs to meet and sustain all three metrics: new cases, percent positivity, and stable or declining hospitalizations for a two-week rolling period.  The process of moving to a more restrictive level begins with a consultation with CDPHE if a county is out of compliance with any of the three metrics for a two-week period.  The two-week period is a grace period. If compliance is restored in that timefra</w:t>
      </w:r>
      <w:r w:rsidR="008B041E">
        <w:t>me, no further action is taken by CDPHE.</w:t>
      </w:r>
    </w:p>
    <w:p w:rsidR="00E428DD" w:rsidRDefault="00E428DD" w:rsidP="00E428DD">
      <w:pPr>
        <w:pStyle w:val="BodyText1"/>
      </w:pPr>
      <w:r>
        <w:t>If compliance is not restored, then a consultation between the county and the State must take place to determine next steps.  At this consultation, detailed metrics including the aforementioned three, but also many others like the epidemiological trends, impacted populations, and local factors will be discussed and considered in partnership between state and local officials. At the end of the consultation, CDPHE assesses whether local trends are improving, the risk to the community, and the strength of local mitigation efforts.  After considering all of these factors, CDPHE will either: (1) Provide an extension for another 2-week period to remain in the same dial level while continuing existing local mitigation strategies, (2) Provide an extension, on the condition that additional, specifically defined local mitigation strategies are put in place, or (3) Require the county to transition to a more restrictive level.</w:t>
      </w:r>
    </w:p>
    <w:p w:rsidR="000E71F5" w:rsidRDefault="00E428DD" w:rsidP="00E428DD">
      <w:pPr>
        <w:pStyle w:val="BodyText1"/>
      </w:pPr>
      <w:r>
        <w:t>A recent executive order by the Governor limits the hours that alcohol can be served at restaurants, subject to local governments applying for less stringent restrictions.  The State reserves the right to revoke any looser res</w:t>
      </w:r>
      <w:r w:rsidR="000E71F5">
        <w:t>trictions granted.  On October 30</w:t>
      </w:r>
      <w:r>
        <w:t>, 2020, the CDPHE released a new modeling report indicating an increase in hospitalizations and in the estimated number of Coloradans who currently are infectious.  The report indicates that if Colorado remains on the current trajectory of its epidemic curve, state epidemiologists predict continued growth in cases and increased demand on hospitals.  Further, the report evaluates what might happen with increased social contact beginning the Friday before Thanksgiving and lasting through the new year.  With this assumption, the report indicates an increase in cases during and after the holidays as projected could be substantial if infections are not controlled in October and November of this year.  At the higher projections, the state could be at risk for exceeding its ICU capacity as early as December unless Coloradans continue to take and maintain prevention measures</w:t>
      </w:r>
      <w:r w:rsidR="000E71F5">
        <w:t>.</w:t>
      </w:r>
    </w:p>
    <w:p w:rsidR="008B041E" w:rsidRPr="00A81AA6" w:rsidRDefault="00E428DD" w:rsidP="008B041E">
      <w:pPr>
        <w:pStyle w:val="BodyText1"/>
      </w:pPr>
      <w:r>
        <w:t>Since March 2020, unemployment claims have risen significantly.  According to the U.S. Bureau of Labor Statistics, as of July 2020, over 228,000 people in the State were unemployed (preliminary; not seasonally adjusted), resulting in an unemployment rate of 7.4% (preliminary; not seasonally adjusted) as compared to March 2020, where, according to the U.S. Bureau of Labor Statistics, approximately 164,000 people in the State were unemployed (preliminary; not seasonally adjusted), resulting in an unemployment rate of 5.2% (prelimin</w:t>
      </w:r>
      <w:r w:rsidR="000E71F5">
        <w:t xml:space="preserve">ary; not seasonally adjusted). </w:t>
      </w:r>
      <w:r w:rsidR="008B041E">
        <w:t xml:space="preserve">On </w:t>
      </w:r>
      <w:r w:rsidR="005C29E0">
        <w:t>October 28, 2020, Governor Polis issued Executive Order D 2020 230, which directed the Unemployment Insurance Division to make one-time direct stimulus payments</w:t>
      </w:r>
      <w:r w:rsidR="00A929F3">
        <w:t xml:space="preserve"> of $375 to all qualifying individuals. The payments are to be processed by December 4, 2020 from the v</w:t>
      </w:r>
      <w:r w:rsidR="00D935D5">
        <w:t xml:space="preserve">arious fund transfers, totaling $168 million </w:t>
      </w:r>
      <w:r w:rsidR="00A929F3">
        <w:t>from the Stat</w:t>
      </w:r>
      <w:r w:rsidR="005137C8">
        <w:t>e Disaster Emergency Fund. Furth</w:t>
      </w:r>
      <w:r w:rsidR="00A929F3">
        <w:t>er, on</w:t>
      </w:r>
      <w:r w:rsidR="005137C8">
        <w:t xml:space="preserve"> </w:t>
      </w:r>
      <w:r w:rsidR="008B041E">
        <w:t xml:space="preserve">November 5, 2020, Governor Polis issued Executive Order D 2020-242, which extends the expedited unemployment insurance claim processing to provide relief to Coloradans affected by COVID-19. </w:t>
      </w:r>
    </w:p>
    <w:p w:rsidR="00E428DD" w:rsidRDefault="00E428DD" w:rsidP="00E428DD">
      <w:pPr>
        <w:pStyle w:val="BodyText1"/>
      </w:pPr>
      <w:r>
        <w:t>The General Assembly took a variety of steps to reduce spending in the fiscal years ending June 30, 2020 and June 30, 2021 to develop a balanced budget for the fiscal year ending June 30, 2021 based on the May 2020 Revenue Forecast.  The OSPB September 2020 Revenue Forecast, Appendix F, explicitly incorporates the potential impact of COVID-19 in the assumptions used as the basis for its forecast.  General Fund Revenue is forecasted to have increased by 2.4% in the fiscal year ended June 30, 2020 (as compared to General Fund Revenues for the Fiscal Year ended June 30, 2019), to decrease by 4.7% in the Fiscal Year ending June 30, 2021 (as compared to General Fund Revenues forecasted for the Fiscal Year ended June 30, 2020), and to increase by 4.7% in the fiscal year ending June 30, 2022 (as compared to General Fund Revenues forecasted for the fiscal year ending June 30, 2021).  The OSPB Se</w:t>
      </w:r>
      <w:r w:rsidR="009E7FD2">
        <w:t>ptember 2020 Revenue Forecast has forecasted</w:t>
      </w:r>
      <w:r>
        <w:t xml:space="preserve"> significantly lower revenues to the State General Fund than both the revenue forecast in the OSPB December 2019 Revenue Forecast and the OSPB March 2020 Revenue Forecast for the fiscal years ending June 30, 2021 through June 30, 2022.  However, the OSPB Se</w:t>
      </w:r>
      <w:r w:rsidR="009E7FD2">
        <w:t xml:space="preserve">ptember 2020 Revenue Forecast </w:t>
      </w:r>
      <w:r>
        <w:t xml:space="preserve"> </w:t>
      </w:r>
      <w:r w:rsidR="009E7FD2">
        <w:t xml:space="preserve">has </w:t>
      </w:r>
      <w:r>
        <w:t>fo</w:t>
      </w:r>
      <w:r w:rsidR="009E7FD2">
        <w:t>recasted</w:t>
      </w:r>
      <w:r>
        <w:t xml:space="preserve"> revenues to the State General Fund greater than those forecast in the OSPB May 2020 Revenue Forecast.  In an effort to reduce State expenses, on September 22, 2020, the Governor announced that, except for certain exempt employees, all State employees making $50,000 or more will be required to take 1 to 4 furlough days before the end of 2020. The number of furlough days required to be taken by a State employee will depend upon such employee’s salary, with those employees with higher salaries being required to take more furlough days.  The combined effect of the State’s budget reduction measures and the increased General Fund Revenues forecast in the OSPB September 2020 Revenue Forecast will likely result in the State having revenues in excess of those in the fiscal year 2020-2021 budget that by law, will roll forward to successive budget years.  See Appendix E – “THE STATE GENERAL FUND.”  Investors are encouraged to review both Appendix E and Appendix F in their entirety.</w:t>
      </w:r>
    </w:p>
    <w:p w:rsidR="00E428DD" w:rsidRDefault="00E428DD" w:rsidP="00E428DD">
      <w:pPr>
        <w:pStyle w:val="BodyText1"/>
      </w:pPr>
      <w:r>
        <w:t>In addition to lost State revenues, the State is incurring significant expenses in healthcare costs attributable to (a) expanded testing of vulnerable populations, (b) scaling up epidemiology and contact tracing, (c) increasing testing capacity at the State Lab, including new equipment, supplies and personnel and (d) improving coordination to rapidly respond to and contain disease outbreaks.  The State’s emergency funding plan entails progressively identifying funding by source.  First, agencies and the Governor’s office have been identifying all available federal funds to cover COVID-19 response, including, but not limited to, the Family First Coronavirus Response Act (HR 6201), the CARES Act (HR 748) and the Paycheck Protection Program and Health Care Enhancement Act (HR 266).  Second, for costs not able to be cov</w:t>
      </w:r>
      <w:r w:rsidR="002729D7">
        <w:t>ered by federal funds, State agencies</w:t>
      </w:r>
      <w:r>
        <w:t xml:space="preserve"> and the Governor’s Office plan to use the State emergency funds.  Finally, agencies have been working with the OSPB and the Joint Budget Committee of the General Assembly to identify needs as part of the regular budget and planning process.  On May 18, 2020, the Governor announced the allocation of $1.674 billion in federal funds under the CARES Act.  Such allocation includes, but is not limited to:  $205 million to local public health agencies for COVID-19 response; $500 million to local school districts to increase free instructional hours for kindergarten through 12th grade; $450 million to public institutions of higher education to increase student retention and completions; $275 million to local governments to facilitate compliance with COVID-19-related public health measures; and $85 million for payroll expenses and other necessary State expenditures for employees whose services are substantially dedicated to mitigating or responding to the COVID-19 public health emergency.  As of </w:t>
      </w:r>
      <w:r w:rsidR="009E7FD2">
        <w:t>May 11, 2020, the OSPB estimated</w:t>
      </w:r>
      <w:r>
        <w:t xml:space="preserve"> that the State has over $101 million and $197 million in its Disaster Emergency Fund and State Emergency Fund, respectively.  The State anticipates that it will receive additional federal funds and that it will need to make withdrawals from State emergency funds in the future.  However, due in part to their interrelationship, it is not possib</w:t>
      </w:r>
      <w:r w:rsidR="009E7FD2">
        <w:t>le to predict with any certainty</w:t>
      </w:r>
      <w:r>
        <w:t xml:space="preserve"> at this point the timing and amounts of such receipts or withdrawals.  Including the May announcement, the State has received approximately $2.9 billion in federal funds from four different bills passed by Congress since March, including the Coronavirus Preparedness and Response Supplemental Appropriations Act, the Families First Coronavirus Response Act, the CARES Act, and the Paycheck Protection Program and Health Care Enhancement Act.  The largest of these was the CARES Act, under which Colorado received $2.3 billion, including $1.7 billion to the State and $0.6 billion directly to the State’s largest counties with populations over 500,000 (the counties of Adams, Arapahoe, Denver, El Paso, and Jefferson).  The Governor also signed Executive Order</w:t>
      </w:r>
      <w:r w:rsidR="009E7FD2">
        <w:t xml:space="preserve"> D 2020 070 which allocated </w:t>
      </w:r>
      <w:r>
        <w:t xml:space="preserve">$1.7 billion to different departments, funds, payrolls, and the General Fund to address the COVID-19 pandemic.  These funds must be used in compliance with federal Treasury guidance and frequently asked questions, and must be spent between March 1, 2020, and December 30, 2020. </w:t>
      </w:r>
    </w:p>
    <w:p w:rsidR="00E428DD" w:rsidRDefault="00E428DD" w:rsidP="00E428DD">
      <w:pPr>
        <w:pStyle w:val="BodyText1"/>
      </w:pPr>
      <w:r>
        <w:t>The State Treasurer is closely monitoring the General Fund cash flows and will evaluate potential cash management options, as necessary. There can be no assurances that the fiscal stress and cash pressures currently facing the State will not continue or become more difficult.</w:t>
      </w:r>
    </w:p>
    <w:p w:rsidR="00E428DD" w:rsidRDefault="00E428DD" w:rsidP="00E428DD">
      <w:pPr>
        <w:pStyle w:val="BodyText1"/>
      </w:pPr>
      <w:r>
        <w:t>The State cannot predict (i) the duration or extent of the COVID-19 pandemic; (ii) the duration or expansion of related business closings, public health orders, regulations and legislation; and (iii) the extent to which, or the negative effect the COVID-19 pandemic will continue to have on global, national and local economies, including whether a recession may be triggered.  While it is too early to determine with any confidence the possible full extent of the effect of COVID-19 on the State, the General Fund or the Assistance Fund, such impact is expected to be significant and to have a material adverse effect on the State’s finances.  Accordingly, the impact of COVID-19 could have a negative effect on the ability of the General Assembly to make payments under the 2020R Lease.</w:t>
      </w:r>
    </w:p>
    <w:p w:rsidR="006123A1" w:rsidRDefault="006123A1" w:rsidP="003A3DD0">
      <w:pPr>
        <w:pStyle w:val="Heading2"/>
      </w:pPr>
      <w:bookmarkStart w:id="47" w:name="_Toc56668376"/>
      <w:r>
        <w:t>Control of Remedies</w:t>
      </w:r>
      <w:bookmarkEnd w:id="47"/>
      <w:r>
        <w:t xml:space="preserve"> </w:t>
      </w:r>
    </w:p>
    <w:p w:rsidR="006123A1" w:rsidRDefault="006123A1" w:rsidP="00F93C9E">
      <w:pPr>
        <w:pStyle w:val="BodyText1"/>
      </w:pPr>
      <w:r>
        <w:t xml:space="preserve">Under the Indenture, the Owners of a majority in principal amount of all the Certificates then Outstanding have the right, at any time, to the extent permitted by law, to direct the Trustee to act or refrain from acting or to direct the manner or timing of any action by the Trustee under the Indenture or any Lease or Site Lease or to control any proceedings relating to the Indenture or any Lease or Site Lease; provided that such direction is not otherwise than in accordance with the provisions of the Indenture.  See Section 7.06 of the form of the Master Indenture </w:t>
      </w:r>
      <w:r w:rsidR="00F12A69">
        <w:t>attached in Appendix B hereto</w:t>
      </w:r>
      <w:r>
        <w:t xml:space="preserve">.  The interests of Owners of the Series </w:t>
      </w:r>
      <w:r w:rsidR="00480C95">
        <w:t>2020R</w:t>
      </w:r>
      <w:r>
        <w:t xml:space="preserve"> Certificates may vary from the interests of the Owners of other Series of Certificates for a variety of reasons.</w:t>
      </w:r>
    </w:p>
    <w:p w:rsidR="006123A1" w:rsidRDefault="006123A1" w:rsidP="00C53E1A">
      <w:pPr>
        <w:pStyle w:val="Heading2"/>
        <w:keepNext/>
      </w:pPr>
      <w:bookmarkStart w:id="48" w:name="_Toc56668377"/>
      <w:r>
        <w:t>Future Changes in Laws and Future Initiatives</w:t>
      </w:r>
      <w:bookmarkEnd w:id="48"/>
      <w:r>
        <w:t xml:space="preserve"> </w:t>
      </w:r>
    </w:p>
    <w:p w:rsidR="0042362F" w:rsidRDefault="006123A1" w:rsidP="0042362F">
      <w:pPr>
        <w:pStyle w:val="BodyText1"/>
        <w:keepNext/>
      </w:pPr>
      <w:r>
        <w:t>Various Colorado laws, including the Act, apply to the priority and allocation of rental income and royalties derived from State school lands, allocation of State lottery proceeds, availability of funds for appropriation by the State and other operations of the State.  In addition, State law allows voter initiatives meeting certain conditions to be placed on the ballot, which initiatives may involve statutory or constitutional amendments.  There is no assurance that there will not be future voter initiatives or changes in, interpretation of or additions to the applicable laws, provisions and regulations which would have a material effect, directly or indirectly, on the affairs of the State and its funds.</w:t>
      </w:r>
    </w:p>
    <w:p w:rsidR="0042362F" w:rsidRDefault="0042362F" w:rsidP="0042362F">
      <w:pPr>
        <w:pStyle w:val="Heading2"/>
      </w:pPr>
      <w:bookmarkStart w:id="49" w:name="_Toc52470330"/>
      <w:bookmarkStart w:id="50" w:name="_Toc52527948"/>
      <w:bookmarkStart w:id="51" w:name="_Toc56668378"/>
      <w:r>
        <w:t>Cyber Security Risks</w:t>
      </w:r>
      <w:bookmarkEnd w:id="49"/>
      <w:bookmarkEnd w:id="50"/>
      <w:bookmarkEnd w:id="51"/>
    </w:p>
    <w:p w:rsidR="0042362F" w:rsidRDefault="0042362F" w:rsidP="00406305">
      <w:pPr>
        <w:pStyle w:val="BodyText1"/>
      </w:pPr>
      <w:r w:rsidRPr="00371BEA">
        <w:t xml:space="preserve">The State, like other large public and private entities, relies on a large and complex technology environment to conduct its operations. </w:t>
      </w:r>
      <w:r>
        <w:t xml:space="preserve"> </w:t>
      </w:r>
      <w:r w:rsidRPr="00371BEA">
        <w:t xml:space="preserve">As a recipient and provider of personal, private or sensitive information, the State is a potential target for a variety of cyber threats, including, but not limited to, hacking, viruses, malware and other attacks on computer and other sensitive digital networks and systems. </w:t>
      </w:r>
      <w:r>
        <w:t xml:space="preserve"> </w:t>
      </w:r>
      <w:r w:rsidRPr="00371BEA">
        <w:t>Entities or individuals may attempt to gain unauthorized access to the State</w:t>
      </w:r>
      <w:r>
        <w:t>’</w:t>
      </w:r>
      <w:r w:rsidRPr="00371BEA">
        <w:t xml:space="preserve">s digital systems for the purposes of misappropriating assets or information or causing operational disruption and damage. </w:t>
      </w:r>
      <w:r>
        <w:t xml:space="preserve"> </w:t>
      </w:r>
      <w:r w:rsidRPr="00371BEA">
        <w:t>Recognizing the potential damage that could be caused by any such attacks, the State has established the Governor</w:t>
      </w:r>
      <w:r>
        <w:t>’</w:t>
      </w:r>
      <w:r w:rsidRPr="00371BEA">
        <w:t xml:space="preserve">s Office of Information </w:t>
      </w:r>
      <w:r>
        <w:t>Technology</w:t>
      </w:r>
      <w:r w:rsidRPr="00371BEA">
        <w:t xml:space="preserve"> (</w:t>
      </w:r>
      <w:r>
        <w:t>“</w:t>
      </w:r>
      <w:r w:rsidRPr="0042362F">
        <w:t>OIT</w:t>
      </w:r>
      <w:r>
        <w:t>”</w:t>
      </w:r>
      <w:r w:rsidRPr="00371BEA">
        <w:t>) as the single source for the State</w:t>
      </w:r>
      <w:r>
        <w:t>’</w:t>
      </w:r>
      <w:r w:rsidRPr="00371BEA">
        <w:t xml:space="preserve">s cybersecurity readiness and awareness. </w:t>
      </w:r>
      <w:r>
        <w:t xml:space="preserve"> </w:t>
      </w:r>
      <w:r w:rsidRPr="00371BEA">
        <w:t>The OIT has promulgated a series of policies and standards for State agencies and information security and provides mandatory training for State employees except those in the Department of Law, who receive training from the Department</w:t>
      </w:r>
      <w:r>
        <w:t>’</w:t>
      </w:r>
      <w:r w:rsidRPr="00371BEA">
        <w:t xml:space="preserve">s own cybersecurity specialist due to the nature of the work performed by that Department. </w:t>
      </w:r>
      <w:r>
        <w:t xml:space="preserve"> </w:t>
      </w:r>
      <w:r w:rsidRPr="00371BEA">
        <w:t xml:space="preserve">In addition, the State has procured insurance coverage for data breaches and other security and privacy incidents. </w:t>
      </w:r>
      <w:r>
        <w:t xml:space="preserve"> </w:t>
      </w:r>
      <w:r w:rsidRPr="00371BEA">
        <w:t xml:space="preserve">The State does not believe that any material security breaches to its digital systems have occurred over the past 12-18 months, although employee computers at the Colorado Department of Transportation were the subject of a ransomware attack in February 2018. </w:t>
      </w:r>
      <w:r>
        <w:t xml:space="preserve"> </w:t>
      </w:r>
      <w:r w:rsidRPr="00371BEA">
        <w:t>Nevertheless, no assurance can be given that the State</w:t>
      </w:r>
      <w:r>
        <w:t>’</w:t>
      </w:r>
      <w:r w:rsidRPr="00371BEA">
        <w:t>s efforts to manage cyber threats and attacks will be successful or that any such attack will not materially impact the operations or finances</w:t>
      </w:r>
      <w:r>
        <w:t xml:space="preserve"> of the State.</w:t>
      </w:r>
    </w:p>
    <w:p w:rsidR="00406305" w:rsidRDefault="00406305">
      <w:pPr>
        <w:spacing w:after="160" w:line="259" w:lineRule="auto"/>
        <w:jc w:val="left"/>
        <w:rPr>
          <w:rFonts w:ascii="Times New Roman Bold" w:eastAsiaTheme="majorEastAsia" w:hAnsi="Times New Roman Bold" w:cstheme="majorBidi"/>
          <w:b/>
          <w:sz w:val="24"/>
          <w:szCs w:val="26"/>
        </w:rPr>
      </w:pPr>
      <w:bookmarkStart w:id="52" w:name="_Toc52527950"/>
      <w:r>
        <w:br w:type="page"/>
      </w:r>
    </w:p>
    <w:p w:rsidR="006E4AB9" w:rsidRPr="00F160DF" w:rsidRDefault="006E4AB9" w:rsidP="00406305">
      <w:pPr>
        <w:pStyle w:val="Heading2"/>
        <w:numPr>
          <w:ilvl w:val="1"/>
          <w:numId w:val="3"/>
        </w:numPr>
        <w:jc w:val="both"/>
      </w:pPr>
      <w:bookmarkStart w:id="53" w:name="_Toc56668379"/>
      <w:r w:rsidRPr="00F160DF">
        <w:t>Secondary Market</w:t>
      </w:r>
      <w:bookmarkEnd w:id="52"/>
      <w:bookmarkEnd w:id="53"/>
    </w:p>
    <w:p w:rsidR="006E4AB9" w:rsidRDefault="006E4AB9" w:rsidP="00406305">
      <w:pPr>
        <w:pStyle w:val="BodyText1"/>
      </w:pPr>
      <w:r>
        <w:t>While the Underwriters expect, insofar as possible, to maintain a secondary market in the Series 2020R Certificates, no assurance can be given concerning the future existence of such a secondary market or its maintenance by the Underwriters or others, and prospective purchasers of the Series 2020R Certificates should therefore be prepared, if necessary, to hold their Series 2020R Certificates to maturity or prior redemption, if any.</w:t>
      </w:r>
    </w:p>
    <w:p w:rsidR="006123A1" w:rsidRDefault="006123A1" w:rsidP="00E9473A">
      <w:pPr>
        <w:pStyle w:val="Heading1"/>
        <w:keepNext/>
      </w:pPr>
      <w:bookmarkStart w:id="54" w:name="_Toc56668380"/>
      <w:r>
        <w:t>THE STATE</w:t>
      </w:r>
      <w:bookmarkEnd w:id="54"/>
    </w:p>
    <w:p w:rsidR="006123A1" w:rsidRDefault="006123A1" w:rsidP="00E9473A">
      <w:pPr>
        <w:pStyle w:val="Heading2"/>
        <w:keepNext/>
      </w:pPr>
      <w:bookmarkStart w:id="55" w:name="_Toc56668381"/>
      <w:r>
        <w:t>General Profile</w:t>
      </w:r>
      <w:bookmarkEnd w:id="55"/>
    </w:p>
    <w:p w:rsidR="006123A1" w:rsidRDefault="006123A1" w:rsidP="00E9473A">
      <w:pPr>
        <w:pStyle w:val="BodyText1"/>
        <w:keepNext/>
      </w:pPr>
      <w:r>
        <w:t>Colorado became the 38</w:t>
      </w:r>
      <w:r w:rsidRPr="002F3EC5">
        <w:rPr>
          <w:vertAlign w:val="superscript"/>
        </w:rPr>
        <w:t>th</w:t>
      </w:r>
      <w:r>
        <w:t xml:space="preserve"> state of the United States of America when it was admitted to the union in 1876.  Its borders encompass 103,718 square miles of the high plains and the Rocky Mountains, with elevations ranging from 3,315 to 14,433 feet above sea level.  The current population of the State is approximately 5.5 million.  The State</w:t>
      </w:r>
      <w:r w:rsidR="00A06786">
        <w:t>’</w:t>
      </w:r>
      <w:r>
        <w:t xml:space="preserve">s major economic sectors include agriculture, professional and business services, manufacturing, technology, tourism, energy production and mining.  Considerable economic activity is generated in support of these sectors by government, wholesale and retail trade, transportation, communications, public utilities, finance, insurance, real estate and other services.  See also </w:t>
      </w:r>
      <w:r w:rsidR="00A06786">
        <w:t>“</w:t>
      </w:r>
      <w:r>
        <w:t>APPENDIX A – STATE OF COLORADO COMPREHENSIVE ANNUAL FINANCIAL REPORT FOR THE</w:t>
      </w:r>
      <w:r w:rsidR="008644E6">
        <w:t xml:space="preserve"> FISCAL YEAR ENDED JUNE 30, 2019</w:t>
      </w:r>
      <w:r w:rsidR="00A06786">
        <w:t>”</w:t>
      </w:r>
      <w:r w:rsidR="00D646CF">
        <w:t xml:space="preserve"> </w:t>
      </w:r>
      <w:r w:rsidR="00D30499">
        <w:t>AND STATE OF COLORADO UNAUDITED BASIC FINANCIAL STATEMENTS FOR THE</w:t>
      </w:r>
      <w:r w:rsidR="008644E6">
        <w:t xml:space="preserve"> FISCAL YEAR ENDED JUNE 30, 2020</w:t>
      </w:r>
      <w:r>
        <w:t xml:space="preserve"> and </w:t>
      </w:r>
      <w:r w:rsidR="00A06786">
        <w:t>“</w:t>
      </w:r>
      <w:r>
        <w:t>APPENDIX I – CERTAIN STATE ECONOMIC AND DEMOGRAPHIC INFORMATION</w:t>
      </w:r>
      <w:r w:rsidR="00A06786">
        <w:t>”</w:t>
      </w:r>
      <w:r>
        <w:t xml:space="preserve"> for additional information about the State.</w:t>
      </w:r>
    </w:p>
    <w:p w:rsidR="006123A1" w:rsidRDefault="006123A1" w:rsidP="003A3DD0">
      <w:pPr>
        <w:pStyle w:val="Heading2"/>
      </w:pPr>
      <w:bookmarkStart w:id="56" w:name="_Toc56668382"/>
      <w:r>
        <w:t>Organization</w:t>
      </w:r>
      <w:bookmarkEnd w:id="56"/>
    </w:p>
    <w:p w:rsidR="006123A1" w:rsidRDefault="006123A1" w:rsidP="00F93C9E">
      <w:pPr>
        <w:pStyle w:val="BodyText1"/>
      </w:pPr>
      <w:r>
        <w:t>The State maintains a separation of powers utilizing three branches of government: executive, legislative and judicial.  The executive branch comprises four major elected officials: the Governor, State Treasurer, Attorney General and Secretary of State.  The chief executive power is allocated to the Governor, who has responsibility for administering the budget and managing the executive branch.  The State Constitution empowers the General Assembly to establish up to 20 principal departments in the executive branch.  Most departments of the State report directly to the Governor; however, the Departments of Treasury, Law and State report to their respective elected officials, and the Department of Education reports to the elected State Board of Education.  The elected officials serve four-year terms.  The current term of such offici</w:t>
      </w:r>
      <w:r w:rsidR="008644E6">
        <w:t>als commenced in January of 2019</w:t>
      </w:r>
      <w:r>
        <w:t xml:space="preserve"> (following the general e</w:t>
      </w:r>
      <w:r w:rsidR="008644E6">
        <w:t>lection held in November of 2018</w:t>
      </w:r>
      <w:r>
        <w:t>) and will expire on the s</w:t>
      </w:r>
      <w:r w:rsidR="008644E6">
        <w:t>econd Tuesday in January of 2023</w:t>
      </w:r>
      <w:r>
        <w:t>.  No elected executive official may serve more than two consecutive terms in the same office.</w:t>
      </w:r>
    </w:p>
    <w:p w:rsidR="006123A1" w:rsidRDefault="006123A1" w:rsidP="00F93C9E">
      <w:pPr>
        <w:pStyle w:val="BodyText1"/>
      </w:pPr>
      <w:r>
        <w:t>The General Assembly is bicameral, consisting of the 35-member Senate and 65-member House of Representatives.  Senators serve a term of four years and representatives serve a term of two years.  No senator may serve more than two consecutive terms, and no representative may serve more than four consecutive terms.  The State Constitution allocates to the General Assembly legislative responsibility for, among other things, appropriating State moneys to pay the expenses of State government.  The General Assembly meets annually in regular session beginning no later than the second Wednesday of January of each year.  Regular sessions may not exceed 120 calendar days.  Special sessions may be convened by proclamation of the Governor or by written request of two-thirds of the members of each house to consider only those subjects for which the special session is requested.</w:t>
      </w:r>
    </w:p>
    <w:p w:rsidR="006123A1" w:rsidRDefault="006123A1" w:rsidP="00C53E1A">
      <w:pPr>
        <w:pStyle w:val="Heading1"/>
        <w:keepNext/>
      </w:pPr>
      <w:bookmarkStart w:id="57" w:name="_Toc56668383"/>
      <w:r>
        <w:t>STATE FINANCIAL INFORMATION</w:t>
      </w:r>
      <w:bookmarkEnd w:id="57"/>
    </w:p>
    <w:p w:rsidR="006123A1" w:rsidRDefault="006123A1" w:rsidP="00890CBC">
      <w:pPr>
        <w:pStyle w:val="BodyText1"/>
      </w:pPr>
      <w:r>
        <w:t xml:space="preserve">It is important for prospective investors to analyze the financial and overall status of the State, including the Assistance Fund and the State General Fund, in order to evaluate the likelihood of an Event of Default or an Event of Nonappropriation.  See </w:t>
      </w:r>
      <w:r w:rsidR="00A06786">
        <w:t>“</w:t>
      </w:r>
      <w:r>
        <w:t>SECURITY AND SOURCES OF PAYMENT</w:t>
      </w:r>
      <w:r w:rsidR="00A06786">
        <w:t>”</w:t>
      </w:r>
      <w:r>
        <w:t xml:space="preserve"> and </w:t>
      </w:r>
      <w:r w:rsidR="00A06786">
        <w:t>“</w:t>
      </w:r>
      <w:r>
        <w:t>CERTAIN RISK FACTORS.</w:t>
      </w:r>
      <w:r w:rsidR="00A06786">
        <w:t>”</w:t>
      </w:r>
      <w:r>
        <w:t xml:space="preserve">  This section and the following section captioned </w:t>
      </w:r>
      <w:r w:rsidR="00A06786">
        <w:t>“</w:t>
      </w:r>
      <w:r>
        <w:t>DEBT AND CERTAIN OTHER FINANCIAL OBLIGATIONS</w:t>
      </w:r>
      <w:r w:rsidR="00A06786">
        <w:t>”</w:t>
      </w:r>
      <w:r>
        <w:t xml:space="preserve"> have been included to provide prospective purchasers with information relating to such matters.  See also </w:t>
      </w:r>
      <w:r w:rsidR="00A06786">
        <w:t>“</w:t>
      </w:r>
      <w:r>
        <w:t>APPENDIX A – STATE OF COLORADO COMPREHENSIVE ANNUAL FINANCIAL REPORT FOR THE</w:t>
      </w:r>
      <w:r w:rsidR="008644E6">
        <w:t xml:space="preserve"> FISCAL YEAR ENDED JUNE 30, 2019</w:t>
      </w:r>
      <w:r>
        <w:t>,</w:t>
      </w:r>
      <w:r w:rsidR="00A06786">
        <w:t>”</w:t>
      </w:r>
      <w:r>
        <w:t xml:space="preserve"> </w:t>
      </w:r>
      <w:r w:rsidR="00D30499">
        <w:t>AND STATE OF COLORADO UNAUDITED BASIC FINANCIAL STATEMENTS FOR THE</w:t>
      </w:r>
      <w:r w:rsidR="008644E6">
        <w:t xml:space="preserve"> FISCAL YEAR ENDED JUNE 30, 2020</w:t>
      </w:r>
      <w:r w:rsidR="00D30499">
        <w:t xml:space="preserve"> </w:t>
      </w:r>
      <w:r w:rsidR="00A06786">
        <w:t>“</w:t>
      </w:r>
      <w:r>
        <w:t>APPENDIX E – THE STATE GENERAL FUND,</w:t>
      </w:r>
      <w:r w:rsidR="00A06786">
        <w:t>”</w:t>
      </w:r>
      <w:r>
        <w:t xml:space="preserve"> </w:t>
      </w:r>
      <w:r w:rsidR="00A06786">
        <w:t>“</w:t>
      </w:r>
      <w:r>
        <w:t xml:space="preserve">APPENDIX F – </w:t>
      </w:r>
      <w:r w:rsidR="009B293F">
        <w:t>OSPB SEPTEMBER 2020</w:t>
      </w:r>
      <w:r>
        <w:t xml:space="preserve"> REVENUE FORECAST,</w:t>
      </w:r>
      <w:r w:rsidR="00A06786">
        <w:t>”</w:t>
      </w:r>
      <w:r>
        <w:t xml:space="preserve"> </w:t>
      </w:r>
      <w:r w:rsidR="00A06786">
        <w:t>“</w:t>
      </w:r>
      <w:r>
        <w:t>APPENDIX G – PUBLIC SCHOOL CAPITAL CONSTRUCTION ASSISTANCE FUND,</w:t>
      </w:r>
      <w:r w:rsidR="00A06786">
        <w:t>”</w:t>
      </w:r>
      <w:r>
        <w:t xml:space="preserve"> </w:t>
      </w:r>
      <w:r w:rsidR="00A06786">
        <w:t>“</w:t>
      </w:r>
      <w:r>
        <w:t>APPENDIX I – CERTAIN STATE ECONOMIC AND DEMOGRAPHIC INFORMATION</w:t>
      </w:r>
      <w:r w:rsidR="00A06786">
        <w:t>”</w:t>
      </w:r>
      <w:r>
        <w:t xml:space="preserve"> and </w:t>
      </w:r>
      <w:r w:rsidR="00A06786">
        <w:t>“</w:t>
      </w:r>
      <w:r>
        <w:t>APPENDIX J – STATE PENSION SYSTEM.</w:t>
      </w:r>
      <w:r w:rsidR="00A06786">
        <w:t>”</w:t>
      </w:r>
      <w:r>
        <w:t xml:space="preserve">  With the exception of the State economic and demographic information, has been provided by Development Research Partners, the information in these sections and appendices has been provided by the State.</w:t>
      </w:r>
      <w:r w:rsidR="0026412C">
        <w:t xml:space="preserve">  Unless otherwise noted, historical financial, economic, and demographic data contained herein does not reflect the impact of COVID-19.</w:t>
      </w:r>
    </w:p>
    <w:p w:rsidR="006123A1" w:rsidRDefault="006123A1" w:rsidP="00890CBC">
      <w:pPr>
        <w:pStyle w:val="Heading2"/>
        <w:keepNext/>
      </w:pPr>
      <w:bookmarkStart w:id="58" w:name="_Toc56668384"/>
      <w:r>
        <w:t>The State Treasurer</w:t>
      </w:r>
      <w:bookmarkEnd w:id="58"/>
    </w:p>
    <w:p w:rsidR="006123A1" w:rsidRDefault="006123A1" w:rsidP="00890CBC">
      <w:pPr>
        <w:pStyle w:val="BodyText1"/>
        <w:keepNext/>
      </w:pPr>
      <w:r>
        <w:t>The State Constitution provides that the State Treasurer is to be the custodian of public funds in the State Treasurer</w:t>
      </w:r>
      <w:r w:rsidR="00A06786">
        <w:t>’</w:t>
      </w:r>
      <w:r>
        <w:t xml:space="preserve">s care, subject to legislative direction concerning safekeeping and management of such funds.  The State Treasurer is the head of the statutorily created Department of the Treasury (the </w:t>
      </w:r>
      <w:r w:rsidR="00A06786">
        <w:t>“</w:t>
      </w:r>
      <w:r>
        <w:t>State Treasury</w:t>
      </w:r>
      <w:r w:rsidR="00A06786">
        <w:t>”</w:t>
      </w:r>
      <w:r>
        <w:t xml:space="preserve">), which receives all State moneys collected by or otherwise coming into the hands of any officer, department, institution or agency of the State (except certain institutions of higher education).  The State Treasurer deposits and disburses those moneys in the manner prescribed by law.  Every officer, department, institution and agency of the State (except for certain institutions of higher education) </w:t>
      </w:r>
      <w:r w:rsidR="008644E6">
        <w:t>charged</w:t>
      </w:r>
      <w:r>
        <w:t xml:space="preserve"> with the responsibility of collecting taxes, licenses, fees and permits imposed by law and of collecting or accepting tuition, rentals, receipts from the sale of property and other moneys accruing to the State from any source is required to transmit those moneys to the State Treasury under procedures prescribed by law or by fiscal rules promulgated by the Office of the State Controller (the </w:t>
      </w:r>
      <w:r w:rsidR="00A06786">
        <w:t>“</w:t>
      </w:r>
      <w:r>
        <w:t>State Controller</w:t>
      </w:r>
      <w:r w:rsidR="00A06786">
        <w:t>”</w:t>
      </w:r>
      <w:r>
        <w:t>).  The State Treasurer and the State Controller may authorize any department, institution or agency collecting or receiving State moneys to deposit such moneys to a depository to the State Treasurer</w:t>
      </w:r>
      <w:r w:rsidR="00A06786">
        <w:t>’</w:t>
      </w:r>
      <w:r>
        <w:t>s credit in lieu of transmitting such moneys to the State Treasury.</w:t>
      </w:r>
    </w:p>
    <w:p w:rsidR="006123A1" w:rsidRDefault="006123A1" w:rsidP="00F93C9E">
      <w:pPr>
        <w:pStyle w:val="BodyText1"/>
      </w:pPr>
      <w:r>
        <w:t xml:space="preserve">The State Treasurer has discretion to invest in a broad range of interest bearing securities described by statute.  See </w:t>
      </w:r>
      <w:r w:rsidR="00A06786">
        <w:t>“</w:t>
      </w:r>
      <w:r>
        <w:t>Investment and Deposit of State Funds</w:t>
      </w:r>
      <w:r w:rsidR="00A06786">
        <w:t>”</w:t>
      </w:r>
      <w:r>
        <w:t xml:space="preserve"> in this section and </w:t>
      </w:r>
      <w:r w:rsidR="00A06786">
        <w:t>“</w:t>
      </w:r>
      <w:r>
        <w:t>APPENDIX E – THE STATE GENERAL FUND – Investment of the State Pool.</w:t>
      </w:r>
      <w:r w:rsidR="00A06786">
        <w:t>”</w:t>
      </w:r>
      <w:r>
        <w:t xml:space="preserve">  All interest derived from the deposit and investment of State moneys must be credited to the General Fund unless otherwise expressly provided by law.</w:t>
      </w:r>
    </w:p>
    <w:p w:rsidR="006123A1" w:rsidRDefault="006123A1" w:rsidP="003A3DD0">
      <w:pPr>
        <w:pStyle w:val="Heading2"/>
      </w:pPr>
      <w:bookmarkStart w:id="59" w:name="_Toc56668385"/>
      <w:r>
        <w:t>Taxpayer</w:t>
      </w:r>
      <w:r w:rsidR="00A06786">
        <w:t>’</w:t>
      </w:r>
      <w:r>
        <w:t>s Bill of Rights</w:t>
      </w:r>
      <w:bookmarkEnd w:id="59"/>
    </w:p>
    <w:p w:rsidR="006123A1" w:rsidRDefault="006123A1" w:rsidP="00F93C9E">
      <w:pPr>
        <w:pStyle w:val="BodyText1"/>
      </w:pPr>
      <w:r w:rsidRPr="005B07C7">
        <w:rPr>
          <w:b/>
          <w:i/>
        </w:rPr>
        <w:t>General</w:t>
      </w:r>
      <w:r>
        <w:t>.  Article X, Section 20 of the State Constitution, entitled the Taxpayer</w:t>
      </w:r>
      <w:r w:rsidR="00A06786">
        <w:t>’</w:t>
      </w:r>
      <w:r>
        <w:t xml:space="preserve">s Bill of Rights and commonly known as </w:t>
      </w:r>
      <w:r w:rsidR="00A06786">
        <w:t>“</w:t>
      </w:r>
      <w:r>
        <w:t>TABOR,</w:t>
      </w:r>
      <w:r w:rsidR="00A06786">
        <w:t>”</w:t>
      </w:r>
      <w:r>
        <w:t xml:space="preserve"> imposes various fiscal limits and requirements on the State and its local governments, excluding </w:t>
      </w:r>
      <w:r w:rsidR="00A06786">
        <w:t>“</w:t>
      </w:r>
      <w:r>
        <w:t>enterprises,</w:t>
      </w:r>
      <w:r w:rsidR="00A06786">
        <w:t>”</w:t>
      </w:r>
      <w:r>
        <w:t xml:space="preserve"> which are defined in TABOR as government-owned businesses authorized to issue their own revenue bonds and receiving less than 10% of their annual revenues in grants from all State and local governments combined.  Certain limitations contained in TABOR may be exceeded with prior voter approval.</w:t>
      </w:r>
    </w:p>
    <w:p w:rsidR="006123A1" w:rsidRDefault="006123A1" w:rsidP="00F93C9E">
      <w:pPr>
        <w:pStyle w:val="BodyText1"/>
      </w:pPr>
      <w:r>
        <w:t xml:space="preserve">TABOR provides a limitation on the amount of revenue that may be kept by the State in any particular Fiscal Year, regardless of whether that revenue is actually spent during the Fiscal Year.  This revenue limitation is effected through a limitation on </w:t>
      </w:r>
      <w:r w:rsidR="00A06786">
        <w:t>“</w:t>
      </w:r>
      <w:r>
        <w:t>fiscal year spending</w:t>
      </w:r>
      <w:r w:rsidR="00A06786">
        <w:t>”</w:t>
      </w:r>
      <w:r>
        <w:t xml:space="preserve"> as discussed hereafter.  Any revenue received during a Fiscal Year in excess of the limitations provided for in TABOR must be refunded to the taxpayers during the next Fiscal Year unless voters approve a revenue change.</w:t>
      </w:r>
    </w:p>
    <w:p w:rsidR="006123A1" w:rsidRDefault="006123A1" w:rsidP="00F93C9E">
      <w:pPr>
        <w:pStyle w:val="BodyText1"/>
      </w:pPr>
      <w:r>
        <w:t xml:space="preserve">TABOR also requires prior voter approval for the following, with certain exceptions: (i) any new State tax, State tax rate increase, extension of an expiring State tax or State tax policy change directly causing a net revenue gain to the State; or (ii) the creation of any State </w:t>
      </w:r>
      <w:r w:rsidR="00A06786">
        <w:t>“</w:t>
      </w:r>
      <w:r>
        <w:t>multiple fiscal year direct or indirect ... debt or other financial obligation.</w:t>
      </w:r>
      <w:r w:rsidR="00A06786">
        <w:t>”</w:t>
      </w:r>
    </w:p>
    <w:p w:rsidR="006123A1" w:rsidRDefault="006123A1" w:rsidP="00F93C9E">
      <w:pPr>
        <w:pStyle w:val="BodyText1"/>
      </w:pPr>
      <w:r>
        <w:t xml:space="preserve"> TABOR </w:t>
      </w:r>
      <w:r w:rsidR="008644E6">
        <w:t xml:space="preserve">further </w:t>
      </w:r>
      <w:r>
        <w:t xml:space="preserve">requires the State to maintain an emergency reserve equal to 3% of its fiscal year spending (the </w:t>
      </w:r>
      <w:r w:rsidR="00A06786">
        <w:t>“</w:t>
      </w:r>
      <w:r>
        <w:t>TABOR Reserve</w:t>
      </w:r>
      <w:r w:rsidR="00A06786">
        <w:t>”</w:t>
      </w:r>
      <w:r>
        <w:t xml:space="preserve">), which may be expended only upon: (i) the declaration of a State emergency by passage of a joint resolution approved by a two-thirds majority of the members of both houses of the General Assembly and subsequently approved by the Governor; or (ii) the declaration of a disaster emergency by the Governor.  The annual Long Appropriation Bill (the </w:t>
      </w:r>
      <w:r w:rsidR="00A06786">
        <w:t>“</w:t>
      </w:r>
      <w:r>
        <w:t>Long Bill</w:t>
      </w:r>
      <w:r w:rsidR="00A06786">
        <w:t>”</w:t>
      </w:r>
      <w:r>
        <w:t>) designates the resources that constitute the TABOR Reserve, which historically have consisted of portions of various State funds plus certain State real property.  The amounts of the TABO</w:t>
      </w:r>
      <w:r w:rsidR="0039766E">
        <w:t>R Reserve for Fiscal Years 20</w:t>
      </w:r>
      <w:r w:rsidR="006E4AB9">
        <w:t>20-21</w:t>
      </w:r>
      <w:r w:rsidR="00CC512C">
        <w:t xml:space="preserve"> and 2021-22</w:t>
      </w:r>
      <w:r>
        <w:t xml:space="preserve"> have been estimated in the </w:t>
      </w:r>
      <w:r w:rsidR="009B293F">
        <w:t>OSPB September 2020</w:t>
      </w:r>
      <w:r>
        <w:t xml:space="preserve"> Revenue Forecast to be $4</w:t>
      </w:r>
      <w:r w:rsidR="00CC512C">
        <w:t>24.2</w:t>
      </w:r>
      <w:r>
        <w:t xml:space="preserve"> million and $4</w:t>
      </w:r>
      <w:r w:rsidR="00CC512C">
        <w:t>44.1</w:t>
      </w:r>
      <w:r>
        <w:t xml:space="preserve"> million, respectively.</w:t>
      </w:r>
    </w:p>
    <w:p w:rsidR="006123A1" w:rsidRDefault="006123A1" w:rsidP="00F93C9E">
      <w:pPr>
        <w:pStyle w:val="BodyText1"/>
      </w:pPr>
      <w:r w:rsidRPr="005B07C7">
        <w:rPr>
          <w:b/>
          <w:i/>
        </w:rPr>
        <w:t>Fiscal Year Revenue and Spending Limits; Referendum C</w:t>
      </w:r>
      <w:r>
        <w:t>.  As noted above, unless otherwise approved by the voters, TABOR limits annual increases in State revenues and fiscal year spending, with any excess revenues required to be refunded to taxpayers.  Fiscal year spending is defined as all expenditures and reserve increases except those for refunds made in the current or next Fiscal Year or those from gifts, federal funds, collections for another government, pension contributions by employees and pension fund earnings, reserve transfers or expenditures, damage awards or property tax sales.</w:t>
      </w:r>
    </w:p>
    <w:p w:rsidR="00CC512C" w:rsidRDefault="006123A1" w:rsidP="00CC512C">
      <w:pPr>
        <w:pStyle w:val="BodyText1"/>
      </w:pPr>
      <w:r>
        <w:t xml:space="preserve">The maximum annual percentage change in State fiscal year spending is limited by TABOR to inflation (determined as the percentage change in U.S. Bureau of Labor Statistics Consumer Price Index for Denver, Boulder and Greeley, all items, all urban consumers, or its successor index) plus the percentage change in State population in the prior calendar year, adjusted for revenue changes approved by voters after 1991, being the base year for calculating fiscal year spending.  </w:t>
      </w:r>
      <w:r w:rsidR="00CC512C">
        <w:t>The operation of TABOR created State budget challenges in the early years following its passage, and in 2005 several measures were passed by the General Assembly in an effort to address these challenges, including one, designated “Referendum C,” that was submitted to and approved by State voters and thereafter codified as Sections</w:t>
      </w:r>
      <w:r w:rsidR="00C6272C">
        <w:t xml:space="preserve"> 24-77-103.6, C.R.S. </w:t>
      </w:r>
      <w:r w:rsidR="00CC512C">
        <w:t xml:space="preserve">and </w:t>
      </w:r>
      <w:r w:rsidR="00C6272C">
        <w:t>24-77-</w:t>
      </w:r>
      <w:r w:rsidR="00CC512C">
        <w:t>106.5, C.R.S.  Referendum C authorized the State to retain and spend any amount in excess of the TABOR limit in Fiscal Years 2005-06 through 2009-10.  In addition, for Fiscal Years 2010-11 and thereafter, Referendum C created an Excess State Revenues Cap, or “ESRC,” as a voter­ approved revenue change under TABOR that now serves as the limit on the State’s fiscal year revenue retention.  The base for the ESRC was established as the highest annual State TABOR revenues received in Fiscal Years 2005-06 through 2009-10.  This amount, which was determined to be the revenues received in Fiscal Year 2007-08, is then adjusted for each subsequent Fiscal Year for inflation, the percentage change in State population, the qualification or disqualification of enterprises and debt service changes, each having their respective meanings under TABOR and other applicable State law.  However, per SB 17-267, the ESRC for Fiscal Year 2017-18 is an amount equal to (i) the ESRC for Fiscal Year 2016-17 calculated as provided above (ii) less $200 million.  For subsequent Fiscal Years, the ESRC is to be calculated as provided above utilizing the ESRC for Fiscal Year 2017-18 as the base amount.</w:t>
      </w:r>
    </w:p>
    <w:p w:rsidR="00CC512C" w:rsidRDefault="009A7B92" w:rsidP="00CC512C">
      <w:pPr>
        <w:pStyle w:val="BodyText1"/>
      </w:pPr>
      <w:r>
        <w:t>SB 17-267</w:t>
      </w:r>
      <w:r w:rsidR="00CC512C">
        <w:t xml:space="preserve"> also (i) terminated the Hospital Provider Fee program and implemented the Healthcare Affordability and Sustainability Fee, which fee is exempt from TABOR as it is collected by an enterprise created by SB 17-267 within the Department of Health</w:t>
      </w:r>
      <w:r>
        <w:t xml:space="preserve"> Care Policy and Financing; (ii</w:t>
      </w:r>
      <w:r w:rsidR="00CC512C">
        <w:t>) exempts retail marijuana from the 2.9% State sales tax, which results in less revenue subject to TABOR in Fiscal Years 2017-18 and thereaft</w:t>
      </w:r>
      <w:r w:rsidR="00163777">
        <w:t>er; and (iii</w:t>
      </w:r>
      <w:r w:rsidR="00CC512C">
        <w:t>) extends and expands the income tax credit for business personal property taxes paid, which is projected to reduce income tax collections in Fiscal Years 2018-19 and thereafter, but will be offset in part by the distribution of a portion of the special sales tax on retail marijuana sales to the General Fund on an ongoing basis.</w:t>
      </w:r>
    </w:p>
    <w:p w:rsidR="009A2D4E" w:rsidRDefault="009A2D4E" w:rsidP="009A2D4E">
      <w:pPr>
        <w:pStyle w:val="BodyText1"/>
      </w:pPr>
      <w:r>
        <w:t xml:space="preserve">As a result of Referendum C, the State was able to retain various amounts in excess of the previously applicable TABOR limit in Fiscal Years 2005-06 through 2013-14, and no refunds were required because such revenues were below the ESRC.  In Fiscal Year 2014-15, TABOR revenues exceeded the TABOR limit and resulted in the State being $150.0 million above the ESRC, thus triggering a TABOR refund.  TABOR revenues again exceeded the TABOR limit in Fiscal Years 2015-16 and 2016-17 but were </w:t>
      </w:r>
      <w:r w:rsidR="000E42DD">
        <w:t>below the ESRC.  I</w:t>
      </w:r>
      <w:r>
        <w:t>n Fiscal Year 2017-18, TABOR revenues exceeded the TABOR limit and resulted in the State being $18.5 million above the ESRC</w:t>
      </w:r>
      <w:r w:rsidR="000E42DD">
        <w:t xml:space="preserve">, and in Fiscal Year 2018-19, TABOR revenues exceeded the TABOR limit and resulted in the State being $428.3 million above the ESRC, in each case triggering a TABOR refund. In Fiscal Year 2019-20, TABOR revenues exceeded the TABOR limit, but were below the ESRC. </w:t>
      </w:r>
      <w:r>
        <w:t>The OSPB September 2020 Revenue Forecast states that TABOR revenues are not fore</w:t>
      </w:r>
      <w:r w:rsidR="000E42DD">
        <w:t>casted to exceed the ESRC</w:t>
      </w:r>
      <w:r>
        <w:t xml:space="preserve"> in Fiscal Years 2020-21 and 2021-22.</w:t>
      </w:r>
    </w:p>
    <w:p w:rsidR="00CC512C" w:rsidRDefault="009A2D4E" w:rsidP="00F75889">
      <w:pPr>
        <w:pStyle w:val="BodyText1"/>
      </w:pPr>
      <w:r>
        <w:t xml:space="preserve">SB 17-267 also changed the TABOR refund mechanisms. Under prior law, the means by which revenues in excess of the ESRC could be refunded to taxpayers included: (i) a sales tax refund to all taxpayers, (ii) the earned income tax credit to qualified taxpayers and (iii) a temporary income tax rate reduction, the particular refund mechanism used to be determined by the amount that needs to be refunded. Per SB 17-267, beginning with Fiscal Year 2017-18, there is added as the first refund mechanism the amount reimbursed by the State Treasurer to county treasurers in the year of the TABOR refund for local property tax revenue losses attributable to the property tax exemptions for qualifying seniors and disabled veterans.  See also </w:t>
      </w:r>
      <w:r w:rsidRPr="00F75889">
        <w:t>Appendix E</w:t>
      </w:r>
      <w:r>
        <w:t xml:space="preserve"> – “THE STATE GENERAL FUND – General Fund Overview.”</w:t>
      </w:r>
    </w:p>
    <w:p w:rsidR="006123A1" w:rsidRDefault="006123A1" w:rsidP="00F93C9E">
      <w:pPr>
        <w:pStyle w:val="BodyText1"/>
      </w:pPr>
      <w:r>
        <w:t xml:space="preserve">Referendum C also creates the </w:t>
      </w:r>
      <w:r w:rsidR="00A06786">
        <w:t>“</w:t>
      </w:r>
      <w:r>
        <w:t>General Fund Exempt Account</w:t>
      </w:r>
      <w:r w:rsidR="00A06786">
        <w:t>”</w:t>
      </w:r>
      <w:r>
        <w:t xml:space="preserve"> within the General Fund, to which there is to be credited moneys equal to the amount of TABOR revenues in excess of the TABOR limit that the State retains for a given Fiscal Year pursuant to Referendum C.  Such moneys may be appropriated or transferred by the General Assembly for the purposes of: (i) health care; (ii) public elementary, high school and higher education, including any related capital construction; (iii) retirement plans for firefighters and police officers if the General Assembly determines such funding to be necessary; and (iv) strategic transportation projects in the Colorado Department of Transportation Strategic Transportation Project Investment Program.</w:t>
      </w:r>
    </w:p>
    <w:p w:rsidR="006123A1" w:rsidRDefault="006123A1" w:rsidP="00F93C9E">
      <w:pPr>
        <w:pStyle w:val="BodyText1"/>
      </w:pPr>
      <w:r w:rsidRPr="008D7ED3">
        <w:rPr>
          <w:b/>
          <w:i/>
        </w:rPr>
        <w:t>V</w:t>
      </w:r>
      <w:r w:rsidRPr="005B07C7">
        <w:rPr>
          <w:b/>
          <w:i/>
        </w:rPr>
        <w:t>oter Approval to Retain and Spend Certain Marijuana Taxes Associated with Proposition AA</w:t>
      </w:r>
      <w:r>
        <w:t>.  At the general election held on November 3, 2015, the State</w:t>
      </w:r>
      <w:r w:rsidR="00A06786">
        <w:t>’</w:t>
      </w:r>
      <w:r>
        <w:t>s voters authorized the State to retain and spend $66.1 million in sales and excise taxes on the sale of marijuana and marijuana products (</w:t>
      </w:r>
      <w:r w:rsidR="00A06786">
        <w:t>“</w:t>
      </w:r>
      <w:r>
        <w:t>Marijuana Taxes</w:t>
      </w:r>
      <w:r w:rsidR="00A06786">
        <w:t>”</w:t>
      </w:r>
      <w:r>
        <w:t>) authorized by Proposition AA approved by the State</w:t>
      </w:r>
      <w:r w:rsidR="00A06786">
        <w:t>’</w:t>
      </w:r>
      <w:r>
        <w:t>s voters in November of 2013 that otherwise would have been subject to a required refund t</w:t>
      </w:r>
      <w:r w:rsidR="00FF1476">
        <w:t>o taxpayers in Fiscal Year 2015-</w:t>
      </w:r>
      <w:r>
        <w:t>16 pursuant to TABOR.  House Bill (</w:t>
      </w:r>
      <w:r w:rsidR="00A06786">
        <w:t>“</w:t>
      </w:r>
      <w:r>
        <w:t>HB</w:t>
      </w:r>
      <w:r w:rsidR="00A06786">
        <w:t>”</w:t>
      </w:r>
      <w:r>
        <w:t>) 15-1367, which referred the measure to the State</w:t>
      </w:r>
      <w:r w:rsidR="00A06786">
        <w:t>’</w:t>
      </w:r>
      <w:r>
        <w:t xml:space="preserve">s voters (Proposition BB), also provides for the allocation of the retained amount for public school capital construction, for various purposes such as law enforcement, youth programs and marijuana education and prevention programs and for use by the General Fund for any purpose.  For more information on how these amounts are treated in the General Fund, see the discussion in </w:t>
      </w:r>
      <w:r w:rsidR="00A06786">
        <w:t>“</w:t>
      </w:r>
      <w:r>
        <w:t>General Fund and State Education Fund Budget</w:t>
      </w:r>
      <w:r w:rsidR="00A06786">
        <w:t>”</w:t>
      </w:r>
      <w:r>
        <w:t xml:space="preserve"> in the </w:t>
      </w:r>
      <w:r w:rsidR="009B293F">
        <w:t>OSPB September 2020</w:t>
      </w:r>
      <w:r>
        <w:t xml:space="preserve"> Revenue Forecast.  SB 17-267 increased the special sales tax on retail marijuana sales from 10% to 15% effective July 1, 2017.</w:t>
      </w:r>
    </w:p>
    <w:p w:rsidR="006123A1" w:rsidRDefault="006123A1" w:rsidP="00F93C9E">
      <w:pPr>
        <w:pStyle w:val="BodyText1"/>
      </w:pPr>
      <w:r w:rsidRPr="005B07C7">
        <w:rPr>
          <w:b/>
          <w:i/>
        </w:rPr>
        <w:t>Effect of TABOR on the Certificates</w:t>
      </w:r>
      <w:r>
        <w:t>.  Voter approval under TABOR is not required for the execution and delivery of the Certificates because the State</w:t>
      </w:r>
      <w:r w:rsidR="00A06786">
        <w:t>’</w:t>
      </w:r>
      <w:r>
        <w:t xml:space="preserve">s obligations under the Lease are payable within any Fiscal Year only if amounts for such payments have been appropriated for such Fiscal Year.  Therefore, such obligations are not a </w:t>
      </w:r>
      <w:r w:rsidR="00A06786">
        <w:t>“</w:t>
      </w:r>
      <w:r>
        <w:t>multiple fiscal year direct or indirect ... debt or other financial obligation</w:t>
      </w:r>
      <w:r w:rsidR="00A06786">
        <w:t>”</w:t>
      </w:r>
      <w:r>
        <w:t xml:space="preserve"> within the meaning of TABOR.</w:t>
      </w:r>
    </w:p>
    <w:p w:rsidR="006123A1" w:rsidRDefault="006123A1" w:rsidP="003A3DD0">
      <w:pPr>
        <w:pStyle w:val="Heading2"/>
      </w:pPr>
      <w:bookmarkStart w:id="60" w:name="_Toc56668386"/>
      <w:r>
        <w:t>State Funds</w:t>
      </w:r>
      <w:bookmarkEnd w:id="60"/>
    </w:p>
    <w:p w:rsidR="006123A1" w:rsidRDefault="006123A1" w:rsidP="005B07C7">
      <w:pPr>
        <w:pStyle w:val="BodyText1"/>
        <w:keepNext/>
      </w:pPr>
      <w:r>
        <w:t xml:space="preserve">The principal operating fund of the State is the General Fund.  All revenues and moneys not required by the State Constitution or statutes to be credited and paid into a special State fund are required to be credited and paid into the General Fund.  The State also maintains several statutorily created special funds for which specific revenues are designated for specific purposes.  See </w:t>
      </w:r>
      <w:r w:rsidR="00A06786">
        <w:t>“</w:t>
      </w:r>
      <w:r>
        <w:t>APPENDIX E – THE STATE GENERAL FUND</w:t>
      </w:r>
      <w:r w:rsidR="00A06786">
        <w:t>”</w:t>
      </w:r>
      <w:r>
        <w:t xml:space="preserve"> and </w:t>
      </w:r>
      <w:r w:rsidR="00A06786">
        <w:t>“</w:t>
      </w:r>
      <w:r>
        <w:t xml:space="preserve">APPENDIX F – </w:t>
      </w:r>
      <w:r w:rsidR="009B293F">
        <w:t>OSPB SEPTEMBER 2020</w:t>
      </w:r>
      <w:r>
        <w:t xml:space="preserve"> REVENUE FORECAST.</w:t>
      </w:r>
      <w:r w:rsidR="00A06786">
        <w:t>”</w:t>
      </w:r>
      <w:r>
        <w:t xml:space="preserve"> </w:t>
      </w:r>
    </w:p>
    <w:p w:rsidR="006123A1" w:rsidRDefault="006123A1" w:rsidP="003A3DD0">
      <w:pPr>
        <w:pStyle w:val="Heading2"/>
      </w:pPr>
      <w:bookmarkStart w:id="61" w:name="_Toc56668387"/>
      <w:r>
        <w:t>Budget Process and Other Considerations</w:t>
      </w:r>
      <w:bookmarkEnd w:id="61"/>
    </w:p>
    <w:p w:rsidR="006123A1" w:rsidRDefault="006123A1" w:rsidP="00F93C9E">
      <w:pPr>
        <w:pStyle w:val="BodyText1"/>
      </w:pPr>
      <w:r w:rsidRPr="005B07C7">
        <w:rPr>
          <w:b/>
          <w:i/>
        </w:rPr>
        <w:t>Phase I (Executive)</w:t>
      </w:r>
      <w:r>
        <w:t>.  The budget process begins in June of each year when State departments reporting to the Governor prepare both operating and capital budgets for the Fiscal Year beginning 13 months later.  In August, these budgets are submitted to the OSPB, a part of the Governor</w:t>
      </w:r>
      <w:r w:rsidR="00A06786">
        <w:t>’</w:t>
      </w:r>
      <w:r>
        <w:t xml:space="preserve">s office, for review and analysis.  The OSPB advises the Governor on departmental budget requests and overall budgetary status.  Budget decisions are made by the Governor following consultation with affected departments and the OSPB.  Such decisions are reflected in the first budget submitted in November for each department to the Joint Budget Committee of the General Assembly (the </w:t>
      </w:r>
      <w:r w:rsidR="00A06786">
        <w:t>“</w:t>
      </w:r>
      <w:r>
        <w:t>JBC</w:t>
      </w:r>
      <w:r w:rsidR="00A06786">
        <w:t>”</w:t>
      </w:r>
      <w:r>
        <w:t>), as described below.  In January, the Governor makes additional budget recommendations to the JBC for the budget of all branches of the State government, except that the elected executive officials, the judicial branch and the legislative branch may make recommendations to the JBC for their own budgets.</w:t>
      </w:r>
    </w:p>
    <w:p w:rsidR="006123A1" w:rsidRDefault="006123A1" w:rsidP="00F93C9E">
      <w:pPr>
        <w:pStyle w:val="BodyText1"/>
      </w:pPr>
      <w:r w:rsidRPr="005B07C7">
        <w:rPr>
          <w:b/>
          <w:i/>
        </w:rPr>
        <w:t>Phase II (Legislative)</w:t>
      </w:r>
      <w:r>
        <w:t>.  The JBC, consisting of three members from each house of the General Assembly, develops the legislative budget proposal embodied in the Long Bill, which is introduced in and approved by the General Assembly.  Following receipt of testimony by State departments and agencies, the JBC marks up the Long Bill and directs the manner in which appropriated funds are to be spent.  The Long Bill includes: (i) General Fund appropriations, supported by general purpose revenue such as taxes; (ii)</w:t>
      </w:r>
      <w:r w:rsidR="00AD71DB">
        <w:t> </w:t>
      </w:r>
      <w:r>
        <w:t xml:space="preserve">General Fund Exempt appropriations primarily funded by TABOR-exempt or excess TABOR revenues retained under Referendum C; (iii) cash fund appropriations supported primarily by grants, transfers and departmental </w:t>
      </w:r>
      <w:r w:rsidR="001B117D">
        <w:t>fees</w:t>
      </w:r>
      <w:r>
        <w:t xml:space="preserve"> for services; (iv) reappropriated amounts funded by transfers and earnings appropriated elsewhere in the Long Bill; and (v) estimates of federal funds to be expended that are not subject to legislative appropriation.  The Long Bill usually is reported to the General Assembly in March or April with a narrative text.  Under current practice, the Long Bill is reviewed and debated in party caucuses in each house.  Amendments may be offered by each house, and the JBC generally is designated as a conference committee to reconcile differences.  The Long Bill always has been adopted prior to commencement of the Fiscal Year in July.  Specific bills creating new programs or amending tax policy are considered separately from the Long Bill in the legislative process.  The General Assembly takes action on these specific bills, some of which include additional appropriations separate from the Long Bill.</w:t>
      </w:r>
    </w:p>
    <w:p w:rsidR="006123A1" w:rsidRDefault="006123A1" w:rsidP="00F93C9E">
      <w:pPr>
        <w:pStyle w:val="BodyText1"/>
      </w:pPr>
      <w:r w:rsidRPr="005B07C7">
        <w:rPr>
          <w:b/>
          <w:i/>
        </w:rPr>
        <w:t>Phase III (Executive)</w:t>
      </w:r>
      <w:r>
        <w:t>.  The Governor may approve or veto the Long Bill or any specific bills.  In addition, the Governor may veto line items in the Long Bill or any other bill that contains an appropriation.  The Governor</w:t>
      </w:r>
      <w:r w:rsidR="00A06786">
        <w:t>’</w:t>
      </w:r>
      <w:r>
        <w:t>s vetoes are subject to override by a two-thirds majority of each house of the General Assembly.</w:t>
      </w:r>
    </w:p>
    <w:p w:rsidR="006123A1" w:rsidRDefault="006123A1" w:rsidP="00F93C9E">
      <w:pPr>
        <w:pStyle w:val="BodyText1"/>
      </w:pPr>
      <w:r w:rsidRPr="005B07C7">
        <w:rPr>
          <w:b/>
          <w:i/>
        </w:rPr>
        <w:t>Phase IV (Legislative)</w:t>
      </w:r>
      <w:r>
        <w:t>.  During the Fiscal Year for which appropriations have been made, the General Assembly may increase or decrease appropriations through supplemental appropriations.  Any supplemental appropriations are considered amendments to the Long Bill and are subject to the line item veto of the Governor.</w:t>
      </w:r>
    </w:p>
    <w:p w:rsidR="006123A1" w:rsidRDefault="006123A1" w:rsidP="00F27774">
      <w:pPr>
        <w:pStyle w:val="BodyText1"/>
      </w:pPr>
      <w:r w:rsidRPr="005B07C7">
        <w:rPr>
          <w:b/>
          <w:i/>
        </w:rPr>
        <w:t>Revenues and Unappropriated Amounts</w:t>
      </w:r>
      <w:r>
        <w:t xml:space="preserve">.  For each Fiscal Year, a statutorily defined amount of unrestricted General Fund year-end balances is required to be retained as a reserve (as previously defined, the </w:t>
      </w:r>
      <w:r w:rsidR="00A06786">
        <w:t>“</w:t>
      </w:r>
      <w:r>
        <w:t>Unappropriated Reserve</w:t>
      </w:r>
      <w:r w:rsidR="00A06786">
        <w:t>”</w:t>
      </w:r>
      <w:r>
        <w:t>), which may be used for possible deficiencies in General Fund revenues.  Unrestricted General Fund revenues that exceed the required Unappropriated Reserve, based upon revenue estimates, are then available for appropriation, unless they are obligated by statute for another purpose.  In response to economic conditions and their effect on estimated General Fund revenues, the General Assembly periodically modifies the required amount of the Unappropriated Reserve.  Set forth in the following table are the Unappropriated Reserve requi</w:t>
      </w:r>
      <w:r w:rsidR="00F75889">
        <w:t>rements for Fiscal Years 2014-15</w:t>
      </w:r>
      <w:r>
        <w:t xml:space="preserve"> and thereafter.  See also </w:t>
      </w:r>
      <w:r w:rsidR="00A06786">
        <w:t>“</w:t>
      </w:r>
      <w:r>
        <w:t>APPENDIX E – THE STATE GENERAL FUND – General Fund Overview.</w:t>
      </w:r>
      <w:r w:rsidR="00A06786">
        <w:t>”</w:t>
      </w:r>
      <w:r>
        <w:t xml:space="preserve">  </w:t>
      </w:r>
    </w:p>
    <w:p w:rsidR="005B07C7" w:rsidRPr="004D72DD" w:rsidRDefault="005B07C7" w:rsidP="00F27774">
      <w:pPr>
        <w:jc w:val="center"/>
        <w:rPr>
          <w:b/>
          <w:sz w:val="20"/>
        </w:rPr>
      </w:pPr>
      <w:r w:rsidRPr="004D72DD">
        <w:rPr>
          <w:b/>
          <w:sz w:val="20"/>
        </w:rPr>
        <w:t>State of Colorado</w:t>
      </w:r>
    </w:p>
    <w:p w:rsidR="005B07C7" w:rsidRPr="004D72DD" w:rsidRDefault="005B07C7" w:rsidP="00F27774">
      <w:pPr>
        <w:spacing w:after="120"/>
        <w:jc w:val="center"/>
        <w:rPr>
          <w:b/>
          <w:sz w:val="20"/>
        </w:rPr>
      </w:pPr>
      <w:r w:rsidRPr="004D72DD">
        <w:rPr>
          <w:b/>
          <w:sz w:val="20"/>
        </w:rPr>
        <w:t>Unappropriated Reserve Requirement</w:t>
      </w:r>
    </w:p>
    <w:tbl>
      <w:tblPr>
        <w:tblW w:w="0" w:type="auto"/>
        <w:jc w:val="center"/>
        <w:tblLayout w:type="fixed"/>
        <w:tblCellMar>
          <w:left w:w="0" w:type="dxa"/>
          <w:right w:w="0" w:type="dxa"/>
        </w:tblCellMar>
        <w:tblLook w:val="0000" w:firstRow="0" w:lastRow="0" w:firstColumn="0" w:lastColumn="0" w:noHBand="0" w:noVBand="0"/>
      </w:tblPr>
      <w:tblGrid>
        <w:gridCol w:w="2160"/>
        <w:gridCol w:w="1872"/>
      </w:tblGrid>
      <w:tr w:rsidR="005B07C7" w:rsidRPr="004D72DD" w:rsidTr="00CF788E">
        <w:trPr>
          <w:cantSplit/>
          <w:jc w:val="center"/>
        </w:trPr>
        <w:tc>
          <w:tcPr>
            <w:tcW w:w="2160" w:type="dxa"/>
            <w:tcMar>
              <w:left w:w="0" w:type="dxa"/>
              <w:bottom w:w="0" w:type="dxa"/>
              <w:right w:w="0" w:type="dxa"/>
            </w:tcMar>
            <w:vAlign w:val="bottom"/>
          </w:tcPr>
          <w:p w:rsidR="005B07C7" w:rsidRPr="004D72DD" w:rsidRDefault="005B07C7" w:rsidP="00F27774">
            <w:pPr>
              <w:spacing w:after="80"/>
              <w:jc w:val="center"/>
              <w:rPr>
                <w:sz w:val="18"/>
                <w:szCs w:val="18"/>
              </w:rPr>
            </w:pPr>
            <w:r w:rsidRPr="004D72DD">
              <w:rPr>
                <w:b/>
                <w:sz w:val="18"/>
                <w:szCs w:val="18"/>
                <w:u w:val="single"/>
              </w:rPr>
              <w:t>Fiscal Years</w:t>
            </w:r>
          </w:p>
        </w:tc>
        <w:tc>
          <w:tcPr>
            <w:tcW w:w="1872" w:type="dxa"/>
            <w:tcMar>
              <w:left w:w="0" w:type="dxa"/>
              <w:bottom w:w="0" w:type="dxa"/>
              <w:right w:w="0" w:type="dxa"/>
            </w:tcMar>
            <w:vAlign w:val="bottom"/>
          </w:tcPr>
          <w:p w:rsidR="005B07C7" w:rsidRPr="004D72DD" w:rsidRDefault="005B07C7" w:rsidP="00F27774">
            <w:pPr>
              <w:spacing w:after="80"/>
              <w:jc w:val="center"/>
              <w:rPr>
                <w:sz w:val="18"/>
                <w:szCs w:val="18"/>
              </w:rPr>
            </w:pPr>
            <w:r w:rsidRPr="004D72DD">
              <w:rPr>
                <w:b/>
                <w:sz w:val="18"/>
                <w:szCs w:val="18"/>
              </w:rPr>
              <w:t xml:space="preserve">Unappropriated </w:t>
            </w:r>
            <w:r w:rsidRPr="004D72DD">
              <w:rPr>
                <w:b/>
                <w:sz w:val="18"/>
                <w:szCs w:val="18"/>
                <w:u w:val="single"/>
              </w:rPr>
              <w:t>Reserve Requirement</w:t>
            </w:r>
            <w:r w:rsidRPr="004D72DD">
              <w:rPr>
                <w:b/>
                <w:sz w:val="18"/>
                <w:szCs w:val="18"/>
                <w:vertAlign w:val="superscript"/>
              </w:rPr>
              <w:t>1,2</w:t>
            </w:r>
          </w:p>
        </w:tc>
      </w:tr>
      <w:tr w:rsidR="005B07C7" w:rsidRPr="004D72DD" w:rsidTr="00CF788E">
        <w:trPr>
          <w:cantSplit/>
          <w:jc w:val="center"/>
        </w:trPr>
        <w:tc>
          <w:tcPr>
            <w:tcW w:w="2160" w:type="dxa"/>
            <w:noWrap/>
          </w:tcPr>
          <w:p w:rsidR="005B07C7" w:rsidRPr="004D72DD" w:rsidRDefault="00F75889" w:rsidP="00F27774">
            <w:pPr>
              <w:jc w:val="center"/>
              <w:rPr>
                <w:sz w:val="18"/>
                <w:szCs w:val="18"/>
              </w:rPr>
            </w:pPr>
            <w:r>
              <w:rPr>
                <w:sz w:val="18"/>
                <w:szCs w:val="18"/>
              </w:rPr>
              <w:t>2014-15</w:t>
            </w:r>
          </w:p>
        </w:tc>
        <w:tc>
          <w:tcPr>
            <w:tcW w:w="1872" w:type="dxa"/>
            <w:noWrap/>
          </w:tcPr>
          <w:p w:rsidR="005B07C7" w:rsidRPr="004D72DD" w:rsidRDefault="00F75889" w:rsidP="00F27774">
            <w:pPr>
              <w:tabs>
                <w:tab w:val="decimal" w:pos="805"/>
              </w:tabs>
              <w:rPr>
                <w:sz w:val="18"/>
                <w:szCs w:val="18"/>
              </w:rPr>
            </w:pPr>
            <w:r>
              <w:rPr>
                <w:sz w:val="18"/>
                <w:szCs w:val="18"/>
              </w:rPr>
              <w:t>6.50</w:t>
            </w:r>
            <w:r w:rsidR="001B117D">
              <w:rPr>
                <w:sz w:val="18"/>
                <w:szCs w:val="18"/>
              </w:rPr>
              <w:t>%</w:t>
            </w:r>
          </w:p>
        </w:tc>
      </w:tr>
      <w:tr w:rsidR="005B07C7" w:rsidRPr="004D72DD" w:rsidTr="00CF788E">
        <w:trPr>
          <w:cantSplit/>
          <w:jc w:val="center"/>
        </w:trPr>
        <w:tc>
          <w:tcPr>
            <w:tcW w:w="2160" w:type="dxa"/>
            <w:noWrap/>
          </w:tcPr>
          <w:p w:rsidR="005B07C7" w:rsidRPr="004D72DD" w:rsidRDefault="00F75889" w:rsidP="00F27774">
            <w:pPr>
              <w:jc w:val="center"/>
              <w:rPr>
                <w:sz w:val="18"/>
                <w:szCs w:val="18"/>
              </w:rPr>
            </w:pPr>
            <w:r>
              <w:rPr>
                <w:sz w:val="18"/>
                <w:szCs w:val="18"/>
              </w:rPr>
              <w:t>2015-16</w:t>
            </w:r>
          </w:p>
        </w:tc>
        <w:tc>
          <w:tcPr>
            <w:tcW w:w="1872" w:type="dxa"/>
            <w:noWrap/>
          </w:tcPr>
          <w:p w:rsidR="005B07C7" w:rsidRPr="004D72DD" w:rsidRDefault="001B117D" w:rsidP="00F27774">
            <w:pPr>
              <w:tabs>
                <w:tab w:val="decimal" w:pos="805"/>
              </w:tabs>
              <w:rPr>
                <w:sz w:val="18"/>
                <w:szCs w:val="18"/>
              </w:rPr>
            </w:pPr>
            <w:r>
              <w:rPr>
                <w:sz w:val="18"/>
                <w:szCs w:val="18"/>
              </w:rPr>
              <w:t>5.</w:t>
            </w:r>
            <w:r w:rsidR="00F75889">
              <w:rPr>
                <w:sz w:val="18"/>
                <w:szCs w:val="18"/>
              </w:rPr>
              <w:t>6</w:t>
            </w:r>
            <w:r>
              <w:rPr>
                <w:sz w:val="18"/>
                <w:szCs w:val="18"/>
              </w:rPr>
              <w:t>0</w:t>
            </w:r>
          </w:p>
        </w:tc>
      </w:tr>
      <w:tr w:rsidR="005B07C7" w:rsidRPr="004D72DD" w:rsidTr="00CF788E">
        <w:trPr>
          <w:cantSplit/>
          <w:jc w:val="center"/>
        </w:trPr>
        <w:tc>
          <w:tcPr>
            <w:tcW w:w="2160" w:type="dxa"/>
            <w:noWrap/>
          </w:tcPr>
          <w:p w:rsidR="005B07C7" w:rsidRPr="004D72DD" w:rsidRDefault="00F75889" w:rsidP="00F27774">
            <w:pPr>
              <w:jc w:val="center"/>
              <w:rPr>
                <w:sz w:val="18"/>
                <w:szCs w:val="18"/>
              </w:rPr>
            </w:pPr>
            <w:r>
              <w:rPr>
                <w:sz w:val="18"/>
                <w:szCs w:val="18"/>
              </w:rPr>
              <w:t>2016-17</w:t>
            </w:r>
          </w:p>
        </w:tc>
        <w:tc>
          <w:tcPr>
            <w:tcW w:w="1872" w:type="dxa"/>
            <w:noWrap/>
          </w:tcPr>
          <w:p w:rsidR="005B07C7" w:rsidRPr="004D72DD" w:rsidRDefault="00F75889" w:rsidP="00F27774">
            <w:pPr>
              <w:tabs>
                <w:tab w:val="decimal" w:pos="805"/>
              </w:tabs>
              <w:rPr>
                <w:sz w:val="18"/>
                <w:szCs w:val="18"/>
              </w:rPr>
            </w:pPr>
            <w:r>
              <w:rPr>
                <w:sz w:val="18"/>
                <w:szCs w:val="18"/>
              </w:rPr>
              <w:t>6.00</w:t>
            </w:r>
          </w:p>
        </w:tc>
      </w:tr>
      <w:tr w:rsidR="005B07C7" w:rsidRPr="004D72DD" w:rsidTr="00CF788E">
        <w:trPr>
          <w:cantSplit/>
          <w:jc w:val="center"/>
        </w:trPr>
        <w:tc>
          <w:tcPr>
            <w:tcW w:w="2160" w:type="dxa"/>
            <w:noWrap/>
          </w:tcPr>
          <w:p w:rsidR="005B07C7" w:rsidRPr="004D72DD" w:rsidRDefault="00F75889" w:rsidP="00F27774">
            <w:pPr>
              <w:jc w:val="center"/>
              <w:rPr>
                <w:sz w:val="18"/>
                <w:szCs w:val="18"/>
              </w:rPr>
            </w:pPr>
            <w:r>
              <w:rPr>
                <w:sz w:val="18"/>
                <w:szCs w:val="18"/>
              </w:rPr>
              <w:t>2017-18</w:t>
            </w:r>
          </w:p>
        </w:tc>
        <w:tc>
          <w:tcPr>
            <w:tcW w:w="1872" w:type="dxa"/>
            <w:noWrap/>
          </w:tcPr>
          <w:p w:rsidR="005B07C7" w:rsidRPr="004D72DD" w:rsidRDefault="00F75889" w:rsidP="00F27774">
            <w:pPr>
              <w:tabs>
                <w:tab w:val="decimal" w:pos="805"/>
              </w:tabs>
              <w:rPr>
                <w:sz w:val="18"/>
                <w:szCs w:val="18"/>
              </w:rPr>
            </w:pPr>
            <w:r>
              <w:rPr>
                <w:sz w:val="18"/>
                <w:szCs w:val="18"/>
              </w:rPr>
              <w:t>6.50</w:t>
            </w:r>
          </w:p>
        </w:tc>
      </w:tr>
      <w:tr w:rsidR="005B07C7" w:rsidRPr="004D72DD" w:rsidTr="00CF788E">
        <w:trPr>
          <w:cantSplit/>
          <w:jc w:val="center"/>
        </w:trPr>
        <w:tc>
          <w:tcPr>
            <w:tcW w:w="2160" w:type="dxa"/>
            <w:noWrap/>
          </w:tcPr>
          <w:p w:rsidR="005B07C7" w:rsidRPr="004D72DD" w:rsidRDefault="005B07C7" w:rsidP="004D1918">
            <w:pPr>
              <w:jc w:val="center"/>
              <w:rPr>
                <w:sz w:val="18"/>
                <w:szCs w:val="18"/>
              </w:rPr>
            </w:pPr>
            <w:r w:rsidRPr="004D72DD">
              <w:rPr>
                <w:sz w:val="18"/>
                <w:szCs w:val="18"/>
              </w:rPr>
              <w:t>2018</w:t>
            </w:r>
            <w:r w:rsidRPr="004D72DD">
              <w:rPr>
                <w:sz w:val="18"/>
                <w:szCs w:val="18"/>
              </w:rPr>
              <w:noBreakHyphen/>
              <w:t xml:space="preserve">19 and </w:t>
            </w:r>
            <w:r w:rsidR="004D1918">
              <w:rPr>
                <w:sz w:val="18"/>
                <w:szCs w:val="18"/>
              </w:rPr>
              <w:t>thereafter</w:t>
            </w:r>
            <w:r w:rsidR="002B7205">
              <w:rPr>
                <w:sz w:val="18"/>
                <w:szCs w:val="18"/>
                <w:vertAlign w:val="superscript"/>
              </w:rPr>
              <w:t>3</w:t>
            </w:r>
          </w:p>
        </w:tc>
        <w:tc>
          <w:tcPr>
            <w:tcW w:w="1872" w:type="dxa"/>
            <w:noWrap/>
          </w:tcPr>
          <w:p w:rsidR="005B07C7" w:rsidRPr="004D72DD" w:rsidRDefault="001B117D" w:rsidP="00F27774">
            <w:pPr>
              <w:tabs>
                <w:tab w:val="decimal" w:pos="805"/>
              </w:tabs>
              <w:rPr>
                <w:sz w:val="18"/>
                <w:szCs w:val="18"/>
              </w:rPr>
            </w:pPr>
            <w:r>
              <w:rPr>
                <w:sz w:val="18"/>
                <w:szCs w:val="18"/>
              </w:rPr>
              <w:t>7.25</w:t>
            </w:r>
            <w:r w:rsidR="009223A1">
              <w:rPr>
                <w:sz w:val="18"/>
                <w:szCs w:val="18"/>
                <w:vertAlign w:val="superscript"/>
              </w:rPr>
              <w:t>3</w:t>
            </w:r>
          </w:p>
        </w:tc>
      </w:tr>
      <w:tr w:rsidR="005B07C7" w:rsidRPr="004D72DD" w:rsidTr="00CF788E">
        <w:trPr>
          <w:cantSplit/>
          <w:jc w:val="center"/>
        </w:trPr>
        <w:tc>
          <w:tcPr>
            <w:tcW w:w="2160" w:type="dxa"/>
            <w:noWrap/>
          </w:tcPr>
          <w:p w:rsidR="005B07C7" w:rsidRPr="004D72DD" w:rsidRDefault="005B07C7" w:rsidP="00F27774">
            <w:pPr>
              <w:jc w:val="center"/>
              <w:rPr>
                <w:sz w:val="18"/>
                <w:szCs w:val="18"/>
              </w:rPr>
            </w:pPr>
          </w:p>
        </w:tc>
        <w:tc>
          <w:tcPr>
            <w:tcW w:w="1872" w:type="dxa"/>
            <w:noWrap/>
          </w:tcPr>
          <w:p w:rsidR="005B07C7" w:rsidRPr="004D72DD" w:rsidRDefault="005B07C7" w:rsidP="00F27774">
            <w:pPr>
              <w:tabs>
                <w:tab w:val="decimal" w:pos="805"/>
              </w:tabs>
              <w:rPr>
                <w:sz w:val="18"/>
                <w:szCs w:val="18"/>
              </w:rPr>
            </w:pPr>
          </w:p>
        </w:tc>
      </w:tr>
    </w:tbl>
    <w:p w:rsidR="00520E5D" w:rsidRPr="008E459C" w:rsidRDefault="00520E5D" w:rsidP="00F27774">
      <w:pPr>
        <w:pStyle w:val="OStablenotes"/>
        <w:keepNext w:val="0"/>
        <w:keepLines w:val="0"/>
        <w:spacing w:before="80" w:after="0"/>
        <w:rPr>
          <w:spacing w:val="-3"/>
        </w:rPr>
      </w:pPr>
      <w:r>
        <w:rPr>
          <w:spacing w:val="-3"/>
        </w:rPr>
        <w:t>________________________</w:t>
      </w:r>
    </w:p>
    <w:p w:rsidR="005B07C7" w:rsidRDefault="005B07C7" w:rsidP="00F27774">
      <w:pPr>
        <w:pStyle w:val="OStablenotes"/>
        <w:keepNext w:val="0"/>
        <w:keepLines w:val="0"/>
        <w:spacing w:before="80" w:after="0"/>
        <w:rPr>
          <w:bCs/>
          <w:color w:val="auto"/>
          <w:spacing w:val="-4"/>
          <w:szCs w:val="16"/>
        </w:rPr>
      </w:pPr>
      <w:r w:rsidRPr="004D72DD">
        <w:rPr>
          <w:color w:val="auto"/>
          <w:spacing w:val="-3"/>
          <w:vertAlign w:val="superscript"/>
        </w:rPr>
        <w:t>1</w:t>
      </w:r>
      <w:r w:rsidRPr="004D72DD">
        <w:rPr>
          <w:color w:val="auto"/>
          <w:spacing w:val="-3"/>
        </w:rPr>
        <w:tab/>
        <w:t xml:space="preserve">The </w:t>
      </w:r>
      <w:r w:rsidRPr="004D72DD">
        <w:rPr>
          <w:color w:val="auto"/>
          <w:spacing w:val="-4"/>
        </w:rPr>
        <w:t xml:space="preserve">Unappropriated Reserve </w:t>
      </w:r>
      <w:r w:rsidRPr="004D72DD">
        <w:rPr>
          <w:color w:val="auto"/>
          <w:spacing w:val="-3"/>
        </w:rPr>
        <w:t xml:space="preserve">requirement, which is </w:t>
      </w:r>
      <w:r w:rsidRPr="004D72DD">
        <w:rPr>
          <w:color w:val="auto"/>
          <w:spacing w:val="-4"/>
          <w:szCs w:val="16"/>
        </w:rPr>
        <w:t xml:space="preserve">codified as </w:t>
      </w:r>
      <w:r w:rsidRPr="004D72DD">
        <w:rPr>
          <w:color w:val="auto"/>
        </w:rPr>
        <w:t>Section 24-75-201.1(1)(d), C.R.S.,</w:t>
      </w:r>
      <w:r w:rsidRPr="004D72DD">
        <w:rPr>
          <w:color w:val="auto"/>
          <w:spacing w:val="-4"/>
        </w:rPr>
        <w:t xml:space="preserve"> is a percentage of the amount appropriated for expenditure from the General Fund in the applicable Fiscal Year.  Per HB 16-1419 and SB 16-218, for </w:t>
      </w:r>
      <w:r w:rsidRPr="004D72DD">
        <w:rPr>
          <w:color w:val="auto"/>
          <w:spacing w:val="-4"/>
          <w:szCs w:val="16"/>
        </w:rPr>
        <w:t>Fiscal Year 2015</w:t>
      </w:r>
      <w:r w:rsidRPr="004D72DD">
        <w:rPr>
          <w:color w:val="auto"/>
          <w:spacing w:val="-4"/>
          <w:szCs w:val="16"/>
        </w:rPr>
        <w:noBreakHyphen/>
        <w:t xml:space="preserve">16 only, the percentage is of the amount subject to the appropriations limit minus the amount of income tax revenue required to be diverted to a reserve fund to fund </w:t>
      </w:r>
      <w:r w:rsidRPr="004D72DD">
        <w:rPr>
          <w:color w:val="auto"/>
          <w:spacing w:val="-4"/>
        </w:rPr>
        <w:t xml:space="preserve">severance tax refunds resulting from the ruling of the Colorado Supreme Court on April 25, 2016, in </w:t>
      </w:r>
      <w:r w:rsidRPr="004D72DD">
        <w:rPr>
          <w:i/>
          <w:color w:val="auto"/>
          <w:spacing w:val="-4"/>
        </w:rPr>
        <w:t>BP America Production Company v. Colorado Department of Revenue</w:t>
      </w:r>
      <w:r w:rsidRPr="004D72DD">
        <w:rPr>
          <w:color w:val="auto"/>
          <w:spacing w:val="-4"/>
        </w:rPr>
        <w:t xml:space="preserve">.  See </w:t>
      </w:r>
      <w:r w:rsidR="00A06786">
        <w:rPr>
          <w:color w:val="auto"/>
          <w:spacing w:val="-4"/>
        </w:rPr>
        <w:t>“</w:t>
      </w:r>
      <w:r w:rsidRPr="004D72DD">
        <w:rPr>
          <w:color w:val="auto"/>
          <w:spacing w:val="-4"/>
        </w:rPr>
        <w:t>General Fund Overview</w:t>
      </w:r>
      <w:r w:rsidR="00A06786">
        <w:rPr>
          <w:color w:val="auto"/>
          <w:spacing w:val="-4"/>
        </w:rPr>
        <w:t>”</w:t>
      </w:r>
      <w:r w:rsidRPr="004D72DD">
        <w:rPr>
          <w:color w:val="auto"/>
          <w:spacing w:val="-4"/>
        </w:rPr>
        <w:t xml:space="preserve"> table in </w:t>
      </w:r>
      <w:r w:rsidR="00A06786">
        <w:rPr>
          <w:color w:val="auto"/>
          <w:spacing w:val="-4"/>
        </w:rPr>
        <w:t>“</w:t>
      </w:r>
      <w:r w:rsidRPr="004D72DD">
        <w:rPr>
          <w:color w:val="auto"/>
          <w:spacing w:val="-4"/>
        </w:rPr>
        <w:t>APPENDIX E – THE STATE GENER</w:t>
      </w:r>
      <w:r w:rsidR="00F94423">
        <w:rPr>
          <w:color w:val="auto"/>
          <w:spacing w:val="-4"/>
        </w:rPr>
        <w:t>AL FUND – General Fund Overview.</w:t>
      </w:r>
      <w:r w:rsidR="00A06786">
        <w:rPr>
          <w:color w:val="auto"/>
          <w:spacing w:val="-4"/>
        </w:rPr>
        <w:t>”</w:t>
      </w:r>
      <w:r w:rsidRPr="004D72DD">
        <w:rPr>
          <w:color w:val="auto"/>
          <w:spacing w:val="-4"/>
        </w:rPr>
        <w:t xml:space="preserve"> </w:t>
      </w:r>
    </w:p>
    <w:p w:rsidR="005B07C7" w:rsidRPr="004D72DD" w:rsidRDefault="005B07C7" w:rsidP="005B07C7">
      <w:pPr>
        <w:pStyle w:val="OStablenotes"/>
        <w:spacing w:before="80" w:after="0"/>
        <w:rPr>
          <w:color w:val="auto"/>
          <w:szCs w:val="16"/>
        </w:rPr>
      </w:pPr>
      <w:r w:rsidRPr="004D72DD">
        <w:rPr>
          <w:color w:val="auto"/>
          <w:vertAlign w:val="superscript"/>
        </w:rPr>
        <w:t>2</w:t>
      </w:r>
      <w:r w:rsidRPr="004D72DD">
        <w:rPr>
          <w:color w:val="auto"/>
          <w:vertAlign w:val="superscript"/>
        </w:rPr>
        <w:tab/>
      </w:r>
      <w:r w:rsidRPr="004D72DD">
        <w:rPr>
          <w:color w:val="auto"/>
          <w:szCs w:val="16"/>
        </w:rPr>
        <w:t>Per SB 15-251, in Fiscal Years 2015</w:t>
      </w:r>
      <w:r w:rsidRPr="004D72DD">
        <w:rPr>
          <w:color w:val="auto"/>
          <w:szCs w:val="16"/>
        </w:rPr>
        <w:noBreakHyphen/>
        <w:t>16 through 2017</w:t>
      </w:r>
      <w:r w:rsidRPr="004D72DD">
        <w:rPr>
          <w:color w:val="auto"/>
          <w:szCs w:val="16"/>
        </w:rPr>
        <w:noBreakHyphen/>
        <w:t xml:space="preserve">18, General Fund appropriations for lease purchase agreement payments made in connection with </w:t>
      </w:r>
      <w:r w:rsidRPr="004D72DD">
        <w:rPr>
          <w:color w:val="auto"/>
          <w:spacing w:val="-4"/>
        </w:rPr>
        <w:t>certificates</w:t>
      </w:r>
      <w:r w:rsidRPr="004D72DD">
        <w:rPr>
          <w:color w:val="auto"/>
          <w:szCs w:val="16"/>
        </w:rPr>
        <w:t xml:space="preserve"> of participation sold to fund certain capital projects were made exempt from the reserve calculation requirement.  See </w:t>
      </w:r>
      <w:r w:rsidR="00A06786">
        <w:rPr>
          <w:color w:val="auto"/>
          <w:szCs w:val="16"/>
        </w:rPr>
        <w:t>“</w:t>
      </w:r>
      <w:r w:rsidRPr="004D72DD">
        <w:rPr>
          <w:color w:val="auto"/>
          <w:szCs w:val="16"/>
        </w:rPr>
        <w:t>DEBT AND CERTAIN OTHER FINANCIAL OBLIGATIONS – The State, State Departments and Agencies.</w:t>
      </w:r>
      <w:r w:rsidR="00A06786">
        <w:rPr>
          <w:color w:val="auto"/>
          <w:szCs w:val="16"/>
        </w:rPr>
        <w:t>”</w:t>
      </w:r>
    </w:p>
    <w:p w:rsidR="005B07C7" w:rsidRPr="004D72DD" w:rsidRDefault="005B07C7" w:rsidP="005B07C7">
      <w:pPr>
        <w:pStyle w:val="OStablenotes"/>
        <w:keepNext w:val="0"/>
        <w:spacing w:before="80" w:after="200"/>
        <w:rPr>
          <w:color w:val="auto"/>
          <w:szCs w:val="16"/>
        </w:rPr>
      </w:pPr>
      <w:r w:rsidRPr="004D72DD">
        <w:rPr>
          <w:color w:val="auto"/>
          <w:szCs w:val="16"/>
          <w:vertAlign w:val="superscript"/>
        </w:rPr>
        <w:t>3</w:t>
      </w:r>
      <w:r w:rsidRPr="004D72DD">
        <w:rPr>
          <w:color w:val="auto"/>
          <w:szCs w:val="16"/>
        </w:rPr>
        <w:tab/>
        <w:t xml:space="preserve">Per </w:t>
      </w:r>
      <w:r w:rsidRPr="004D72DD">
        <w:rPr>
          <w:color w:val="auto"/>
        </w:rPr>
        <w:t>SB 18-276, the Unappropriated Reserve requirement was increased to 7.25% starting with Fiscal Year 2018-19.  The legislation also removed the exemption of General Fund appropriations for lease purchase agreement payments made in connection with certificates of participation from the reserve calculation requirement.</w:t>
      </w:r>
    </w:p>
    <w:p w:rsidR="006123A1" w:rsidRDefault="006123A1" w:rsidP="005B07C7">
      <w:pPr>
        <w:pStyle w:val="BodyText1"/>
      </w:pPr>
      <w:r>
        <w:t xml:space="preserve">See also generally </w:t>
      </w:r>
      <w:r w:rsidR="00A06786">
        <w:t>“</w:t>
      </w:r>
      <w:r>
        <w:t>APPENDIX E – THE STATE GENERAL FUND – General Fund Overview – Revenue Estimation; OSPB Revenue and Economic Forecasts</w:t>
      </w:r>
      <w:r w:rsidR="00A06786">
        <w:t>”</w:t>
      </w:r>
      <w:r>
        <w:t xml:space="preserve"> and </w:t>
      </w:r>
      <w:r w:rsidR="00A06786">
        <w:t>“</w:t>
      </w:r>
      <w:r>
        <w:t xml:space="preserve">APPENDIX F – </w:t>
      </w:r>
      <w:r w:rsidR="009B293F">
        <w:t>OSPB SEPTEMBER 2020</w:t>
      </w:r>
      <w:r>
        <w:t xml:space="preserve"> REVENUE FORECAST.</w:t>
      </w:r>
      <w:r w:rsidR="00A06786">
        <w:t>”</w:t>
      </w:r>
    </w:p>
    <w:p w:rsidR="006123A1" w:rsidRDefault="006123A1" w:rsidP="005B07C7">
      <w:pPr>
        <w:pStyle w:val="BodyText1"/>
      </w:pPr>
      <w:r w:rsidRPr="004D6310">
        <w:rPr>
          <w:b/>
          <w:i/>
        </w:rPr>
        <w:t>Expenditures; The Balanced Budget and Statutory Spending Limitation</w:t>
      </w:r>
      <w:r>
        <w:t>.  The State Constitution mandates that expenditures for any Fiscal Year may not exceed available resources for such Fiscal Year.  Total unrestricted General Fund appropriations for each Fiscal Year are limited as provided in Section 24-75-201.1, C.</w:t>
      </w:r>
      <w:r w:rsidR="00C74F4E">
        <w:t>R.S.  For the Fiscal Years 2009-</w:t>
      </w:r>
      <w:r>
        <w:t>10 and thereafter, total General Fund appropriations are limited to: (i) such moneys as are necessary for reappraisals of any class or classes of taxable property for property tax purposes as required by Section 39-1-105.5, C.R.S., plus (ii) an amount equal to 5% of Colorado personal income (as reported by the U.S. Bureau of Economic Analysis for the calendar year preceding the calendar year immediately preceding a given Fiscal Year).</w:t>
      </w:r>
    </w:p>
    <w:p w:rsidR="006123A1" w:rsidRDefault="006123A1" w:rsidP="005B07C7">
      <w:pPr>
        <w:pStyle w:val="BodyText1"/>
      </w:pPr>
      <w:r>
        <w:t>Excluded from this appropriations limit are: (i) any General Fund appropriation that, as a result of any requirement of federal law, is made for any new program or service or for any increase in the level of service for any existing program beyond the existing level of service; (ii) any General Fund appropriation that, as a result of any requirement of a final State or federal court order, is made for any new program or service or for any increase in the level of service for an existing program beyond the existing level of service; or (iii) any General Fund appropriation of any moneys that are derived from any increase in the rate or amount of any tax or fee that is approved by a majority of the registered electors of the State voting at any general election.</w:t>
      </w:r>
    </w:p>
    <w:p w:rsidR="006123A1" w:rsidRDefault="006123A1" w:rsidP="005B07C7">
      <w:pPr>
        <w:pStyle w:val="BodyText1"/>
      </w:pPr>
      <w:r>
        <w:t>The limitation on the level of General Fund appropriations may be exceeded for a given Fiscal Year upon the declaration of a State fiscal emergency by the General Assembly, which may be declared by the passage of a joint resolution approved by a two-thirds majority vote of the members of both houses of the General Assembly and approved by the Governor.</w:t>
      </w:r>
    </w:p>
    <w:p w:rsidR="006123A1" w:rsidRDefault="006123A1" w:rsidP="005B07C7">
      <w:pPr>
        <w:pStyle w:val="BodyText1"/>
      </w:pPr>
      <w:r>
        <w:t xml:space="preserve">See </w:t>
      </w:r>
      <w:r w:rsidR="00A06786">
        <w:t>“</w:t>
      </w:r>
      <w:r>
        <w:t>Taxpayer</w:t>
      </w:r>
      <w:r w:rsidR="00A06786">
        <w:t>’</w:t>
      </w:r>
      <w:r>
        <w:t>s Bill of Rights</w:t>
      </w:r>
      <w:r w:rsidR="00A06786">
        <w:t>”</w:t>
      </w:r>
      <w:r>
        <w:t xml:space="preserve"> above for a discussion of spending limits imposed on the State by TABOR and changes to these limits as the result of the approval of Referendum C.</w:t>
      </w:r>
    </w:p>
    <w:p w:rsidR="006123A1" w:rsidRDefault="006123A1" w:rsidP="005B07C7">
      <w:pPr>
        <w:pStyle w:val="BodyText1"/>
      </w:pPr>
      <w:r w:rsidRPr="004D6310">
        <w:rPr>
          <w:b/>
          <w:i/>
        </w:rPr>
        <w:t>Fiscal Year Spending and Emergency Reserves</w:t>
      </w:r>
      <w:r>
        <w:t xml:space="preserve">.  Through TABOR, the State Constitution imposes restrictions on increases in fiscal year spending without voter approval and requires the State to maintain a TABOR Reserve.  See </w:t>
      </w:r>
      <w:r w:rsidR="00A06786">
        <w:t>“</w:t>
      </w:r>
      <w:r>
        <w:t>Taxpayer</w:t>
      </w:r>
      <w:r w:rsidR="00A06786">
        <w:t>’</w:t>
      </w:r>
      <w:r>
        <w:t>s Bill of Rights</w:t>
      </w:r>
      <w:r w:rsidR="00A06786">
        <w:t>”</w:t>
      </w:r>
      <w:r>
        <w:t xml:space="preserve"> in this section for a discussion of the effects of the State Constitution on the State</w:t>
      </w:r>
      <w:r w:rsidR="00A06786">
        <w:t>’</w:t>
      </w:r>
      <w:r>
        <w:t>s financial operations.</w:t>
      </w:r>
    </w:p>
    <w:p w:rsidR="006123A1" w:rsidRDefault="006123A1" w:rsidP="00F27774">
      <w:pPr>
        <w:pStyle w:val="Heading2"/>
        <w:keepNext/>
      </w:pPr>
      <w:bookmarkStart w:id="62" w:name="_Toc56668388"/>
      <w:r>
        <w:t>Fiscal Controls and Financial Reporting</w:t>
      </w:r>
      <w:bookmarkEnd w:id="62"/>
    </w:p>
    <w:p w:rsidR="006123A1" w:rsidRDefault="006123A1" w:rsidP="00F27774">
      <w:pPr>
        <w:pStyle w:val="BodyText1"/>
        <w:keepNext/>
      </w:pPr>
      <w:r>
        <w:t>No moneys may be disbursed to pay any appropriations unless a commitment voucher has been prepared by the agency seeking payment and submitted to the central accounting system, which is managed by the Office of the State Controller, a division of the Department of Personnel &amp; Administration.  The State Controller is the head of the Office of the State Controller.  The State Controller or his delegate have statutory responsibility for reviewing each commitment voucher submitted to determine whether the proposed expenditure is authorized by appropriation, whether the appropriation contains sufficient funds to pay the expenditure and whether the prices are fair and reasonable.  All payments from the State Treasury are made by warrants or checks signed by the State Controller and countersigned by the State Treasurer, or by electronic funds transfer.  The signature of the State Controller on a warrant or check is full authority for the State Treasurer to pay the warrant or check upon presentation.</w:t>
      </w:r>
    </w:p>
    <w:p w:rsidR="006123A1" w:rsidRDefault="006123A1" w:rsidP="005B07C7">
      <w:pPr>
        <w:pStyle w:val="BodyText1"/>
      </w:pPr>
      <w:r>
        <w:t xml:space="preserve">The State Controller is appointed by the Executive Director of the Department of Personnel &amp; Administration.  Except for certain institutions of higher education which have elected to establish their own fiscal rules, the State Controller has statutory responsibility for coordinating all procedures for financial administration and financial control in order to integrate them into an adequate and unified system, conducting all central accounting and issuing warrants or checks for payment of claims against the State.  The State Controller prepares a Comprehensive Annual Financial Report, or </w:t>
      </w:r>
      <w:r w:rsidR="00A06786">
        <w:t>“</w:t>
      </w:r>
      <w:r>
        <w:t>CAFR,</w:t>
      </w:r>
      <w:r w:rsidR="00A06786">
        <w:t>”</w:t>
      </w:r>
      <w:r>
        <w:t xml:space="preserve"> in accordance with generally accepted accounting principles (</w:t>
      </w:r>
      <w:r w:rsidR="00A06786">
        <w:t>“</w:t>
      </w:r>
      <w:r>
        <w:t>GAAP</w:t>
      </w:r>
      <w:r w:rsidR="00A06786">
        <w:t>”</w:t>
      </w:r>
      <w:r>
        <w:t>) applicable to governmental entities, with certain statutory exceptions for budget compliance and reporting.  The State</w:t>
      </w:r>
      <w:r w:rsidR="00A06786">
        <w:t>’</w:t>
      </w:r>
      <w:r w:rsidR="00F94423">
        <w:t>s CAFR for Fiscal Year 2018-19</w:t>
      </w:r>
      <w:r>
        <w:t xml:space="preserve"> CAFR (the </w:t>
      </w:r>
      <w:r w:rsidR="00A06786">
        <w:t>“</w:t>
      </w:r>
      <w:r w:rsidR="00F94423">
        <w:t>Fiscal Year 2018-19</w:t>
      </w:r>
      <w:r>
        <w:t xml:space="preserve"> CAFR</w:t>
      </w:r>
      <w:r w:rsidR="00A06786">
        <w:t>”</w:t>
      </w:r>
      <w:r>
        <w:t>) is appended to this Official Statement and includes the most current annual financial statements for the State.</w:t>
      </w:r>
    </w:p>
    <w:p w:rsidR="006123A1" w:rsidRDefault="006123A1" w:rsidP="003A3DD0">
      <w:pPr>
        <w:pStyle w:val="Heading2"/>
      </w:pPr>
      <w:bookmarkStart w:id="63" w:name="_Toc56668389"/>
      <w:r>
        <w:t>Basis of Accounting</w:t>
      </w:r>
      <w:bookmarkEnd w:id="63"/>
    </w:p>
    <w:p w:rsidR="006123A1" w:rsidRDefault="006123A1" w:rsidP="005B07C7">
      <w:pPr>
        <w:pStyle w:val="BodyText1"/>
      </w:pPr>
      <w:r>
        <w:t>For a detailed description of the State</w:t>
      </w:r>
      <w:r w:rsidR="00A06786">
        <w:t>’</w:t>
      </w:r>
      <w:r>
        <w:t xml:space="preserve">s </w:t>
      </w:r>
      <w:r w:rsidR="00F94423">
        <w:t>basis of accounting, see Note 1E</w:t>
      </w:r>
      <w:r>
        <w:t xml:space="preserve"> to the financial statements in </w:t>
      </w:r>
      <w:r w:rsidR="008C0A2F">
        <w:t xml:space="preserve">both </w:t>
      </w:r>
      <w:r>
        <w:t>the State</w:t>
      </w:r>
      <w:r w:rsidR="00A06786">
        <w:t>’</w:t>
      </w:r>
      <w:r w:rsidR="00C74F4E">
        <w:t>s Fiscal Year 20</w:t>
      </w:r>
      <w:r w:rsidR="00F94423">
        <w:t>18-19</w:t>
      </w:r>
      <w:r>
        <w:t xml:space="preserve"> CAFR </w:t>
      </w:r>
      <w:r w:rsidR="00347584">
        <w:t>and State Fiscal Year 2019-20</w:t>
      </w:r>
      <w:r w:rsidR="00907288">
        <w:t xml:space="preserve"> Basic Financial Statements (</w:t>
      </w:r>
      <w:r w:rsidR="00A06786">
        <w:t>“</w:t>
      </w:r>
      <w:r w:rsidR="00907288">
        <w:t>BFS</w:t>
      </w:r>
      <w:r w:rsidR="00A06786">
        <w:t>”</w:t>
      </w:r>
      <w:r w:rsidR="00907288">
        <w:t xml:space="preserve">) </w:t>
      </w:r>
      <w:r>
        <w:t>appended to this Official Statement.</w:t>
      </w:r>
    </w:p>
    <w:p w:rsidR="006123A1" w:rsidRDefault="006123A1" w:rsidP="003A3DD0">
      <w:pPr>
        <w:pStyle w:val="Heading2"/>
      </w:pPr>
      <w:bookmarkStart w:id="64" w:name="_Toc56668390"/>
      <w:r>
        <w:t>Basis of Presentation of Financial Results and Estimates</w:t>
      </w:r>
      <w:bookmarkEnd w:id="64"/>
    </w:p>
    <w:p w:rsidR="006123A1" w:rsidRDefault="006123A1" w:rsidP="005B07C7">
      <w:pPr>
        <w:pStyle w:val="BodyText1"/>
      </w:pPr>
      <w:r>
        <w:t xml:space="preserve">The financial reports and financial schedules contained in this Official Statement are based on principles that may vary based on the requirements of the report or schedule.  The cash flow schedules include all financial activity reported specifically in the General Purpose Revenue Fund on a cash basis, while the fund level financial statements and revenue estimates are primarily prepared on the modified accrual basis of accounting.  Revenue estimates are prepared for those revenues that are related primarily to the general taxing powers of the State, and to a lesser degree include intergovernmental transactions, </w:t>
      </w:r>
      <w:r w:rsidR="001B117D">
        <w:t>fees</w:t>
      </w:r>
      <w:r>
        <w:t xml:space="preserve"> for services and receipts from the federal government.  The General Fund as defined in the financial statements includes revenues and expenditures for certain special cash receipts that are related to fees, permits and other </w:t>
      </w:r>
      <w:r w:rsidR="001B117D">
        <w:t>fees</w:t>
      </w:r>
      <w:r>
        <w:t xml:space="preserve"> rather than to the general taxing power of the State.  See also </w:t>
      </w:r>
      <w:r w:rsidR="00A06786">
        <w:t>“</w:t>
      </w:r>
      <w:r w:rsidR="004D1918">
        <w:t>APPENDIX E</w:t>
      </w:r>
      <w:r>
        <w:t xml:space="preserve"> – THE STATE GENERAL FUND</w:t>
      </w:r>
      <w:r w:rsidR="00A06786">
        <w:t>”</w:t>
      </w:r>
      <w:r>
        <w:t xml:space="preserve"> – General</w:t>
      </w:r>
      <w:r w:rsidR="00A06786">
        <w:t>”</w:t>
      </w:r>
      <w:r>
        <w:t xml:space="preserve"> for a discussion of the distinction between the statutory General Fund and the GAAP General Fund.</w:t>
      </w:r>
    </w:p>
    <w:p w:rsidR="006123A1" w:rsidRDefault="006123A1" w:rsidP="003A3DD0">
      <w:pPr>
        <w:pStyle w:val="Heading2"/>
      </w:pPr>
      <w:bookmarkStart w:id="65" w:name="_Toc56668391"/>
      <w:r>
        <w:t>Financial Audits</w:t>
      </w:r>
      <w:bookmarkEnd w:id="65"/>
    </w:p>
    <w:p w:rsidR="006123A1" w:rsidRDefault="006123A1" w:rsidP="005B07C7">
      <w:pPr>
        <w:pStyle w:val="BodyText1"/>
      </w:pPr>
      <w:r>
        <w:t xml:space="preserve">Financial and post-performance audits of all State agencies are performed by the State Auditor (the </w:t>
      </w:r>
      <w:r w:rsidR="00A06786">
        <w:t>“</w:t>
      </w:r>
      <w:r>
        <w:t>Auditor</w:t>
      </w:r>
      <w:r w:rsidR="00A06786">
        <w:t>”</w:t>
      </w:r>
      <w:r>
        <w:t>) through the Auditor</w:t>
      </w:r>
      <w:r w:rsidR="00A06786">
        <w:t>’</w:t>
      </w:r>
      <w:r>
        <w:t>s staff as assisted by independent accounting firms selected solely by the Auditor.  The Auditor is an employee of the legislative branch and is appointed for a term of five years by the General Assembly based on the recommendations of the Legislative Audit Committee of the General Assembly.  The present Auditor has been appointed to a term expiring on June 30, 2021.  The Legislative Audit Committee is comprised of members of both houses of the General Assembly and has responsibility to direct and review audits conducted by the Auditor.</w:t>
      </w:r>
    </w:p>
    <w:p w:rsidR="006123A1" w:rsidRDefault="008262D0" w:rsidP="005B07C7">
      <w:pPr>
        <w:pStyle w:val="BodyText1"/>
      </w:pPr>
      <w:r>
        <w:t>The State</w:t>
      </w:r>
      <w:r w:rsidR="00A06786">
        <w:t>’</w:t>
      </w:r>
      <w:r w:rsidR="00347584">
        <w:t>s Fiscal Year 2018-19</w:t>
      </w:r>
      <w:r>
        <w:t xml:space="preserve"> CAFR, including the St</w:t>
      </w:r>
      <w:r w:rsidR="00D646CF">
        <w:t>ate Auditor</w:t>
      </w:r>
      <w:r w:rsidR="00A06786">
        <w:t>’</w:t>
      </w:r>
      <w:r w:rsidR="00D646CF">
        <w:t xml:space="preserve">s Opinion thereon, </w:t>
      </w:r>
      <w:r>
        <w:t>and the St</w:t>
      </w:r>
      <w:r w:rsidR="006667AF">
        <w:t>ate</w:t>
      </w:r>
      <w:r w:rsidR="00A06786">
        <w:t>’</w:t>
      </w:r>
      <w:r w:rsidR="006667AF">
        <w:t>s unaudited Fiscal Ye</w:t>
      </w:r>
      <w:r w:rsidR="00347584">
        <w:t>ar 2019-20</w:t>
      </w:r>
      <w:r>
        <w:t xml:space="preserve"> BFS are appended to this Official Statement as Appendix A.  </w:t>
      </w:r>
      <w:r w:rsidR="006123A1">
        <w:t>The Office of the State Auditor, being the State</w:t>
      </w:r>
      <w:r w:rsidR="00A06786">
        <w:t>’</w:t>
      </w:r>
      <w:r w:rsidR="006123A1">
        <w:t>s independent auditor, has not been engaged to perform and has not performed since the date of the State Auditor</w:t>
      </w:r>
      <w:r w:rsidR="00A06786">
        <w:t>’</w:t>
      </w:r>
      <w:r w:rsidR="006123A1">
        <w:t>s report included herein, any procedures on the financial statements pr</w:t>
      </w:r>
      <w:r w:rsidR="00347584">
        <w:t>esented in the Fiscal Year 2018-19</w:t>
      </w:r>
      <w:r w:rsidR="006123A1">
        <w:t xml:space="preserve"> CAFR, nor has the State Auditor performed any procedures relating t</w:t>
      </w:r>
      <w:r w:rsidR="00D646CF">
        <w:t>o this Official Stat</w:t>
      </w:r>
      <w:r w:rsidR="00347584">
        <w:t>ement or the Fiscal Year 2019-20</w:t>
      </w:r>
      <w:r w:rsidR="00D646CF">
        <w:t xml:space="preserve"> BFS.</w:t>
      </w:r>
    </w:p>
    <w:p w:rsidR="006123A1" w:rsidRDefault="006123A1" w:rsidP="003A3DD0">
      <w:pPr>
        <w:pStyle w:val="Heading2"/>
      </w:pPr>
      <w:bookmarkStart w:id="66" w:name="_Toc56668392"/>
      <w:r>
        <w:t>Investment and Deposit of State Funds</w:t>
      </w:r>
      <w:bookmarkEnd w:id="66"/>
    </w:p>
    <w:p w:rsidR="006123A1" w:rsidRDefault="006123A1" w:rsidP="005B07C7">
      <w:pPr>
        <w:pStyle w:val="BodyText1"/>
      </w:pPr>
      <w:r>
        <w:t>The State Treasurer is empowered by Articles 36 and 75 of Title 24, C.R.S., as well as other State statutes, to invest State funds in certain public and non-public fixed income securities.  In making such investments, the State Treasurer is to use prudence and care to preserve the principal and to secure the maximum rate of interest consistent with safety and liquidity.  The State Treasurer is also required to formulate investment policies regarding the liquidity, maturity and diversification appropriate to each fund or pool of funds in the State Treasurer</w:t>
      </w:r>
      <w:r w:rsidR="00A06786">
        <w:t>’</w:t>
      </w:r>
      <w:r>
        <w:t>s custody available for investment.  In accordance with this directive, the State Treasurer has developed standards for each portfolio to establish the asset allocation, the level of liquidity, the credit risk profile, the average maturity/duration and performance monitoring measures appropriate to the public purpose and goals of each State fund.</w:t>
      </w:r>
    </w:p>
    <w:p w:rsidR="006123A1" w:rsidRDefault="006123A1" w:rsidP="005B07C7">
      <w:pPr>
        <w:pStyle w:val="BodyText1"/>
      </w:pPr>
      <w:r>
        <w:t>The State Treasurer is also authorized to deposit State funds in national or state chartered banks and savings and loan associations having a principal office in the State and designated as an eligible public depository by the State Banking Board or the State Commissioner of Financial Services, respectively.  To the extent that the deposits exceed applicable federal insurance limits, they are required to be collateralized with eligible collateral (as defined by statute) having a market value at all times equal to at least 100% of the amount of the deposit that exceeds federal insurance (102% for banks).</w:t>
      </w:r>
    </w:p>
    <w:p w:rsidR="006123A1" w:rsidRDefault="006123A1" w:rsidP="005B07C7">
      <w:pPr>
        <w:pStyle w:val="BodyText1"/>
      </w:pPr>
      <w:r>
        <w:t xml:space="preserve">See also Notes 3 and 4 to </w:t>
      </w:r>
      <w:r w:rsidR="00A06786">
        <w:t xml:space="preserve">both </w:t>
      </w:r>
      <w:r>
        <w:t>the State</w:t>
      </w:r>
      <w:r w:rsidR="00A06786">
        <w:t>’</w:t>
      </w:r>
      <w:r w:rsidR="00347584">
        <w:t>s Fiscal Year 2018-19</w:t>
      </w:r>
      <w:r>
        <w:t xml:space="preserve"> CAFR</w:t>
      </w:r>
      <w:r w:rsidR="00D646CF">
        <w:t xml:space="preserve"> </w:t>
      </w:r>
      <w:r w:rsidR="00A06786">
        <w:t xml:space="preserve">and </w:t>
      </w:r>
      <w:r w:rsidR="008262D0">
        <w:t>the State</w:t>
      </w:r>
      <w:r w:rsidR="00A06786">
        <w:t>’</w:t>
      </w:r>
      <w:r w:rsidR="00347584">
        <w:t>s Fiscal Year 2019-20</w:t>
      </w:r>
      <w:r w:rsidR="008262D0">
        <w:t xml:space="preserve"> unaudited BFS </w:t>
      </w:r>
      <w:r>
        <w:t xml:space="preserve">appended to this Official Statement and </w:t>
      </w:r>
      <w:r w:rsidR="00A06786">
        <w:t>“</w:t>
      </w:r>
      <w:r>
        <w:t>APPENDIX E – THE STATE GENERAL FUND – Investment of the State Pool.</w:t>
      </w:r>
      <w:r w:rsidR="00A06786">
        <w:t>”</w:t>
      </w:r>
    </w:p>
    <w:p w:rsidR="006123A1" w:rsidRDefault="006123A1" w:rsidP="00154778">
      <w:pPr>
        <w:pStyle w:val="Heading2"/>
        <w:keepNext/>
      </w:pPr>
      <w:bookmarkStart w:id="67" w:name="_Toc56668393"/>
      <w:r>
        <w:t>The State General Fund</w:t>
      </w:r>
      <w:bookmarkEnd w:id="67"/>
    </w:p>
    <w:p w:rsidR="006123A1" w:rsidRDefault="006123A1" w:rsidP="00154778">
      <w:pPr>
        <w:pStyle w:val="BodyText1"/>
        <w:keepNext/>
      </w:pPr>
      <w:r>
        <w:t xml:space="preserve">The General Fund is the principal operating fund of the State.  All revenues and moneys not required by the State Constitution or statutes to be credited and paid into a special State fund are required to be credited and paid into the General Fund.  To make the distinction between the statutory General Fund and the GAAP General Fund, the CAFR refers to the statutory General Fund as the General Purpose Revenue Fund.  The revenues in the General Purpose Revenue Fund are not collected for a specific statutory use but rather are available for appropriation for any purpose by the General Assembly.  See </w:t>
      </w:r>
      <w:r w:rsidR="00A06786">
        <w:t>“</w:t>
      </w:r>
      <w:r>
        <w:t>APPENDIX</w:t>
      </w:r>
      <w:r w:rsidR="0034253E">
        <w:t> </w:t>
      </w:r>
      <w:r>
        <w:t>E – THE STATE GENERAL FUND</w:t>
      </w:r>
      <w:r w:rsidR="00A06786">
        <w:t>”</w:t>
      </w:r>
      <w:r>
        <w:t xml:space="preserve"> for a discussion of the General Fund.</w:t>
      </w:r>
    </w:p>
    <w:p w:rsidR="006123A1" w:rsidRDefault="006123A1" w:rsidP="00890CBC">
      <w:pPr>
        <w:pStyle w:val="Heading1"/>
        <w:keepNext/>
      </w:pPr>
      <w:bookmarkStart w:id="68" w:name="_Toc56668394"/>
      <w:r>
        <w:t>DEBT AND CERTAIN OTHER FINANCIAL OBLIGATIONS</w:t>
      </w:r>
      <w:bookmarkEnd w:id="68"/>
    </w:p>
    <w:p w:rsidR="006123A1" w:rsidRDefault="006123A1" w:rsidP="00890CBC">
      <w:pPr>
        <w:pStyle w:val="Heading2"/>
        <w:keepNext/>
      </w:pPr>
      <w:bookmarkStart w:id="69" w:name="_Toc56668395"/>
      <w:r>
        <w:t>The State, State Departments and Agencies</w:t>
      </w:r>
      <w:bookmarkEnd w:id="69"/>
      <w:r>
        <w:t xml:space="preserve"> </w:t>
      </w:r>
    </w:p>
    <w:p w:rsidR="006123A1" w:rsidRDefault="006123A1" w:rsidP="00890CBC">
      <w:pPr>
        <w:pStyle w:val="BodyText1"/>
        <w:keepNext/>
      </w:pPr>
      <w:r w:rsidRPr="004D6310">
        <w:rPr>
          <w:b/>
          <w:i/>
        </w:rPr>
        <w:t>Generally</w:t>
      </w:r>
      <w:r>
        <w:t>.  The State Constitution prohibits the State from incurring debt except for limited purposes, for limited periods of time and in inconsequential amounts.  The State courts have defined debt to mean any obligation of the State requiring payment out of future years</w:t>
      </w:r>
      <w:r w:rsidR="00A06786">
        <w:t>’</w:t>
      </w:r>
      <w:r>
        <w:t xml:space="preserve"> general revenues.  Accordingly, the State currently has, and upon execution and delivery of the Series </w:t>
      </w:r>
      <w:r w:rsidR="00480C95">
        <w:t>2020R</w:t>
      </w:r>
      <w:r>
        <w:t xml:space="preserve"> Certificates will have, no outstanding general obligation debt.</w:t>
      </w:r>
    </w:p>
    <w:p w:rsidR="00347584" w:rsidRDefault="006123A1" w:rsidP="0071094D">
      <w:pPr>
        <w:pStyle w:val="BodyText1"/>
      </w:pPr>
      <w:r w:rsidRPr="004D6310">
        <w:rPr>
          <w:b/>
          <w:i/>
        </w:rPr>
        <w:t>Governmental Activities</w:t>
      </w:r>
      <w:r>
        <w:t xml:space="preserve">.  The State is authorized to and has entered into lease purchase agreements in connection with various public projects, some of which have been financed by the sale of certificates of participation in the revenues of the related </w:t>
      </w:r>
      <w:r w:rsidR="00163777">
        <w:t>lease purchase agreements</w:t>
      </w:r>
      <w:r w:rsidR="00EC6306">
        <w:t>.</w:t>
      </w:r>
      <w:r w:rsidR="00163777">
        <w:t xml:space="preserve">  </w:t>
      </w:r>
      <w:r w:rsidR="00EC6306">
        <w:t xml:space="preserve">The obligations of the State to make </w:t>
      </w:r>
      <w:r>
        <w:t xml:space="preserve">lease payments under such agreements each Fiscal Year are contingent upon annual appropriations by the General Assembly.  </w:t>
      </w:r>
      <w:r w:rsidR="00347584" w:rsidRPr="0089510D">
        <w:t>See Notes 11 and 12 to the State</w:t>
      </w:r>
      <w:r w:rsidR="00347584">
        <w:t>’</w:t>
      </w:r>
      <w:r w:rsidR="00347584" w:rsidRPr="0089510D">
        <w:t>s Fiscal Year 2018-19 CAFR appended to this for a discussion of the outstanding lease-purchase agreements entered into by the State as of June 30, 2019, as well as the aggregate minimum lease payments due under such lease-purchase entered into by the State for Fiscal Years 2018-19 and thereafter, and also Note 21 to the Fiscal Year 2018-19 CAFR for a discussion of lease-purchase agreements entered into by the State June 30, 2019, but before publication of the Fiscal Year 2018-19 CAFR.</w:t>
      </w:r>
      <w:r w:rsidR="00347584">
        <w:t xml:space="preserve">  Additionally, on June 2, 2020, the State issued its Rural Colorado Certificates of Participation Series 2020A in the aggregate principal amount of $500,000,000, which are paid and secured by certain payments made by the State pursuant to a lease purchase agreement.  </w:t>
      </w:r>
      <w:r w:rsidR="003D6851" w:rsidRPr="003D6851">
        <w:t>The State also issued its Colorado Department of Transportation Second Amended and Restated Headquarters Facilities Lease Purchase Agreement Refunding Certificates of Participation Series 2020 in the aggregate principal amount of $19,050,000 on August 5, 2020, which are paid and secured by certain payments made by the State, acting by and through the Colorado Department of Transportation, pursuant to a lease purchase agreement</w:t>
      </w:r>
      <w:r w:rsidR="003D6851">
        <w:t xml:space="preserve">.  </w:t>
      </w:r>
      <w:r w:rsidR="009E7FD2">
        <w:t xml:space="preserve">Furthermore, on </w:t>
      </w:r>
      <w:r w:rsidR="00347584">
        <w:t>October</w:t>
      </w:r>
      <w:r w:rsidR="009E7FD2">
        <w:t xml:space="preserve"> 14, 2020</w:t>
      </w:r>
      <w:r w:rsidR="0071094D">
        <w:t>, the State issued</w:t>
      </w:r>
      <w:r w:rsidR="00347584">
        <w:t xml:space="preserve"> its National Western Center Certificates of Participation Series 2020A (Tax-Exempt) in the aggregate principal amount of $68,950,000 and its </w:t>
      </w:r>
      <w:r w:rsidR="00347584" w:rsidRPr="00CA233F">
        <w:t>National Western Center Certificates of Participation Series 2020</w:t>
      </w:r>
      <w:r w:rsidR="00347584">
        <w:t>B</w:t>
      </w:r>
      <w:r w:rsidR="00347584" w:rsidRPr="00CA233F">
        <w:t xml:space="preserve"> (Tax</w:t>
      </w:r>
      <w:r w:rsidR="00347584">
        <w:t>able</w:t>
      </w:r>
      <w:r w:rsidR="00347584" w:rsidRPr="00CA233F">
        <w:t>) in the aggregate principal amount of $</w:t>
      </w:r>
      <w:r w:rsidR="00347584">
        <w:t>44</w:t>
      </w:r>
      <w:r w:rsidR="00347584" w:rsidRPr="00CA233F">
        <w:t>,</w:t>
      </w:r>
      <w:r w:rsidR="00347584">
        <w:t>105</w:t>
      </w:r>
      <w:r w:rsidR="00347584" w:rsidRPr="00CA233F">
        <w:t>,00</w:t>
      </w:r>
      <w:r w:rsidR="00347584">
        <w:t>0</w:t>
      </w:r>
      <w:r w:rsidR="00347584" w:rsidRPr="00CA233F">
        <w:t xml:space="preserve"> which are paid and secured by certain payments made by the State pursuant to a lease purchase agreement.</w:t>
      </w:r>
      <w:r w:rsidR="003D6851">
        <w:t xml:space="preserve">  The State currently expects to issue certain additional certificates of participation in December 2020 to fund certain capital improvements for state institutions of higher education.</w:t>
      </w:r>
    </w:p>
    <w:p w:rsidR="006123A1" w:rsidRDefault="006123A1" w:rsidP="005B07C7">
      <w:pPr>
        <w:pStyle w:val="BodyText1"/>
      </w:pPr>
      <w:r>
        <w:t xml:space="preserve">In addition to lease purchase agreements, the State is authorized to enter into lease or rental agreements for buildings and/or equipment, all of which contain a stipulation that continuation of the lease is subject to funding by the General Assembly.  Historically, these agreements have been renewed in the normal course of business and are therefore treated as non-cancelable for financial reporting purposes.  In addition, these agreements generally are entered into through private negotiation with lessors, banks or other financial institutions rather than being publicly offered.  </w:t>
      </w:r>
      <w:r w:rsidR="0071094D">
        <w:t>See Notes 10 and 12 to the State’s Fiscal Year 2018-19 CAFR appended to this Official Statement for a discussion of the outstanding lease/rental agreements entered into by the State as of June 30, 2019 as well as the aggregate minimum payment obligations under such agreements in Fiscal Year 2018-19 and thereafter.</w:t>
      </w:r>
    </w:p>
    <w:p w:rsidR="008E53C8" w:rsidRDefault="006123A1" w:rsidP="008E53C8">
      <w:pPr>
        <w:pStyle w:val="BodyText1"/>
      </w:pPr>
      <w:r>
        <w:t>State departments and agencies, including State institutions of higher education, are also authorized to and have entered into annually renewable lease purchase agreements, and to issue revenue bonds and notes, for the purchase of equipment, the construction of facilities and infrastructure and other business-type activities.  With the exception of the University of Colorado, which is governed by an elected Board of Regents, the institutions of higher education are governed by boards whose members are appointed by the Governor with the consent of the State Se</w:t>
      </w:r>
      <w:r w:rsidR="0071094D">
        <w:t>nate. See Notes 11, 12 and 21 to the State’s Fiscal Year 2018-19 CAFR appended to this Official Statement for a discussion of such bonds and notes outstanding as of June 30, 2019, and of those issued after June 30, 2019, but before publication of the Fiscal Year 2018-19 CAFR.</w:t>
      </w:r>
      <w:r w:rsidR="008E53C8">
        <w:t xml:space="preserve">  </w:t>
      </w:r>
      <w:r>
        <w:t xml:space="preserve">The revenue bonds and certificates of participation, some of which have been financed by the sale of certificates of participation in the revenues of the related lease purchase agreements, have in most cases been publicly offered, while the notes have generally been issued through private negotiation directly with banks or other financial institutions.  </w:t>
      </w:r>
      <w:r w:rsidR="008E53C8">
        <w:t>The State has contingent moral obligations to intercept revenue and make certain debt payments on notes and bonds issued by State school districts in the event they fail to make a required payment to the holders of such notes and bonds. See Notes 19 and 21 to the State’s Fiscal Year 2018-19 CAFR appended to this Official Statement.</w:t>
      </w:r>
    </w:p>
    <w:p w:rsidR="006123A1" w:rsidRDefault="006123A1" w:rsidP="005B07C7">
      <w:pPr>
        <w:pStyle w:val="BodyText1"/>
      </w:pPr>
      <w:r>
        <w:t>See also the Statistical Section of the State</w:t>
      </w:r>
      <w:r w:rsidR="00A06786">
        <w:t>’</w:t>
      </w:r>
      <w:r w:rsidR="008E53C8">
        <w:t>s Fiscal Year 2018-19</w:t>
      </w:r>
      <w:r>
        <w:t xml:space="preserve"> CAFR for a ten-year history of the total outstanding debt and related debt service expenditures of the State.</w:t>
      </w:r>
    </w:p>
    <w:p w:rsidR="006123A1" w:rsidRDefault="006123A1" w:rsidP="003A3DD0">
      <w:pPr>
        <w:pStyle w:val="Heading2"/>
      </w:pPr>
      <w:bookmarkStart w:id="70" w:name="_Toc56668396"/>
      <w:r>
        <w:t>State Tax and Revenue Anticipation Notes</w:t>
      </w:r>
      <w:bookmarkEnd w:id="70"/>
    </w:p>
    <w:p w:rsidR="006123A1" w:rsidRDefault="006123A1" w:rsidP="005B07C7">
      <w:pPr>
        <w:pStyle w:val="BodyText1"/>
      </w:pPr>
      <w:r>
        <w:t>Under State law, the State Treasurer is authorized to issue and sell notes payable from the anticipated revenues of any one or more State funds or groups of accounts to meet temporary cash flow shortfalls.  Since Fiscal Year 1984-85, the State has issued tax and revenue anticipation notes in order to fund cash flow shortfalls in the General Fund.  For certain Fiscal Years, the State has also funded cash flow shortfalls by use of the proceeds of internal borrowing from State funds other than the General Fund.  Since Fiscal Year 2003-04, the State has also issued education loan anticipation notes for local school districts in anticipation of local school district revenues to be collected at a later date.  All tax and revenue anticipation notes previously issued by the State have been paid in full and on time</w:t>
      </w:r>
      <w:r w:rsidR="008E53C8">
        <w:t>.</w:t>
      </w:r>
    </w:p>
    <w:p w:rsidR="008E53C8" w:rsidRPr="008E53C8" w:rsidRDefault="008E53C8" w:rsidP="008E53C8">
      <w:pPr>
        <w:pStyle w:val="BodyText1"/>
        <w:rPr>
          <w:spacing w:val="-2"/>
          <w:szCs w:val="22"/>
        </w:rPr>
      </w:pPr>
      <w:r>
        <w:rPr>
          <w:spacing w:val="-2"/>
          <w:szCs w:val="22"/>
        </w:rPr>
        <w:t xml:space="preserve">On August 4, 2020, the State issued $410 million in aggregate principal amount of its Education Loan Program Tax and Revenue Anticipation Notes, Series 2020A in order to meet cash flow shortages experienced by local school districts in the State.  On August 6, 2020, the State issued $600 million in aggregate principal amount of its General Fund Tax and Revenue Anticipation Notes, Series 2020, in order to fund anticipated cash flow shortfalls in the General Fund in Fiscal Year 2020-21.  </w:t>
      </w:r>
    </w:p>
    <w:p w:rsidR="006123A1" w:rsidRDefault="006123A1" w:rsidP="005B07C7">
      <w:pPr>
        <w:pStyle w:val="BodyText1"/>
      </w:pPr>
      <w:r>
        <w:t>See also the Statistical Section of the State</w:t>
      </w:r>
      <w:r w:rsidR="00A06786">
        <w:t>’</w:t>
      </w:r>
      <w:r w:rsidR="008E53C8">
        <w:t>s Fiscal Year 2018-19</w:t>
      </w:r>
      <w:r>
        <w:t xml:space="preserve"> CAFR appended to this Official Statement for a ten year history of the total outstanding debt and related debt service expenditures of the State.</w:t>
      </w:r>
    </w:p>
    <w:p w:rsidR="006123A1" w:rsidRDefault="006123A1" w:rsidP="003A3DD0">
      <w:pPr>
        <w:pStyle w:val="Heading2"/>
      </w:pPr>
      <w:bookmarkStart w:id="71" w:name="_Toc56668397"/>
      <w:r>
        <w:t>State Authorities</w:t>
      </w:r>
      <w:bookmarkEnd w:id="71"/>
    </w:p>
    <w:p w:rsidR="006123A1" w:rsidRDefault="006123A1" w:rsidP="005B07C7">
      <w:pPr>
        <w:pStyle w:val="BodyText1"/>
      </w:pPr>
      <w:r>
        <w:t>A number of State authorities have issued financial obligations to support activities related to the special purposes of such entities.  Such obligations do not constitute a debt or liability of the State and the State Treasurer has no responsibility for such issuances, although pursuant to Section 22-30.5-408, C.R.S., the State may, but is not obligated to, appropriate moneys to cure unreplenished draws on debt service reserve funds for certain bonds issued by the Colorado Educational and Cultural Facilities Authority to fund facilities for charter schools.  Generally, State authorities are legally separate, independent bodies governed by their own boards, some including ex-officio State officials and/or members appointed by the Governor or ranking members of the General Assembly (in most cases with the consent of the State Senate).</w:t>
      </w:r>
    </w:p>
    <w:p w:rsidR="006123A1" w:rsidRDefault="006123A1" w:rsidP="003A3DD0">
      <w:pPr>
        <w:pStyle w:val="Heading2"/>
      </w:pPr>
      <w:bookmarkStart w:id="72" w:name="_Toc56668398"/>
      <w:r>
        <w:t>Pension and Post-Employment Benefits</w:t>
      </w:r>
      <w:bookmarkEnd w:id="72"/>
    </w:p>
    <w:p w:rsidR="006123A1" w:rsidRDefault="006123A1" w:rsidP="005B07C7">
      <w:pPr>
        <w:pStyle w:val="BodyText1"/>
      </w:pPr>
      <w:r w:rsidRPr="004D6310">
        <w:rPr>
          <w:b/>
          <w:i/>
        </w:rPr>
        <w:t>General</w:t>
      </w:r>
      <w:r>
        <w:t xml:space="preserve">.  The State provides post-employment benefits to its employees based on their work tenure and earnings history through a defined benefit pension plan (as more particularly defined in </w:t>
      </w:r>
      <w:r w:rsidR="00A06786">
        <w:t>“</w:t>
      </w:r>
      <w:r w:rsidR="004D1918">
        <w:t>APPENDIX J</w:t>
      </w:r>
      <w:r>
        <w:t xml:space="preserve"> – STATE PENSION SYSTEM,</w:t>
      </w:r>
      <w:r w:rsidR="00A06786">
        <w:t>”</w:t>
      </w:r>
      <w:r>
        <w:t xml:space="preserve"> the </w:t>
      </w:r>
      <w:r w:rsidR="00A06786">
        <w:t>“</w:t>
      </w:r>
      <w:r>
        <w:t>State Division Plan</w:t>
      </w:r>
      <w:r w:rsidR="00A06786">
        <w:t>”</w:t>
      </w:r>
      <w:r>
        <w:t xml:space="preserve">).  State employees hired after 2005 may, in lieu of participating in the State Division Plan, elect to participate in a defined contribution plan (the </w:t>
      </w:r>
      <w:r w:rsidR="00A06786">
        <w:t>“</w:t>
      </w:r>
      <w:r>
        <w:t>State Division DC Plan</w:t>
      </w:r>
      <w:r w:rsidR="00A06786">
        <w:t>”</w:t>
      </w:r>
      <w:r>
        <w:t>), although the majority of State employees participate in the State Division Plan.  State employees may also elect to participate in a limited healthcare plan.  Each plan is administered by the Public Employees</w:t>
      </w:r>
      <w:r w:rsidR="00A06786">
        <w:t>’</w:t>
      </w:r>
      <w:r>
        <w:t xml:space="preserve"> Retirement Association (</w:t>
      </w:r>
      <w:r w:rsidR="00A06786">
        <w:t>“</w:t>
      </w:r>
      <w:r>
        <w:t>PERA</w:t>
      </w:r>
      <w:r w:rsidR="00A06786">
        <w:t>”</w:t>
      </w:r>
      <w:r>
        <w:t>), which is a statutorily created legal entity that is separate from the State.  PERA also administers plans for school districts, local governments and other entities, each of which is considered a separate division of PERA and for which the State has no obligation to make contributions or fund benefits.  The State does not participate in the federal Old Age, Survivors and Disability Insurance (Social Security) program.</w:t>
      </w:r>
    </w:p>
    <w:p w:rsidR="00280F36" w:rsidRDefault="006123A1" w:rsidP="005B07C7">
      <w:pPr>
        <w:pStyle w:val="BodyText1"/>
      </w:pPr>
      <w:r>
        <w:t xml:space="preserve">For a general description of the State Division Plan and PERA, see </w:t>
      </w:r>
      <w:r w:rsidR="00A06786">
        <w:t>“</w:t>
      </w:r>
      <w:r>
        <w:t>APPENDIX J – STATE PENSION SYSTEM.</w:t>
      </w:r>
      <w:r w:rsidR="00A06786">
        <w:t>”</w:t>
      </w:r>
      <w:r>
        <w:t xml:space="preserve">  For a detailed discussion of the State Division Plan, the State Division DC Plan, the limited healthcare plan and PERA, see Notes 6, 7 and 8 to</w:t>
      </w:r>
      <w:r w:rsidR="00252477">
        <w:t xml:space="preserve"> both </w:t>
      </w:r>
      <w:r>
        <w:t>the State</w:t>
      </w:r>
      <w:r w:rsidR="00A06786">
        <w:t>’</w:t>
      </w:r>
      <w:r>
        <w:t>s Fiscal Year 2</w:t>
      </w:r>
      <w:r w:rsidR="00280F36">
        <w:t>018-19</w:t>
      </w:r>
      <w:r>
        <w:t xml:space="preserve"> CAFR </w:t>
      </w:r>
      <w:r w:rsidR="00280F36">
        <w:t>and Fiscal Year 2019-20</w:t>
      </w:r>
      <w:r w:rsidR="00252477">
        <w:t xml:space="preserve"> BFS </w:t>
      </w:r>
      <w:r>
        <w:t>appended to this Official Statement, as well as PERA</w:t>
      </w:r>
      <w:r w:rsidR="00A06786">
        <w:t>’</w:t>
      </w:r>
      <w:r>
        <w:t>s Comprehensive Annual Financi</w:t>
      </w:r>
      <w:r w:rsidR="00280F36">
        <w:t>al Report for calendar year 2018</w:t>
      </w:r>
      <w:r>
        <w:t xml:space="preserve"> (the </w:t>
      </w:r>
      <w:r w:rsidR="00A06786">
        <w:t>“</w:t>
      </w:r>
      <w:r w:rsidR="00280F36">
        <w:t>PERA 2018</w:t>
      </w:r>
      <w:r>
        <w:t xml:space="preserve"> CAFR</w:t>
      </w:r>
      <w:r w:rsidR="00A06786">
        <w:t>”</w:t>
      </w:r>
      <w:r>
        <w:t>).  The information in the State</w:t>
      </w:r>
      <w:r w:rsidR="00A06786">
        <w:t>’</w:t>
      </w:r>
      <w:r w:rsidR="00280F36">
        <w:t>s Fiscal Year 2018-19</w:t>
      </w:r>
      <w:r>
        <w:t xml:space="preserve"> CAFR regarding PERA is derived from </w:t>
      </w:r>
      <w:r w:rsidR="00280F36">
        <w:t xml:space="preserve">the </w:t>
      </w:r>
      <w:r>
        <w:t>PERA</w:t>
      </w:r>
      <w:r w:rsidR="00280F36">
        <w:t xml:space="preserve"> 2018 CAFR. </w:t>
      </w:r>
    </w:p>
    <w:p w:rsidR="00280F36" w:rsidRDefault="006123A1" w:rsidP="00280F36">
      <w:pPr>
        <w:pStyle w:val="BodyText1"/>
      </w:pPr>
      <w:r w:rsidRPr="00A13B10">
        <w:rPr>
          <w:b/>
          <w:i/>
        </w:rPr>
        <w:t>The State Division Plan</w:t>
      </w:r>
      <w:r>
        <w:t xml:space="preserve">.  The State Division Plan is funded with contributions made by the State and by each participating State employee at rates that are established by statute.  The State has consistently made all statutorily required contributions to the State Division Plan.  </w:t>
      </w:r>
      <w:r w:rsidR="00280F36">
        <w:t>However, the State Division Plan remains significantly underfunded.  In order to address the funding status of PERA’s defined benefit plans, including the State Division Plan, the General Assembly enacted SB 18-200, which made changes to the defined benefit plans administered by PERA with the goal of eliminating the UAAL of such plans and thereby reach a 100% funded ratio for each of such plans within a 30-year period.  SB 18-200 made changes to certain benefit and contribution provisions of the defined benefit plans administered by PERA, including implementing a provision that automatically adjusts employee and employer contribution rates, annual cost of living increases and the State’s annual direct contribution to PERA within certain statutory parameters so as to stay with in the 30-year funding goal.  Previously, such adjustments required action by the General Assembly.</w:t>
      </w:r>
    </w:p>
    <w:p w:rsidR="00280F36" w:rsidRDefault="00280F36" w:rsidP="00280F36">
      <w:pPr>
        <w:pStyle w:val="BodyText1"/>
        <w:rPr>
          <w:rFonts w:eastAsia="Calibri"/>
        </w:rPr>
      </w:pPr>
      <w:r>
        <w:t xml:space="preserve">The PERA 2019 CAFR reports that at December 31, 2019, the actuarial value of assets of the State Division Plan was approximately $14.922 billion and the actuarial accrued liability, or “AAL,” of the Plan was approximately $25.718 billion, resulting in an unfunded actuarial accrued liability, or “UAAL,’’ approximately $10.796 billion, a funded ratio of 58.0 % and an amortization period of 35 years, all as further described in </w:t>
      </w:r>
      <w:r w:rsidRPr="003323D1">
        <w:rPr>
          <w:b/>
        </w:rPr>
        <w:t>Appendix E</w:t>
      </w:r>
      <w:r>
        <w:t xml:space="preserve"> – “STATE PENSION SYSTEM.”  The actuarial value of assets for the State Division Plan uses an asset valuation method of smoothing the difference between the market value of assets and the actuarial value of assets to prevent extreme fluctuations that may result from short-term or cyclical economic and market conditions.  Based on the market value of assets of the State Division Plan, at December 31, 2019, the Plan had an unfunded accrued liability of approximately $9.898 billion and a funded ratio of 61.5%.</w:t>
      </w:r>
    </w:p>
    <w:p w:rsidR="006123A1" w:rsidRDefault="006123A1" w:rsidP="005B07C7">
      <w:pPr>
        <w:pStyle w:val="BodyText1"/>
      </w:pPr>
      <w:r>
        <w:t xml:space="preserve">The funding status of the State Division Plan summarized above reflects the implementation by PERA in 2014 of GASB Statement No. 67, </w:t>
      </w:r>
      <w:r w:rsidR="00A06786">
        <w:t>“</w:t>
      </w:r>
      <w:r>
        <w:t>Financial Reporting for Pension Plans – An Amendment of GASB Statement No. 25</w:t>
      </w:r>
      <w:r w:rsidR="00A06786">
        <w:t>”</w:t>
      </w:r>
      <w:r>
        <w:t xml:space="preserve"> (</w:t>
      </w:r>
      <w:r w:rsidR="00A06786">
        <w:t>“</w:t>
      </w:r>
      <w:r>
        <w:t>GASB 67</w:t>
      </w:r>
      <w:r w:rsidR="00A06786">
        <w:t>”</w:t>
      </w:r>
      <w:r>
        <w:t>), which establishes new standards for financial reporting and note disclosure by defined benefit pension plans administered through qualified trusts, such as the State Division Plan, and note disclosure requirements for defined contribution pension plans administered through qualified trusts, such as the State Division DC Plan.</w:t>
      </w:r>
    </w:p>
    <w:p w:rsidR="006123A1" w:rsidRDefault="006123A1" w:rsidP="005B07C7">
      <w:pPr>
        <w:pStyle w:val="BodyText1"/>
      </w:pPr>
      <w:r>
        <w:t>Because the State</w:t>
      </w:r>
      <w:r w:rsidR="00A06786">
        <w:t>’</w:t>
      </w:r>
      <w:r>
        <w:t>s annual contributions with respect to the State Division Plan are set by statute and funded in the State</w:t>
      </w:r>
      <w:r w:rsidR="00A06786">
        <w:t>’</w:t>
      </w:r>
      <w:r>
        <w:t>s annual budget, such contributions are not affected in the short term by changes in the actuarial valuation of the Plan assets or the funding ratio of the Plan.</w:t>
      </w:r>
    </w:p>
    <w:p w:rsidR="006123A1" w:rsidRDefault="006123A1" w:rsidP="005B07C7">
      <w:pPr>
        <w:pStyle w:val="BodyText1"/>
      </w:pPr>
      <w:r>
        <w:t xml:space="preserve">See generally </w:t>
      </w:r>
      <w:r w:rsidR="00A06786">
        <w:t>“</w:t>
      </w:r>
      <w:r>
        <w:t>APPENDIX J – STATE PENSION SYSTEM</w:t>
      </w:r>
      <w:r w:rsidR="00A06786">
        <w:t>”</w:t>
      </w:r>
      <w:r>
        <w:t xml:space="preserve"> for further information regarding the State Division Plan.</w:t>
      </w:r>
    </w:p>
    <w:p w:rsidR="006123A1" w:rsidRDefault="006123A1" w:rsidP="005B07C7">
      <w:pPr>
        <w:pStyle w:val="BodyText1"/>
      </w:pPr>
      <w:r w:rsidRPr="00A13B10">
        <w:rPr>
          <w:b/>
          <w:i/>
        </w:rPr>
        <w:t>The Health Care Trust Fund</w:t>
      </w:r>
      <w:r>
        <w:t>.  The State also currently offers other post-employment health and life insurance benefits to its employees.  The post-employment health insurance to State employees is provided through PERA</w:t>
      </w:r>
      <w:r w:rsidR="00A06786">
        <w:t>’</w:t>
      </w:r>
      <w:r>
        <w:t>s Health Care Trust Fund, in which members from all divisions of PERA are eligible to participate.  The Health Care Trust Fund is a cost-sharing, multiple employer plan under which PERA subsidizes a portion of the monthly premium for health insurance coverage for certain State retirees and the remaining amount of the premium is funded by the benefit recipient through an automatic deduction from the monthly retirement benefit.  The Health Care Trust Fund is funded by a statutory allocation of moneys consisting of portions of, among other things, the employer statutorily required contributions, the amount paid by members and the amount of any reduction in the employer contribution rates to amortize any overfunding in each Division</w:t>
      </w:r>
      <w:r w:rsidR="00A06786">
        <w:t>’</w:t>
      </w:r>
      <w:r>
        <w:t>s t</w:t>
      </w:r>
      <w:r w:rsidR="00167EF2">
        <w:t>rust fund.  At December 31, 2019</w:t>
      </w:r>
      <w:r>
        <w:t>, taking into account the changes made by SB 18-200, the Health Care Trust Fund had an unfunded actuarial accrued liability of approximately $1.</w:t>
      </w:r>
      <w:r w:rsidR="00167EF2">
        <w:t>099 billion, a funded ratio of 24.1</w:t>
      </w:r>
      <w:r>
        <w:t xml:space="preserve">% and a </w:t>
      </w:r>
      <w:r w:rsidR="00167EF2">
        <w:t>20</w:t>
      </w:r>
      <w:r>
        <w:t>-year amortization period.  Because the Health Care Trust Fund is a cost sharing, multiple employer plan, PERA</w:t>
      </w:r>
      <w:r w:rsidR="00A06786">
        <w:t>’</w:t>
      </w:r>
      <w:r>
        <w:t>s actuary has not determined the portion of the unfunded actuarial accrued liability that applies to each Division participant.  The benefit provided by the Health Care Trust Fund is a fixed limited subsidy of the retiree</w:t>
      </w:r>
      <w:r w:rsidR="00A06786">
        <w:t>’</w:t>
      </w:r>
      <w:r>
        <w:t>s health care insurance premium payment, and the retiree bears all risk of medical cost inflation.  See Notes 9 and 11 to the PERA 201</w:t>
      </w:r>
      <w:r w:rsidR="00167EF2">
        <w:t>9</w:t>
      </w:r>
      <w:r>
        <w:t xml:space="preserve"> CAFR for additional information regarding the Health Care Trust Fund.</w:t>
      </w:r>
    </w:p>
    <w:p w:rsidR="002F4C18" w:rsidRPr="008E7D67" w:rsidRDefault="006123A1" w:rsidP="002F4C18">
      <w:pPr>
        <w:pStyle w:val="BodyText1"/>
        <w:rPr>
          <w:spacing w:val="-1"/>
          <w:szCs w:val="22"/>
        </w:rPr>
      </w:pPr>
      <w:r w:rsidRPr="00A13B10">
        <w:rPr>
          <w:b/>
          <w:i/>
        </w:rPr>
        <w:t>Implementation of Changes in Pension Accounting Standards Applicable to the State – GASB 68 and GASB 75</w:t>
      </w:r>
      <w:r>
        <w:t xml:space="preserve">.  GASB Statement No. 68, </w:t>
      </w:r>
      <w:r w:rsidR="00A06786">
        <w:t>“</w:t>
      </w:r>
      <w:r>
        <w:t>Accounting and Financial Reporting for Pensions</w:t>
      </w:r>
      <w:r w:rsidR="00A06786">
        <w:t>”</w:t>
      </w:r>
      <w:r>
        <w:t xml:space="preserve"> (</w:t>
      </w:r>
      <w:r w:rsidR="00A06786">
        <w:t>“</w:t>
      </w:r>
      <w:r>
        <w:t>GASB 68</w:t>
      </w:r>
      <w:r w:rsidR="00A06786">
        <w:t>”</w:t>
      </w:r>
      <w:r>
        <w:t>), which is related to GASB 67 but is applicable to the State, is effective for fiscal years beginning after June 15, 2014, and accordingly was first implemented in the State</w:t>
      </w:r>
      <w:r w:rsidR="00A06786">
        <w:t>’</w:t>
      </w:r>
      <w:r>
        <w:t>s Comprehensive Annual Financ</w:t>
      </w:r>
      <w:r w:rsidR="0038445F">
        <w:t>ial Report for Fiscal Year 2014-</w:t>
      </w:r>
      <w:r>
        <w:t xml:space="preserve">15 (the </w:t>
      </w:r>
      <w:r w:rsidR="00A06786">
        <w:t>“</w:t>
      </w:r>
      <w:r w:rsidR="0038445F">
        <w:t>Fiscal Year 2014-</w:t>
      </w:r>
      <w:r>
        <w:t>15 CAFR</w:t>
      </w:r>
      <w:r w:rsidR="00A06786">
        <w:t>”</w:t>
      </w:r>
      <w:r>
        <w:t>).  GASB 68 revises and establishes new financial reporting requirements for most governments, such as the State, that provide their employees with pension benefits.  GASB 68 requires cost-sharing employers participating in defined benefit plans to record their proportionate share of the unfunded pension liability</w:t>
      </w:r>
      <w:r w:rsidR="002F4C18">
        <w:t xml:space="preserve">.  </w:t>
      </w:r>
      <w:r w:rsidR="002F4C18" w:rsidRPr="008E7D67">
        <w:rPr>
          <w:spacing w:val="-1"/>
          <w:szCs w:val="22"/>
        </w:rPr>
        <w:t>The State reported a net pension liability in the State</w:t>
      </w:r>
      <w:r w:rsidR="002F4C18">
        <w:rPr>
          <w:spacing w:val="-1"/>
          <w:szCs w:val="22"/>
        </w:rPr>
        <w:t>’</w:t>
      </w:r>
      <w:r w:rsidR="002F4C18" w:rsidRPr="008E7D67">
        <w:rPr>
          <w:spacing w:val="-1"/>
          <w:szCs w:val="22"/>
        </w:rPr>
        <w:t>s Fiscal Year 2018-19</w:t>
      </w:r>
      <w:r w:rsidR="002F4C18">
        <w:rPr>
          <w:spacing w:val="-1"/>
          <w:szCs w:val="22"/>
        </w:rPr>
        <w:t xml:space="preserve"> CAFR of approximately $13.531 </w:t>
      </w:r>
      <w:r w:rsidR="002F4C18" w:rsidRPr="008E7D67">
        <w:rPr>
          <w:spacing w:val="-1"/>
          <w:szCs w:val="22"/>
        </w:rPr>
        <w:t>billion</w:t>
      </w:r>
      <w:r w:rsidR="002F4C18">
        <w:rPr>
          <w:spacing w:val="-1"/>
          <w:szCs w:val="22"/>
        </w:rPr>
        <w:t xml:space="preserve"> </w:t>
      </w:r>
      <w:r w:rsidR="002F4C18" w:rsidRPr="008E7D67">
        <w:rPr>
          <w:spacing w:val="-1"/>
          <w:szCs w:val="22"/>
        </w:rPr>
        <w:t xml:space="preserve">at June 30, 2019, compared to a </w:t>
      </w:r>
      <w:r w:rsidR="002F4C18">
        <w:rPr>
          <w:spacing w:val="-1"/>
          <w:szCs w:val="22"/>
        </w:rPr>
        <w:t xml:space="preserve">reported </w:t>
      </w:r>
      <w:r w:rsidR="002F4C18" w:rsidRPr="008E7D67">
        <w:rPr>
          <w:spacing w:val="-1"/>
          <w:szCs w:val="22"/>
        </w:rPr>
        <w:t>net pension liability in the State</w:t>
      </w:r>
      <w:r w:rsidR="002F4C18">
        <w:rPr>
          <w:spacing w:val="-1"/>
          <w:szCs w:val="22"/>
        </w:rPr>
        <w:t>’</w:t>
      </w:r>
      <w:r w:rsidR="002F4C18" w:rsidRPr="008E7D67">
        <w:rPr>
          <w:spacing w:val="-1"/>
          <w:szCs w:val="22"/>
        </w:rPr>
        <w:t>s Fiscal Year 2017-18 CAFR of approximately $19.382 billion at June 30, 2018.  These amounts were determined as of the calendar year-end that occurred within the Fiscal Year.  Schedules presenting the State</w:t>
      </w:r>
      <w:r w:rsidR="002F4C18">
        <w:rPr>
          <w:spacing w:val="-1"/>
          <w:szCs w:val="22"/>
        </w:rPr>
        <w:t>’</w:t>
      </w:r>
      <w:r w:rsidR="002F4C18" w:rsidRPr="008E7D67">
        <w:rPr>
          <w:spacing w:val="-1"/>
          <w:szCs w:val="22"/>
        </w:rPr>
        <w:t>s proportionate share of the net pension liability for its retirement plan as of December 31, 2013-2018, and a ten year history of the State</w:t>
      </w:r>
      <w:r w:rsidR="002F4C18">
        <w:rPr>
          <w:spacing w:val="-1"/>
          <w:szCs w:val="22"/>
        </w:rPr>
        <w:t>’</w:t>
      </w:r>
      <w:r w:rsidR="002F4C18" w:rsidRPr="008E7D67">
        <w:rPr>
          <w:spacing w:val="-1"/>
          <w:szCs w:val="22"/>
        </w:rPr>
        <w:t xml:space="preserve">s contribution to PERA for the State and Judicial Divisions, are set </w:t>
      </w:r>
      <w:r w:rsidR="002F4C18">
        <w:rPr>
          <w:spacing w:val="-1"/>
          <w:szCs w:val="22"/>
        </w:rPr>
        <w:t xml:space="preserve">forth </w:t>
      </w:r>
      <w:r w:rsidR="002F4C18" w:rsidRPr="008E7D67">
        <w:rPr>
          <w:spacing w:val="-1"/>
          <w:szCs w:val="22"/>
        </w:rPr>
        <w:t>in Note RSI-2 to the Required Supplementary Information in the State</w:t>
      </w:r>
      <w:r w:rsidR="002F4C18">
        <w:rPr>
          <w:spacing w:val="-1"/>
          <w:szCs w:val="22"/>
        </w:rPr>
        <w:t>’</w:t>
      </w:r>
      <w:r w:rsidR="002F4C18" w:rsidRPr="008E7D67">
        <w:rPr>
          <w:spacing w:val="-1"/>
          <w:szCs w:val="22"/>
        </w:rPr>
        <w:t>s Fiscal Year 2018-19 CAFR.</w:t>
      </w:r>
      <w:r w:rsidR="002F4C18">
        <w:rPr>
          <w:spacing w:val="-1"/>
          <w:szCs w:val="22"/>
        </w:rPr>
        <w:t xml:space="preserve"> </w:t>
      </w:r>
      <w:r w:rsidR="002F4C18" w:rsidRPr="008E7D67">
        <w:rPr>
          <w:spacing w:val="-1"/>
          <w:szCs w:val="22"/>
        </w:rPr>
        <w:t xml:space="preserve"> See also </w:t>
      </w:r>
      <w:r w:rsidR="002F4C18">
        <w:rPr>
          <w:spacing w:val="-1"/>
          <w:szCs w:val="22"/>
        </w:rPr>
        <w:t>“</w:t>
      </w:r>
      <w:r w:rsidR="002F4C18" w:rsidRPr="008E7D67">
        <w:rPr>
          <w:spacing w:val="-1"/>
          <w:szCs w:val="22"/>
        </w:rPr>
        <w:t>Overall Financial Position and Results of Operations</w:t>
      </w:r>
      <w:r w:rsidR="002F4C18">
        <w:rPr>
          <w:spacing w:val="-1"/>
          <w:szCs w:val="22"/>
        </w:rPr>
        <w:t>”</w:t>
      </w:r>
      <w:r w:rsidR="002F4C18" w:rsidRPr="008E7D67">
        <w:rPr>
          <w:spacing w:val="-1"/>
          <w:szCs w:val="22"/>
        </w:rPr>
        <w:t xml:space="preserve"> in the Management</w:t>
      </w:r>
      <w:r w:rsidR="002F4C18">
        <w:rPr>
          <w:spacing w:val="-1"/>
          <w:szCs w:val="22"/>
        </w:rPr>
        <w:t>’</w:t>
      </w:r>
      <w:r w:rsidR="002F4C18" w:rsidRPr="008E7D67">
        <w:rPr>
          <w:spacing w:val="-1"/>
          <w:szCs w:val="22"/>
        </w:rPr>
        <w:t>s Discussion and Analysis in the State</w:t>
      </w:r>
      <w:r w:rsidR="002F4C18">
        <w:rPr>
          <w:spacing w:val="-1"/>
          <w:szCs w:val="22"/>
        </w:rPr>
        <w:t>’</w:t>
      </w:r>
      <w:r w:rsidR="002F4C18" w:rsidRPr="008E7D67">
        <w:rPr>
          <w:spacing w:val="-1"/>
          <w:szCs w:val="22"/>
        </w:rPr>
        <w:t>s Fiscal Year 2018</w:t>
      </w:r>
      <w:r w:rsidR="002F4C18">
        <w:rPr>
          <w:spacing w:val="-1"/>
          <w:szCs w:val="22"/>
        </w:rPr>
        <w:noBreakHyphen/>
      </w:r>
      <w:r w:rsidR="002F4C18" w:rsidRPr="008E7D67">
        <w:rPr>
          <w:spacing w:val="-1"/>
          <w:szCs w:val="22"/>
        </w:rPr>
        <w:t>19 CAFR and Notes 1, 6, 7 and to the Financial Statements in the State</w:t>
      </w:r>
      <w:r w:rsidR="002F4C18">
        <w:rPr>
          <w:spacing w:val="-1"/>
          <w:szCs w:val="22"/>
        </w:rPr>
        <w:t>’</w:t>
      </w:r>
      <w:r w:rsidR="002F4C18" w:rsidRPr="008E7D67">
        <w:rPr>
          <w:spacing w:val="-1"/>
          <w:szCs w:val="22"/>
        </w:rPr>
        <w:t>s Fiscal</w:t>
      </w:r>
      <w:r w:rsidR="002F4C18">
        <w:rPr>
          <w:spacing w:val="-1"/>
          <w:szCs w:val="22"/>
        </w:rPr>
        <w:t xml:space="preserve"> Year 2018-19 CAFR, as well as </w:t>
      </w:r>
      <w:r w:rsidR="002F4C18" w:rsidRPr="002F4C18">
        <w:rPr>
          <w:spacing w:val="-1"/>
          <w:szCs w:val="22"/>
        </w:rPr>
        <w:t xml:space="preserve">Appendix </w:t>
      </w:r>
      <w:r w:rsidR="002F4C18">
        <w:rPr>
          <w:spacing w:val="-1"/>
          <w:szCs w:val="22"/>
        </w:rPr>
        <w:t>J</w:t>
      </w:r>
      <w:r w:rsidR="002F4C18" w:rsidRPr="008E7D67">
        <w:rPr>
          <w:spacing w:val="-1"/>
          <w:szCs w:val="22"/>
        </w:rPr>
        <w:t xml:space="preserve"> – </w:t>
      </w:r>
      <w:r w:rsidR="002F4C18">
        <w:rPr>
          <w:spacing w:val="-1"/>
          <w:szCs w:val="22"/>
        </w:rPr>
        <w:t>“</w:t>
      </w:r>
      <w:r w:rsidR="002F4C18" w:rsidRPr="008E7D67">
        <w:rPr>
          <w:spacing w:val="-1"/>
          <w:szCs w:val="22"/>
        </w:rPr>
        <w:t>STATE PENSION SYSTEM</w:t>
      </w:r>
      <w:r w:rsidR="002F4C18">
        <w:rPr>
          <w:spacing w:val="-1"/>
          <w:szCs w:val="22"/>
        </w:rPr>
        <w:t>”</w:t>
      </w:r>
      <w:r w:rsidR="002F4C18" w:rsidRPr="008E7D67">
        <w:rPr>
          <w:spacing w:val="-1"/>
          <w:szCs w:val="22"/>
        </w:rPr>
        <w:t xml:space="preserve"> and particularly the section thereof entitled </w:t>
      </w:r>
      <w:r w:rsidR="002F4C18">
        <w:rPr>
          <w:spacing w:val="-1"/>
          <w:szCs w:val="22"/>
        </w:rPr>
        <w:t>“</w:t>
      </w:r>
      <w:r w:rsidR="002F4C18" w:rsidRPr="008E7D67">
        <w:rPr>
          <w:spacing w:val="-1"/>
          <w:szCs w:val="22"/>
        </w:rPr>
        <w:t>Implementation of Changes in Pension Accounting Standards Applicable to the State – GASB 68.</w:t>
      </w:r>
      <w:r w:rsidR="002F4C18">
        <w:rPr>
          <w:spacing w:val="-1"/>
          <w:szCs w:val="22"/>
        </w:rPr>
        <w:t>”</w:t>
      </w:r>
    </w:p>
    <w:p w:rsidR="006123A1" w:rsidRDefault="006123A1" w:rsidP="005B07C7">
      <w:pPr>
        <w:pStyle w:val="BodyText1"/>
      </w:pPr>
      <w:r>
        <w:t xml:space="preserve">GASB Statement No. 75, </w:t>
      </w:r>
      <w:r w:rsidR="00A06786">
        <w:t>“</w:t>
      </w:r>
      <w:r>
        <w:t>Accounting and Financial Reporting for Postemployment Benefits Other Than Pensions</w:t>
      </w:r>
      <w:r w:rsidR="00A06786">
        <w:t>”</w:t>
      </w:r>
      <w:r>
        <w:t xml:space="preserve"> (</w:t>
      </w:r>
      <w:r w:rsidR="00A06786">
        <w:t>“</w:t>
      </w:r>
      <w:r>
        <w:t>GASB 75</w:t>
      </w:r>
      <w:r w:rsidR="00A06786">
        <w:t>”</w:t>
      </w:r>
      <w:r>
        <w:t>), is effective for fiscal years beginning after June 15, 2017, and accordingly will be  first implemented in the State</w:t>
      </w:r>
      <w:r w:rsidR="00A06786">
        <w:t>’</w:t>
      </w:r>
      <w:r>
        <w:t xml:space="preserve">s </w:t>
      </w:r>
      <w:r w:rsidR="002F4C18">
        <w:t>Fiscal Year 2018-19 CAFR</w:t>
      </w:r>
      <w:r>
        <w:t xml:space="preserve">.  GASB 75 requires, for purposes of governmental financial reporting, that the State recognize a liability for its proportionate share of the net Other Post-Employment Benefits (OPEB) liability (of all employers for benefits provided through the OPEB plan), </w:t>
      </w:r>
      <w:r w:rsidRPr="00A13B10">
        <w:rPr>
          <w:i/>
        </w:rPr>
        <w:t>i.e.</w:t>
      </w:r>
      <w:r>
        <w:t>, the collective net OPEB liability.  The State will also be required to recognize OPEB expense and report deferred outflows of resources and deferred inflows of resources related to OPEB for its proportionate shares of collective OPEB expense and collective deferred outflows of resources and deferred inflows of resource</w:t>
      </w:r>
      <w:r w:rsidR="002F4C18">
        <w:t xml:space="preserve">s related to OPEB.  </w:t>
      </w:r>
      <w:r>
        <w:t xml:space="preserve"> GASB 75 </w:t>
      </w:r>
      <w:r w:rsidR="002F4C18">
        <w:t>also requires</w:t>
      </w:r>
      <w:r>
        <w:t xml:space="preserve"> additional footnote disclosures about the pension trust fund in the financial statements.</w:t>
      </w:r>
    </w:p>
    <w:p w:rsidR="006123A1" w:rsidRDefault="006123A1" w:rsidP="005B07C7">
      <w:pPr>
        <w:pStyle w:val="BodyText1"/>
      </w:pPr>
      <w:r w:rsidRPr="00A13B10">
        <w:rPr>
          <w:b/>
          <w:i/>
        </w:rPr>
        <w:t>Effect of Pension Liability on the Certificates</w:t>
      </w:r>
      <w:r>
        <w:t>.  For a discussion of the State</w:t>
      </w:r>
      <w:r w:rsidR="00A06786">
        <w:t>’</w:t>
      </w:r>
      <w:r>
        <w:t>s current pension liability, see the Management</w:t>
      </w:r>
      <w:r w:rsidR="00A06786">
        <w:t>’</w:t>
      </w:r>
      <w:r>
        <w:t>s Discussion and Analysis in the Financial Section of the State</w:t>
      </w:r>
      <w:r w:rsidR="00A06786">
        <w:t>’</w:t>
      </w:r>
      <w:r w:rsidR="002F4C18">
        <w:t>s Fiscal Year 2018-19</w:t>
      </w:r>
      <w:r>
        <w:t xml:space="preserve"> CAFR appended to this Official Statement under the caption </w:t>
      </w:r>
      <w:r w:rsidR="00A06786">
        <w:t>“</w:t>
      </w:r>
      <w:r>
        <w:t>CONDITIONS EXPECTED TO AFFECT FUTURE OPERATIONS – Pension Plan Contributions.</w:t>
      </w:r>
      <w:r w:rsidR="00A06786">
        <w:t>”</w:t>
      </w:r>
      <w:r>
        <w:t xml:space="preserve">  No assurances can be given that the assumptions underlying the State</w:t>
      </w:r>
      <w:r w:rsidR="00A06786">
        <w:t>’</w:t>
      </w:r>
      <w:r>
        <w:t>s current or future plans to address its pension liabilities will be realized or that actual events will not cause material changes to the pension data presented in this Official Statement and the State</w:t>
      </w:r>
      <w:r w:rsidR="00A06786">
        <w:t>’</w:t>
      </w:r>
      <w:r w:rsidR="002F4C18">
        <w:t>s Fiscal Year 2018-19</w:t>
      </w:r>
      <w:r>
        <w:t xml:space="preserve"> CAFR</w:t>
      </w:r>
      <w:r w:rsidR="00D646CF">
        <w:t xml:space="preserve"> </w:t>
      </w:r>
      <w:r w:rsidR="00BB371B">
        <w:t>and the State</w:t>
      </w:r>
      <w:r w:rsidR="00A06786">
        <w:t>’</w:t>
      </w:r>
      <w:r w:rsidR="002F4C18">
        <w:t>s Fiscal Year 2019-20</w:t>
      </w:r>
      <w:r w:rsidR="00BB371B">
        <w:t xml:space="preserve"> BFS</w:t>
      </w:r>
      <w:r>
        <w:t xml:space="preserve"> or the State</w:t>
      </w:r>
      <w:r w:rsidR="00A06786">
        <w:t>’</w:t>
      </w:r>
      <w:r>
        <w:t>s ability to fully pay its obligations, including the Certificates.</w:t>
      </w:r>
    </w:p>
    <w:p w:rsidR="006123A1" w:rsidRDefault="006123A1" w:rsidP="00F27774">
      <w:pPr>
        <w:pStyle w:val="Heading1"/>
        <w:keepNext/>
      </w:pPr>
      <w:bookmarkStart w:id="73" w:name="_Toc56668399"/>
      <w:r>
        <w:t>LITIGATION, GOVERNMENTAL IMMUNITY AND SELF INSURANCE</w:t>
      </w:r>
      <w:bookmarkEnd w:id="73"/>
    </w:p>
    <w:p w:rsidR="006123A1" w:rsidRDefault="006123A1" w:rsidP="00F27774">
      <w:pPr>
        <w:pStyle w:val="Heading2"/>
        <w:keepNext/>
      </w:pPr>
      <w:bookmarkStart w:id="74" w:name="_Toc56668400"/>
      <w:r>
        <w:t xml:space="preserve">No Litigation Affecting the Series </w:t>
      </w:r>
      <w:r w:rsidR="00480C95">
        <w:t>2020R</w:t>
      </w:r>
      <w:r>
        <w:t xml:space="preserve"> Certificates</w:t>
      </w:r>
      <w:bookmarkEnd w:id="74"/>
    </w:p>
    <w:p w:rsidR="006123A1" w:rsidRDefault="006123A1" w:rsidP="005B07C7">
      <w:pPr>
        <w:pStyle w:val="BodyText1"/>
      </w:pPr>
      <w:r>
        <w:t xml:space="preserve">There is no litigation pending, or to the knowledge of the State threatened, either seeking to restrain or enjoin the execution or delivery of the Series </w:t>
      </w:r>
      <w:r w:rsidR="00480C95">
        <w:t>2020R</w:t>
      </w:r>
      <w:r>
        <w:t xml:space="preserve"> Certificates or questioning or affecting the validity of the Series </w:t>
      </w:r>
      <w:r w:rsidR="00480C95">
        <w:t>2020R</w:t>
      </w:r>
      <w:r>
        <w:t xml:space="preserve"> Certificates or the proceedings or authority under which they are to be executed and delivered.  There is also no litigation pending, or to the State</w:t>
      </w:r>
      <w:r w:rsidR="00A06786">
        <w:t>’</w:t>
      </w:r>
      <w:r>
        <w:t>s knowledge threatened, that in any manner questions the right of the State Treasurer to enter into the related Leases or the Subleases in the manner provided in the Act.</w:t>
      </w:r>
    </w:p>
    <w:p w:rsidR="006123A1" w:rsidRDefault="006123A1" w:rsidP="00C53E1A">
      <w:pPr>
        <w:pStyle w:val="Heading2"/>
        <w:keepNext/>
      </w:pPr>
      <w:bookmarkStart w:id="75" w:name="_Toc56668401"/>
      <w:r>
        <w:t>Governmental Immunity</w:t>
      </w:r>
      <w:bookmarkEnd w:id="75"/>
    </w:p>
    <w:p w:rsidR="006123A1" w:rsidRDefault="006123A1" w:rsidP="00C53E1A">
      <w:pPr>
        <w:pStyle w:val="BodyText1"/>
        <w:keepNext/>
      </w:pPr>
      <w:r>
        <w:t xml:space="preserve">The Colorado Governmental Immunity Act, Article 10 of Title 24, C.R.S. (the </w:t>
      </w:r>
      <w:r w:rsidR="00A06786">
        <w:t>“</w:t>
      </w:r>
      <w:r>
        <w:t>Immunity Act</w:t>
      </w:r>
      <w:r w:rsidR="00A06786">
        <w:t>”</w:t>
      </w:r>
      <w:r>
        <w:t>), provides that public entities and their employees acting within the course and scope of their employment are immune from liability for tort claims under State law based on the principle of sovereign immunity, except for those specifically identified events or occurrences defined in the Immunity Act.  Whenever recovery is permitted, the Immunity Act also generally limits the maximum amount that may be recovered.  For incidents occurring prior to July 1, 2013, the limits are $150,000 for injury to one person in a single occurrence and an aggregate of $600,000 for injury to two or more persons in a single occurrence, except that no one person may recover in excess of $150,000; for incidents occurring on and after January 1, 2013, but before January 1, 2018, the maximum amounts that may be recovered under the Immunity Act are $350,000 for injury to one person in a single occurrence and an aggregate of $990,000 for injury to two or more persons in a single occurrence, except that no one person may recover in excess of $350,000; and for incidents occurring on and after January 1, 2018, but before January 1, 2022, the maximum amounts that may be recovered under the Immunity Act are $387,000 for injury to one person in a single occurrence and an aggregate of $1,093,000 for injury to two or more persons in a single occurrence, except that no one person may recover in excess of $387,000.  These limits are subject to adjustment on January 1, 2022, and every four years thereafter based on the percentage change in the Consumer Price Index for Denver-Boulder-Greeley, or its successor index.  In individual cases the General Assembly may authorize the recovery from the State of amounts in excess of these limits by legislative action initiated either directly by the General Assembly or upon recommendation of the State Claims Board.  The Immunity Act does not limit recovery against an employee who is acting outside the course and scope of his/her employment.  The Immunity Act specifies the sources from which judgments against public entities may be collected and provides that public entities are not liable for punitive or exemplary damages.  The Immunity Act does not prohibit claims in Colorado state court against public entities or their employees based on contract and may not prohibit such claims based on other common law theories.  However, the Immunity Act does bar certain federal actions or claims against the State or State employees sued in their official capacities under federal statutes when such actions are brought in state court.  The Eleventh Amendment to the U.S. Constitution bars certain federal actions or claims against the State or its employees sued in their official capacities under federal statutes when such actions are brought in federal court.</w:t>
      </w:r>
    </w:p>
    <w:p w:rsidR="008A3407" w:rsidRPr="008A3407" w:rsidRDefault="008A3407" w:rsidP="008A3407">
      <w:pPr>
        <w:pStyle w:val="BodyText1"/>
        <w:rPr>
          <w:rFonts w:eastAsia="SimSun"/>
          <w:szCs w:val="22"/>
          <w:lang w:val="en-CA"/>
        </w:rPr>
      </w:pPr>
      <w:r>
        <w:rPr>
          <w:szCs w:val="22"/>
        </w:rPr>
        <w:t>HB 12-1361 amended the Immunity Act by waiving sovereign</w:t>
      </w:r>
      <w:r w:rsidRPr="00CA0814">
        <w:rPr>
          <w:rFonts w:eastAsia="SimSun"/>
          <w:szCs w:val="22"/>
          <w:lang w:val="en-CA"/>
        </w:rPr>
        <w:t xml:space="preserve"> immunity of the State </w:t>
      </w:r>
      <w:r>
        <w:rPr>
          <w:rFonts w:eastAsia="SimSun"/>
          <w:szCs w:val="22"/>
          <w:lang w:val="en-CA"/>
        </w:rPr>
        <w:t xml:space="preserve">in an </w:t>
      </w:r>
      <w:r w:rsidRPr="00CA0814">
        <w:rPr>
          <w:rFonts w:eastAsia="SimSun"/>
          <w:szCs w:val="22"/>
          <w:lang w:val="en-CA"/>
        </w:rPr>
        <w:t>action for injuries resulting from a prescribed fire started or maintained by the State or any of its employees on or after January 1, 2012.  A prescribed fire is defined as the application of fire in accordance with a written prescription for vegetative fuels, but excluding a controlled burn used in farming industry to clear land of existing crop residue, kill weeds and weed seeds or to reduce fuel build-up and decrease the likelihood of a future fire.</w:t>
      </w:r>
      <w:r>
        <w:rPr>
          <w:rFonts w:eastAsia="SimSun"/>
          <w:szCs w:val="22"/>
          <w:lang w:val="en-CA"/>
        </w:rPr>
        <w:t xml:space="preserve">  </w:t>
      </w:r>
    </w:p>
    <w:p w:rsidR="006123A1" w:rsidRDefault="006123A1" w:rsidP="00FF52D2">
      <w:pPr>
        <w:pStyle w:val="Heading2"/>
        <w:keepNext/>
      </w:pPr>
      <w:bookmarkStart w:id="76" w:name="_Toc56668402"/>
      <w:r>
        <w:t>Self-Insurance</w:t>
      </w:r>
      <w:bookmarkEnd w:id="76"/>
    </w:p>
    <w:p w:rsidR="006123A1" w:rsidRDefault="006123A1" w:rsidP="00FF52D2">
      <w:pPr>
        <w:pStyle w:val="BodyText1"/>
        <w:keepNext/>
      </w:pPr>
      <w:r>
        <w:t>In 1985, the General Assembly passed legislation creating a self-insurance fund, the Risk Management Fund, and established a mechanism for claims adjustment, investigation and defense, as well as authorizing the settlement and payment of claims and judgments against the State.  The General Assembly also utilizes the self-insurance fund for payment of State workers</w:t>
      </w:r>
      <w:r w:rsidR="00A06786">
        <w:t>’</w:t>
      </w:r>
      <w:r>
        <w:t xml:space="preserve"> compensation liabilities.  The State currently maintains self-insurance for claims arising on or after September 15, 1985, under the Immunity Act and claims against the State, its officials or its employees arising under federal law.  See Notes 1G, 9 and 19 and General Fund Components (in Supplementary Information) in </w:t>
      </w:r>
      <w:r w:rsidR="00252477">
        <w:t xml:space="preserve">both </w:t>
      </w:r>
      <w:r>
        <w:t>the State</w:t>
      </w:r>
      <w:r w:rsidR="00A06786">
        <w:t>’</w:t>
      </w:r>
      <w:r w:rsidR="008A3407">
        <w:t>s Fiscal Year 2018-19</w:t>
      </w:r>
      <w:r>
        <w:t xml:space="preserve"> CAFR </w:t>
      </w:r>
      <w:r w:rsidR="00252477">
        <w:t xml:space="preserve">and </w:t>
      </w:r>
      <w:r w:rsidR="0057116F">
        <w:t>the State</w:t>
      </w:r>
      <w:r w:rsidR="00A06786">
        <w:t>’</w:t>
      </w:r>
      <w:r w:rsidR="008A3407">
        <w:t>s Fiscal Year 2019-20</w:t>
      </w:r>
      <w:r w:rsidR="0057116F">
        <w:t xml:space="preserve"> BFS </w:t>
      </w:r>
      <w:r>
        <w:t>appended to this Official Statement.  Judgments awarded against the State for which there is no insurance coverage or that are not payable from the Risk Management Fund ordinarily require a legislative appropriation before they may be paid.</w:t>
      </w:r>
    </w:p>
    <w:p w:rsidR="006123A1" w:rsidRDefault="006123A1" w:rsidP="003A3DD0">
      <w:pPr>
        <w:pStyle w:val="Heading1"/>
      </w:pPr>
      <w:bookmarkStart w:id="77" w:name="_Toc56668403"/>
      <w:r>
        <w:t>LEGAL MATTERS</w:t>
      </w:r>
      <w:bookmarkEnd w:id="77"/>
    </w:p>
    <w:p w:rsidR="006123A1" w:rsidRDefault="006123A1" w:rsidP="005B07C7">
      <w:pPr>
        <w:pStyle w:val="BodyText1"/>
      </w:pPr>
      <w:r>
        <w:t xml:space="preserve">Legal matters relating to the validity of the Series </w:t>
      </w:r>
      <w:r w:rsidR="00480C95">
        <w:t>2020R</w:t>
      </w:r>
      <w:r>
        <w:t xml:space="preserve"> Certificates are subject to the approving opinion of </w:t>
      </w:r>
      <w:r w:rsidR="00CA6135">
        <w:t>Kutak Rock LLP</w:t>
      </w:r>
      <w:r>
        <w:t xml:space="preserve">, Denver, Colorado, as Bond Counsel, which will be delivered with the Series </w:t>
      </w:r>
      <w:r w:rsidR="00480C95">
        <w:t>2020R</w:t>
      </w:r>
      <w:r>
        <w:t xml:space="preserve"> Certificates, a form of which is attached hereto as </w:t>
      </w:r>
      <w:r w:rsidR="00A06786">
        <w:t>“</w:t>
      </w:r>
      <w:r>
        <w:t>APPENDIX D – FORM OF OPINION OF BOND COUNSEL.</w:t>
      </w:r>
      <w:r w:rsidR="00A06786">
        <w:t>”</w:t>
      </w:r>
      <w:r>
        <w:t xml:space="preserve">   </w:t>
      </w:r>
      <w:r w:rsidR="00CA6135">
        <w:t>Sherman &amp; Howard L.L.</w:t>
      </w:r>
      <w:r>
        <w:t>C., Denver, Colorado, has acted as special counsel to the State in connection with the preparation of this Official Statement.  Certain legal matters will be pa</w:t>
      </w:r>
      <w:r w:rsidR="00C6272C">
        <w:t>ssed upon for the State by the O</w:t>
      </w:r>
      <w:r>
        <w:t xml:space="preserve">ffice of the Attorney General of the State, as counsel to the State.  </w:t>
      </w:r>
      <w:r w:rsidR="002E3E62">
        <w:t>Stradling Yocca Carlson &amp; Rauth</w:t>
      </w:r>
      <w:r>
        <w:t xml:space="preserve">, Denver, Colorado, has acted as counsel to the Underwriters in connection with the execution and delivery of the Series </w:t>
      </w:r>
      <w:r w:rsidR="00480C95">
        <w:t>2020R</w:t>
      </w:r>
      <w:r>
        <w:t xml:space="preserve"> Certificates.  Payment of legal fees to Bond Counsel and Special Counsel are contingent upon the sale and delivery of the Series </w:t>
      </w:r>
      <w:r w:rsidR="00480C95">
        <w:t>2020R</w:t>
      </w:r>
      <w:r>
        <w:t xml:space="preserve"> Certificates.</w:t>
      </w:r>
    </w:p>
    <w:p w:rsidR="006123A1" w:rsidRDefault="006123A1" w:rsidP="003A3DD0">
      <w:pPr>
        <w:pStyle w:val="Heading1"/>
      </w:pPr>
      <w:bookmarkStart w:id="78" w:name="_Toc56668404"/>
      <w:r>
        <w:t>TAX MATTERS</w:t>
      </w:r>
      <w:bookmarkEnd w:id="78"/>
    </w:p>
    <w:p w:rsidR="00CA6135" w:rsidRDefault="00CA6135" w:rsidP="003A3DD0">
      <w:pPr>
        <w:pStyle w:val="Heading2"/>
      </w:pPr>
      <w:bookmarkStart w:id="79" w:name="_Toc499890066"/>
      <w:bookmarkStart w:id="80" w:name="_Toc56668405"/>
      <w:r w:rsidRPr="001E0EFB">
        <w:t>In General</w:t>
      </w:r>
      <w:bookmarkEnd w:id="79"/>
      <w:bookmarkEnd w:id="80"/>
    </w:p>
    <w:p w:rsidR="00CA6135" w:rsidRPr="001E0EFB" w:rsidRDefault="00CA6135" w:rsidP="00CA6135">
      <w:pPr>
        <w:pStyle w:val="BodyText1"/>
      </w:pPr>
      <w:r w:rsidRPr="001E0EFB">
        <w:t xml:space="preserve">In the opinion of Kutak Rock LLP, Bond Counsel, to be delivered at the time of original issuance of the Series </w:t>
      </w:r>
      <w:r w:rsidR="00480C95">
        <w:t>2020R</w:t>
      </w:r>
      <w:r>
        <w:t xml:space="preserve"> Certificates</w:t>
      </w:r>
      <w:r w:rsidRPr="001E0EFB">
        <w:t xml:space="preserve">, under existing laws, regulations, rulings and judicial decisions, the portion of the Base Rent paid by the State which is designated and paid as interest on the Series </w:t>
      </w:r>
      <w:r w:rsidR="00480C95">
        <w:t>2020R</w:t>
      </w:r>
      <w:r>
        <w:t xml:space="preserve"> Certificates </w:t>
      </w:r>
      <w:r w:rsidRPr="001E0EFB">
        <w:t>is excludable from gross income for federal income tax purposes and is not a specific item of tax preference for purposes of the federal alternative minimum tax.</w:t>
      </w:r>
    </w:p>
    <w:p w:rsidR="00CA6135" w:rsidRPr="001E0EFB" w:rsidRDefault="00CA6135" w:rsidP="00CA6135">
      <w:pPr>
        <w:pStyle w:val="BodyText1"/>
      </w:pPr>
      <w:r w:rsidRPr="001E0EFB">
        <w:t xml:space="preserve">The State and the Series </w:t>
      </w:r>
      <w:r w:rsidR="00480C95">
        <w:t>2020R</w:t>
      </w:r>
      <w:r w:rsidRPr="001E0EFB">
        <w:t xml:space="preserve"> Participating K-12 Institutions have made certain representations and covenanted to comply with requirements that must be satisfied in order for the interest on the Series </w:t>
      </w:r>
      <w:r w:rsidR="00480C95">
        <w:t>2020R</w:t>
      </w:r>
      <w:r>
        <w:t xml:space="preserve"> Certificates</w:t>
      </w:r>
      <w:r w:rsidRPr="001E0EFB">
        <w:t xml:space="preserve"> to be excludable from gross income for federal income tax purposes.  The opinions set forth above are subject to the accuracy of such representations and continuing compliance by the State and the Series </w:t>
      </w:r>
      <w:r w:rsidR="00480C95">
        <w:t>2020R</w:t>
      </w:r>
      <w:r w:rsidRPr="001E0EFB">
        <w:t xml:space="preserve"> Participating K-12 Institutions and others with such covenants.  Failure to comply with such requirements could cause interest on the Series </w:t>
      </w:r>
      <w:r w:rsidR="00480C95">
        <w:t>2020R</w:t>
      </w:r>
      <w:r>
        <w:t xml:space="preserve"> Certificates</w:t>
      </w:r>
      <w:r w:rsidRPr="001E0EFB">
        <w:t xml:space="preserve"> to be included in gross income retroactive to the date of issue of such Series </w:t>
      </w:r>
      <w:r w:rsidR="00480C95">
        <w:t>2020R</w:t>
      </w:r>
      <w:r>
        <w:t xml:space="preserve"> Certificates</w:t>
      </w:r>
      <w:r w:rsidRPr="001E0EFB">
        <w:t>.</w:t>
      </w:r>
    </w:p>
    <w:p w:rsidR="00CA6135" w:rsidRPr="001E0EFB" w:rsidRDefault="00CA6135" w:rsidP="00CA6135">
      <w:pPr>
        <w:pStyle w:val="BodyText1"/>
      </w:pPr>
      <w:r w:rsidRPr="001E0EFB">
        <w:t xml:space="preserve">The accrual or receipt of interest on the Series </w:t>
      </w:r>
      <w:r w:rsidR="00480C95">
        <w:t>2020R</w:t>
      </w:r>
      <w:r>
        <w:t xml:space="preserve"> Certificates</w:t>
      </w:r>
      <w:r w:rsidRPr="001E0EFB">
        <w:t xml:space="preserve"> may otherwise affect the federal income tax liability of the owners of the Series </w:t>
      </w:r>
      <w:r w:rsidR="00480C95">
        <w:t>2020R</w:t>
      </w:r>
      <w:r>
        <w:t xml:space="preserve"> Certificates</w:t>
      </w:r>
      <w:r w:rsidRPr="001E0EFB">
        <w:t>.  The extent of these other tax consequences will depend upon such owners</w:t>
      </w:r>
      <w:r w:rsidR="00A06786">
        <w:t>’</w:t>
      </w:r>
      <w:r w:rsidRPr="001E0EFB">
        <w:t xml:space="preserve"> particular tax status and other items of income or deduction.  Bond Counsel has expressed no opinion regarding any such consequences.  Purchasers of the Series </w:t>
      </w:r>
      <w:r w:rsidR="00480C95">
        <w:t>2020R</w:t>
      </w:r>
      <w:r>
        <w:t xml:space="preserve"> Certificates</w:t>
      </w:r>
      <w:r w:rsidRPr="001E0EFB">
        <w:t xml:space="preserve">, particularly purchasers that are corporations (including S corporations and foreign corporations operating branches in the United States), property or casualty insurance companies, banks, thrifts or other financial institutions, certain recipients of social security or railroad retirement benefits, taxpayers entitled to claim the earned income credit, </w:t>
      </w:r>
      <w:r>
        <w:t xml:space="preserve">taxpayers entitled to claim the refundable credit in Section 36B of the </w:t>
      </w:r>
      <w:r w:rsidR="00BC1176">
        <w:t xml:space="preserve">Tax </w:t>
      </w:r>
      <w:r>
        <w:t xml:space="preserve">Code for coverage under a qualified health plan, </w:t>
      </w:r>
      <w:r w:rsidRPr="001E0EFB">
        <w:t xml:space="preserve">or taxpayers who may be deemed to have incurred or continued indebtedness to purchase or carry tax-exempt obligations, should consult their tax advisors as to the tax consequences of purchasing or owning the Series </w:t>
      </w:r>
      <w:r w:rsidR="00480C95">
        <w:t>2020R</w:t>
      </w:r>
      <w:r>
        <w:t xml:space="preserve"> Certificates</w:t>
      </w:r>
      <w:r w:rsidRPr="001E0EFB">
        <w:t>.</w:t>
      </w:r>
    </w:p>
    <w:p w:rsidR="00CA6135" w:rsidRDefault="00CA6135" w:rsidP="00CA6135">
      <w:pPr>
        <w:pStyle w:val="BodyText1"/>
      </w:pPr>
      <w:r w:rsidRPr="001E0EFB">
        <w:t>Bond Counsel has expressed no opinion regarding the effect of any termination of the State</w:t>
      </w:r>
      <w:r w:rsidR="00A06786">
        <w:t>’</w:t>
      </w:r>
      <w:r w:rsidRPr="001E0EFB">
        <w:t xml:space="preserve">s obligation under the Leases, under certain circumstances as provided in the Leases, upon the treatment for federal income tax purposes of any moneys received by the Owners of the Series </w:t>
      </w:r>
      <w:r w:rsidR="00480C95">
        <w:t>2020R</w:t>
      </w:r>
      <w:r>
        <w:t xml:space="preserve"> Certificates</w:t>
      </w:r>
      <w:r w:rsidRPr="001E0EFB">
        <w:t xml:space="preserve">, or any other federal tax consequences related to the ownership or disposition of the Series </w:t>
      </w:r>
      <w:r w:rsidR="00480C95">
        <w:t>2020R</w:t>
      </w:r>
      <w:r>
        <w:t xml:space="preserve"> Certificates</w:t>
      </w:r>
      <w:r w:rsidRPr="001E0EFB">
        <w:t>.</w:t>
      </w:r>
    </w:p>
    <w:p w:rsidR="00745720" w:rsidRDefault="00745720" w:rsidP="00745720">
      <w:pPr>
        <w:pStyle w:val="Heading2"/>
        <w:numPr>
          <w:ilvl w:val="1"/>
          <w:numId w:val="18"/>
        </w:numPr>
      </w:pPr>
      <w:bookmarkStart w:id="81" w:name="_Toc56668406"/>
      <w:r>
        <w:t>Original Issue Premium</w:t>
      </w:r>
      <w:bookmarkEnd w:id="81"/>
    </w:p>
    <w:p w:rsidR="00745720" w:rsidRDefault="0034253E" w:rsidP="00CA6135">
      <w:pPr>
        <w:pStyle w:val="BodyText1"/>
      </w:pPr>
      <w:r w:rsidRPr="0034253E">
        <w:t>The Series 2020R Certificates that have an original yield below their respective interest rates, as shown on the inside cover of this Official Statement (collectively, the “Premium Certificates”), are being sold at a premium. An amount equal to the excess of the issue price of a Premium Certificate over its stated redemption price at maturity constitutes premium on such Premium Certificate. A purchaser of a Premium Certificate must amortize any premium over such Premium Certificate’s term using constant yield principles, based on the purchaser’s yield to maturity (or, in the case of Premium Certificates callable prior to their maturity, generally by amortizing the premium to the call date, based on the purchaser’s yield to the call date and giving effect to any call premium). As premium is amortized, the amount of the amortization offsets a corresponding amount of interest for the period, and the purchaser’s basis in such Premium Certificate is reduced by a corresponding amount resulting in an increase in the gain (or decrease in the loss) to be recognized for federal income tax purposes upon a sale or disposition of such Premium Certificate prior to its maturity. Even though the purchaser’s basis may be reduced, no federal income tax deduction is allowed. Purchasers of the Premium Certificates should consult their tax advisors with respect to the determination and treatment of premium for federal income tax purposes and with respect to the state and local tax consequences of owning a Premium Certificate</w:t>
      </w:r>
      <w:r w:rsidR="00745720" w:rsidRPr="00745720">
        <w:t>.</w:t>
      </w:r>
    </w:p>
    <w:p w:rsidR="002860B1" w:rsidRDefault="002860B1" w:rsidP="002860B1">
      <w:pPr>
        <w:pStyle w:val="Heading2"/>
        <w:numPr>
          <w:ilvl w:val="1"/>
          <w:numId w:val="18"/>
        </w:numPr>
      </w:pPr>
      <w:bookmarkStart w:id="82" w:name="_Toc531084533"/>
      <w:bookmarkStart w:id="83" w:name="_Toc25146674"/>
      <w:bookmarkStart w:id="84" w:name="_Toc56668407"/>
      <w:r>
        <w:t>Recognition of Income Generally</w:t>
      </w:r>
      <w:bookmarkEnd w:id="82"/>
      <w:bookmarkEnd w:id="83"/>
      <w:bookmarkEnd w:id="84"/>
    </w:p>
    <w:p w:rsidR="002860B1" w:rsidRPr="003F4EE4" w:rsidRDefault="002860B1" w:rsidP="002860B1">
      <w:pPr>
        <w:pStyle w:val="BodyText1"/>
      </w:pPr>
      <w:r>
        <w:t xml:space="preserve">Section 451 of the Tax Code was amended by Pub. L. No. 115-97, enacted December 22, 2017 (sometimes referred to as the Tax Cuts and Jobs Act), to provide that taxpayers using an accrual method of accounting for federal income tax purposes generally will be required to include certain amounts in income, including original issue discount, no later than the time such amounts are reflected on certain financial statements of such taxpayer. The application of this rule may require the accrual of income earlier than would have been the case prior to the amendment of Section 451 of the Code. </w:t>
      </w:r>
      <w:r w:rsidR="00C717B8">
        <w:t xml:space="preserve"> </w:t>
      </w:r>
      <w:r>
        <w:t>Investors should consult their own tax advisors regarding the application of this rule and its impact on the timing of the recognition of income related to the Series 2020R Certificates under the Tax Code.</w:t>
      </w:r>
    </w:p>
    <w:p w:rsidR="00CA6135" w:rsidRDefault="00CA6135" w:rsidP="003A3DD0">
      <w:pPr>
        <w:pStyle w:val="Heading2"/>
      </w:pPr>
      <w:bookmarkStart w:id="85" w:name="_Toc499890069"/>
      <w:bookmarkStart w:id="86" w:name="_Toc56668408"/>
      <w:r w:rsidRPr="001E0EFB">
        <w:t>Backup Withholding</w:t>
      </w:r>
      <w:bookmarkEnd w:id="85"/>
      <w:bookmarkEnd w:id="86"/>
    </w:p>
    <w:p w:rsidR="00CA6135" w:rsidRPr="001E0EFB" w:rsidRDefault="00CA6135" w:rsidP="00CA6135">
      <w:pPr>
        <w:pStyle w:val="BodyText1"/>
      </w:pPr>
      <w:r w:rsidRPr="001E0EFB">
        <w:t xml:space="preserve">As a result of the enactment of the Tax Increase Prevention and Reconciliation Act of 2005, interest on tax-exempt obligations such as the Series </w:t>
      </w:r>
      <w:r w:rsidR="00480C95">
        <w:t>2020R</w:t>
      </w:r>
      <w:r>
        <w:t xml:space="preserve"> Certificates</w:t>
      </w:r>
      <w:r w:rsidRPr="001E0EFB">
        <w:t xml:space="preserve"> is subject to information reporting in a manner similar to interest paid on taxable obligations.  Backup withholding may be imposed on payments to any owner of a Series </w:t>
      </w:r>
      <w:r w:rsidR="00480C95">
        <w:t>2020R</w:t>
      </w:r>
      <w:r w:rsidRPr="001E0EFB">
        <w:t xml:space="preserve"> Certificate who fails to provide certain required information including an accurate taxpayer identification number to any person required to collect such information pursuant to Section 6049 of the Code.  The reporting requirement does not in and of itself affect or alter the excludability of interest on the Series </w:t>
      </w:r>
      <w:r w:rsidR="00480C95">
        <w:t>2020R</w:t>
      </w:r>
      <w:r>
        <w:t xml:space="preserve"> Certificates</w:t>
      </w:r>
      <w:r w:rsidRPr="001E0EFB">
        <w:t xml:space="preserve"> from gross income for federal income tax purposes or any other federal tax consequence of purchasing, holding or selling tax-exempt obligations.</w:t>
      </w:r>
    </w:p>
    <w:p w:rsidR="00CA6135" w:rsidRPr="001E0EFB" w:rsidRDefault="00CA6135" w:rsidP="003A3DD0">
      <w:pPr>
        <w:pStyle w:val="Heading2"/>
      </w:pPr>
      <w:bookmarkStart w:id="87" w:name="_Toc499890070"/>
      <w:bookmarkStart w:id="88" w:name="_Toc56668409"/>
      <w:r w:rsidRPr="001E0EFB">
        <w:t>Exemption Under State Tax Law</w:t>
      </w:r>
      <w:bookmarkEnd w:id="87"/>
      <w:bookmarkEnd w:id="88"/>
    </w:p>
    <w:p w:rsidR="00CA6135" w:rsidRPr="001E0EFB" w:rsidRDefault="00CA6135" w:rsidP="00CA6135">
      <w:pPr>
        <w:pStyle w:val="BodyText1"/>
      </w:pPr>
      <w:r w:rsidRPr="001E0EFB">
        <w:t xml:space="preserve">In the opinion of Bond Counsel, under existing State of Colorado statutes, the interest received by the Owners of the Series </w:t>
      </w:r>
      <w:r w:rsidR="00480C95">
        <w:t>2020R</w:t>
      </w:r>
      <w:r>
        <w:t xml:space="preserve"> Certificates</w:t>
      </w:r>
      <w:r w:rsidRPr="001E0EFB">
        <w:t xml:space="preserve"> with respect to their undivided interests in the Base Rent that is designated and paid as interest under the Leases is exempt from State of Colorado income tax.  Bond Counsel has expressed no opinion regarding the effect of any termination of the State</w:t>
      </w:r>
      <w:r w:rsidR="00A06786">
        <w:t>’</w:t>
      </w:r>
      <w:r w:rsidRPr="001E0EFB">
        <w:t xml:space="preserve">s obligation under the Leases on interest received or income of the Owners of the Series </w:t>
      </w:r>
      <w:r w:rsidR="00480C95">
        <w:t>2020R</w:t>
      </w:r>
      <w:r>
        <w:t xml:space="preserve"> Certificates</w:t>
      </w:r>
      <w:r w:rsidRPr="001E0EFB">
        <w:t xml:space="preserve"> subsequent to such termination, or other tax consequences related to the ownership or disposition of the Series </w:t>
      </w:r>
      <w:r w:rsidR="00480C95">
        <w:t>2020R</w:t>
      </w:r>
      <w:r>
        <w:t xml:space="preserve"> Certificates</w:t>
      </w:r>
      <w:r w:rsidRPr="001E0EFB">
        <w:t xml:space="preserve"> under the laws of the State of Colorado or any other state or jurisdiction.</w:t>
      </w:r>
    </w:p>
    <w:p w:rsidR="00CA6135" w:rsidRPr="001E0EFB" w:rsidRDefault="00CA6135" w:rsidP="00E9473A">
      <w:pPr>
        <w:pStyle w:val="Heading2"/>
        <w:keepNext/>
      </w:pPr>
      <w:bookmarkStart w:id="89" w:name="_Toc499890071"/>
      <w:bookmarkStart w:id="90" w:name="_Toc56668410"/>
      <w:r w:rsidRPr="001E0EFB">
        <w:t>Changes in Federal and State Tax Law</w:t>
      </w:r>
      <w:bookmarkEnd w:id="89"/>
      <w:bookmarkEnd w:id="90"/>
    </w:p>
    <w:p w:rsidR="00CA6135" w:rsidRPr="001E0EFB" w:rsidRDefault="00CA6135" w:rsidP="00E9473A">
      <w:pPr>
        <w:pStyle w:val="BodyText1"/>
        <w:keepNext/>
      </w:pPr>
      <w:r w:rsidRPr="001E0EFB">
        <w:t xml:space="preserve">From time to time, there are legislative proposals in the Congress and in the states that, if enacted, could alter or amend the federal and state tax matters referred to </w:t>
      </w:r>
      <w:r w:rsidR="00C717B8">
        <w:t>under this caption</w:t>
      </w:r>
      <w:r w:rsidRPr="001E0EFB">
        <w:t xml:space="preserve"> or adversely affect the market value of the Series </w:t>
      </w:r>
      <w:r w:rsidR="00480C95">
        <w:t>2020R</w:t>
      </w:r>
      <w:r>
        <w:t xml:space="preserve"> Certificates</w:t>
      </w:r>
      <w:r w:rsidRPr="001E0EFB">
        <w:t xml:space="preserve">.  It cannot be predicted whether or in what form any such proposal might be enacted or whether if enacted it would apply to bonds issued prior to enactment.  In addition, regulatory actions are from time to time announced or proposed and litigation is threatened or commenced which, if implemented or concluded in a particular manner, could adversely affect the market value of the Series </w:t>
      </w:r>
      <w:r w:rsidR="00480C95">
        <w:t>2020R</w:t>
      </w:r>
      <w:r>
        <w:t xml:space="preserve"> Certificates</w:t>
      </w:r>
      <w:r w:rsidRPr="001E0EFB">
        <w:t xml:space="preserve">.  It cannot be predicted whether any such regulatory action will be implemented, how any particular litigation or judicial action will be resolved, or whether the Series </w:t>
      </w:r>
      <w:r w:rsidR="00480C95">
        <w:t>2020R</w:t>
      </w:r>
      <w:r>
        <w:t xml:space="preserve"> Certificates</w:t>
      </w:r>
      <w:r w:rsidRPr="001E0EFB">
        <w:t xml:space="preserve"> or the market value thereof would be impacted thereby.  Purchasers of the Series </w:t>
      </w:r>
      <w:r w:rsidR="00480C95">
        <w:t>2020R</w:t>
      </w:r>
      <w:r>
        <w:t xml:space="preserve"> Certificates</w:t>
      </w:r>
      <w:r w:rsidRPr="001E0EFB">
        <w:t xml:space="preserve"> should consult their tax advisors regarding any pending or proposed legislation, regulatory initiatives or litigation.  The opinions expressed by Bond Counsel are based upon existing legislation and regulations as interpreted by relevant judicial and regulatory authorities as of the date of issuance and delivery of the Series </w:t>
      </w:r>
      <w:r w:rsidR="00480C95">
        <w:t>2020R</w:t>
      </w:r>
      <w:r>
        <w:t xml:space="preserve"> Certificates</w:t>
      </w:r>
      <w:r w:rsidRPr="001E0EFB">
        <w:t xml:space="preserve"> and Bond Counsel has expressed no opinion as of any date subsequent thereto or with respect to any pending legislation, regulatory initiatives or litigation.</w:t>
      </w:r>
    </w:p>
    <w:p w:rsidR="006123A1" w:rsidRDefault="006123A1" w:rsidP="003A3DD0">
      <w:pPr>
        <w:pStyle w:val="Heading1"/>
      </w:pPr>
      <w:bookmarkStart w:id="91" w:name="_Toc56668411"/>
      <w:r>
        <w:t>UNDERWRITING</w:t>
      </w:r>
      <w:bookmarkEnd w:id="91"/>
    </w:p>
    <w:p w:rsidR="006123A1" w:rsidRDefault="006123A1" w:rsidP="005B07C7">
      <w:pPr>
        <w:pStyle w:val="BodyText1"/>
      </w:pPr>
      <w:r>
        <w:t xml:space="preserve">The Series </w:t>
      </w:r>
      <w:r w:rsidR="00480C95">
        <w:t>2020R</w:t>
      </w:r>
      <w:r>
        <w:t xml:space="preserve"> Certificates are to be purchased by the Underwriters listed on the front cover page of this Official Statement at a price equal to $</w:t>
      </w:r>
      <w:r w:rsidR="00C8121F">
        <w:t>117,638,335.29</w:t>
      </w:r>
      <w:r>
        <w:t xml:space="preserve"> (representing the aggregate principal amount of the Series </w:t>
      </w:r>
      <w:r w:rsidR="00480C95">
        <w:t>2020R</w:t>
      </w:r>
      <w:r>
        <w:t xml:space="preserve"> Certificates of $</w:t>
      </w:r>
      <w:r w:rsidR="00C8121F">
        <w:t>98,030,000.00 plus</w:t>
      </w:r>
      <w:r>
        <w:t xml:space="preserve"> original issue premium of $</w:t>
      </w:r>
      <w:r w:rsidR="00C8121F">
        <w:t>19,932,333.65</w:t>
      </w:r>
      <w:r>
        <w:t xml:space="preserve"> and less an aggregate underwriting discount of $</w:t>
      </w:r>
      <w:r w:rsidR="00C8121F">
        <w:t>323,998.36</w:t>
      </w:r>
      <w:r>
        <w:t xml:space="preserve">).  The Underwriters have agreed to accept delivery of and pay for all the Series </w:t>
      </w:r>
      <w:r w:rsidR="00480C95">
        <w:t>2020R</w:t>
      </w:r>
      <w:r>
        <w:t xml:space="preserve"> Certificates if any are delivered, provided that the obligation to make such purchase is subject to certain terms and conditions set forth in the Certificate Purchase Agreement related to the Series </w:t>
      </w:r>
      <w:r w:rsidR="00480C95">
        <w:t>2020R</w:t>
      </w:r>
      <w:r>
        <w:t xml:space="preserve"> Certificates, the approval of certain legal matters by counsel and certain other conditions.  The Underwriters may offer and sell the Series </w:t>
      </w:r>
      <w:r w:rsidR="00480C95">
        <w:t>2020R</w:t>
      </w:r>
      <w:r>
        <w:t xml:space="preserve"> Certificates to certain dealers (including dealers depositing such Series </w:t>
      </w:r>
      <w:r w:rsidR="00480C95">
        <w:t>2020R</w:t>
      </w:r>
      <w:r>
        <w:t xml:space="preserve"> Certificates into investment funds) and others at prices lower than the public offering prices stated on the inside front cover hereof.  The public offering prices set forth on the inside front cover hereof may be changed after the initial offering by the Underwriters.</w:t>
      </w:r>
    </w:p>
    <w:p w:rsidR="006123A1" w:rsidRDefault="006123A1" w:rsidP="00552294">
      <w:pPr>
        <w:pStyle w:val="BodyText1"/>
      </w:pPr>
      <w:r>
        <w:t xml:space="preserve">The Underwriters and their respective affiliates are full-service financial institutions engaged in various activities that may include securities trading, commercial and investment banking, </w:t>
      </w:r>
      <w:r w:rsidR="007A52EF">
        <w:t>financial</w:t>
      </w:r>
      <w:r>
        <w:t xml:space="preserve"> advisory, </w:t>
      </w:r>
      <w:r w:rsidR="007A52EF">
        <w:t xml:space="preserve">investment management, principal investment, hedging, financing and </w:t>
      </w:r>
      <w:r>
        <w:t>brokerage</w:t>
      </w:r>
      <w:r w:rsidR="007A52EF">
        <w:t xml:space="preserve"> activities</w:t>
      </w:r>
      <w:r>
        <w:t xml:space="preserve">.  </w:t>
      </w:r>
      <w:r w:rsidR="007A52EF">
        <w:t>Certain of the Underwriters and their respective affiliates have, from time to time, performed and may in the future perform, various investment banking services for the State for which they r</w:t>
      </w:r>
      <w:r w:rsidR="00236B0E">
        <w:t>eceived or will receive customary</w:t>
      </w:r>
      <w:r w:rsidR="007A52EF">
        <w:t xml:space="preserve"> fees and expenses.  </w:t>
      </w:r>
      <w:r>
        <w:t xml:space="preserve">In the ordinary course of </w:t>
      </w:r>
      <w:r w:rsidR="007A52EF">
        <w:t xml:space="preserve">various </w:t>
      </w:r>
      <w:r>
        <w:t>business</w:t>
      </w:r>
      <w:r w:rsidR="007A52EF">
        <w:t xml:space="preserve"> activities</w:t>
      </w:r>
      <w:r>
        <w:t xml:space="preserve">, the Underwriters and their respective affiliates may </w:t>
      </w:r>
      <w:r w:rsidR="00930E5A">
        <w:t xml:space="preserve">make or </w:t>
      </w:r>
      <w:r w:rsidR="00F64928">
        <w:t xml:space="preserve">hold a broad array of investments and </w:t>
      </w:r>
      <w:r w:rsidR="00930E5A">
        <w:t xml:space="preserve">actively trade debt and </w:t>
      </w:r>
      <w:r>
        <w:t>equity securities (or related derivative securities) and financial instrument</w:t>
      </w:r>
      <w:r w:rsidR="00E06A40">
        <w:t>s (which may include bank loans and/or</w:t>
      </w:r>
      <w:r>
        <w:t xml:space="preserve"> credit </w:t>
      </w:r>
      <w:r w:rsidR="00E06A40">
        <w:t xml:space="preserve">default </w:t>
      </w:r>
      <w:r>
        <w:t>swaps)</w:t>
      </w:r>
      <w:r w:rsidR="00E07091">
        <w:t xml:space="preserve"> for their own accounts and for the accounts of their customers and may at any time hold long and short positions in such securities and instruments.  Such investments and securities activities may involve securities and instruments of the State</w:t>
      </w:r>
      <w:r>
        <w:t xml:space="preserve">.  </w:t>
      </w:r>
    </w:p>
    <w:p w:rsidR="00AF018D" w:rsidRPr="003F4EE4" w:rsidRDefault="00AF018D" w:rsidP="00F64928">
      <w:pPr>
        <w:pStyle w:val="BodyText1"/>
      </w:pPr>
      <w:r>
        <w:t xml:space="preserve">Citigroup Global Markets Inc., an underwriter of the Series </w:t>
      </w:r>
      <w:r w:rsidR="00480C95">
        <w:t>2020R</w:t>
      </w:r>
      <w:r>
        <w:t xml:space="preserve"> Certificates, has entered into a retail distribution agreement with Fidelity Capital Markets, a division of National Financial Services LLC (together with its affiliates, </w:t>
      </w:r>
      <w:r w:rsidR="00A06786">
        <w:t>“</w:t>
      </w:r>
      <w:r>
        <w:t>Fidelity</w:t>
      </w:r>
      <w:r w:rsidR="00A06786">
        <w:t>”</w:t>
      </w:r>
      <w:r>
        <w:t>).  Under this distribution agreement, Citigroup Global Markets Inc. may distribute municipal securities to retail investors at the original issue price through Fidelity.  As part of this arrangement, Citigroup Global Markets Inc. will compensate Fidelity for its selling efforts.</w:t>
      </w:r>
    </w:p>
    <w:p w:rsidR="006123A1" w:rsidRDefault="006123A1" w:rsidP="003A3DD0">
      <w:pPr>
        <w:pStyle w:val="Heading1"/>
      </w:pPr>
      <w:bookmarkStart w:id="92" w:name="_Toc56668412"/>
      <w:r>
        <w:t>RATINGS</w:t>
      </w:r>
      <w:bookmarkEnd w:id="92"/>
    </w:p>
    <w:p w:rsidR="006123A1" w:rsidRDefault="006123A1" w:rsidP="005B07C7">
      <w:pPr>
        <w:pStyle w:val="BodyText1"/>
      </w:pPr>
      <w:r>
        <w:t>Moody</w:t>
      </w:r>
      <w:r w:rsidR="00A06786">
        <w:t>’</w:t>
      </w:r>
      <w:r>
        <w:t xml:space="preserve">s Investors Service has assigned the Series </w:t>
      </w:r>
      <w:r w:rsidR="00480C95">
        <w:t>2020R</w:t>
      </w:r>
      <w:r>
        <w:t xml:space="preserve"> Certificates a rating of </w:t>
      </w:r>
      <w:r w:rsidR="00A06786">
        <w:t>“</w:t>
      </w:r>
      <w:r w:rsidR="00DA3617">
        <w:t>Aa2</w:t>
      </w:r>
      <w:r w:rsidR="00A06786">
        <w:t>”</w:t>
      </w:r>
      <w:r w:rsidR="008A3407">
        <w:t xml:space="preserve">, and Standard &amp; Poor’s Ratings Services </w:t>
      </w:r>
      <w:r>
        <w:t xml:space="preserve">has assigned the Series </w:t>
      </w:r>
      <w:r w:rsidR="00480C95">
        <w:t>2020R</w:t>
      </w:r>
      <w:r>
        <w:t xml:space="preserve"> Certificates a rating of </w:t>
      </w:r>
      <w:r w:rsidR="00A06786">
        <w:t>“</w:t>
      </w:r>
      <w:r w:rsidR="00DA3617">
        <w:t>AA-</w:t>
      </w:r>
      <w:r w:rsidR="00A06786">
        <w:t>”</w:t>
      </w:r>
      <w:r>
        <w:t xml:space="preserve">.  No other ratings have been applied for.  A rating reflects only the views of the rating agency assigning such rating, and an explanation of the significance of such rating may be obtained from each such rating agency.  The State has furnished to the rating agencies certain information and materials relating to the Series </w:t>
      </w:r>
      <w:r w:rsidR="00480C95">
        <w:t>2020R</w:t>
      </w:r>
      <w:r>
        <w:t xml:space="preserve"> Certificates</w:t>
      </w:r>
      <w:r w:rsidR="002E3E62">
        <w:t xml:space="preserve"> and the </w:t>
      </w:r>
      <w:r w:rsidR="00480C95">
        <w:t>2020R</w:t>
      </w:r>
      <w:r w:rsidR="002E3E62">
        <w:t xml:space="preserve"> Leased Property</w:t>
      </w:r>
      <w:r>
        <w:t xml:space="preserve">, including certain information and materials which have not been included in this Official Statement.  Generally, rating agencies base their ratings on such information and materials and on investigations, studies and assumptions by the rating agencies. </w:t>
      </w:r>
      <w:r w:rsidR="00AF018D">
        <w:t xml:space="preserve"> A securities rating is not a recommendation to buy, sell or hold securities. </w:t>
      </w:r>
      <w:r>
        <w:t xml:space="preserve"> There is no assurance that any of the ratings will continue for any given period of time or that any of the ratings will not be revised downward, suspended or withdrawn entirely by any such rating agency if, in its judgment, circumstances so warrant.  Any such downward revision, suspension or withdrawal of any such rating may have an adverse effect on the market price of the Series </w:t>
      </w:r>
      <w:r w:rsidR="00480C95">
        <w:t>2020R</w:t>
      </w:r>
      <w:r>
        <w:t xml:space="preserve"> Certificates.  Neither the State, the Municipal Advisor (hereinafter defined), nor any Underwriter undertakes any responsibility to oppose any such revision, suspension or withdrawal.</w:t>
      </w:r>
    </w:p>
    <w:p w:rsidR="006123A1" w:rsidRDefault="006123A1" w:rsidP="003A3DD0">
      <w:pPr>
        <w:pStyle w:val="Heading1"/>
      </w:pPr>
      <w:bookmarkStart w:id="93" w:name="_Toc56668413"/>
      <w:r>
        <w:t>MUNICIPAL ADVISOR</w:t>
      </w:r>
      <w:bookmarkEnd w:id="93"/>
    </w:p>
    <w:p w:rsidR="006123A1" w:rsidRDefault="006123A1" w:rsidP="005B07C7">
      <w:pPr>
        <w:pStyle w:val="BodyText1"/>
      </w:pPr>
      <w:r>
        <w:t xml:space="preserve">The State has retained </w:t>
      </w:r>
      <w:r w:rsidR="00CA6135">
        <w:t>Hilltop Securities</w:t>
      </w:r>
      <w:r w:rsidR="000D6F46">
        <w:t xml:space="preserve"> Inc.</w:t>
      </w:r>
      <w:r>
        <w:t xml:space="preserve">, Denver, Colorado, as municipal advisor (the </w:t>
      </w:r>
      <w:r w:rsidR="00A06786">
        <w:t>“</w:t>
      </w:r>
      <w:r>
        <w:t>Municipal Advisor</w:t>
      </w:r>
      <w:r w:rsidR="00A06786">
        <w:t>”</w:t>
      </w:r>
      <w:r>
        <w:t xml:space="preserve">) in connection with the Series </w:t>
      </w:r>
      <w:r w:rsidR="00480C95">
        <w:t>2020R</w:t>
      </w:r>
      <w:r>
        <w:t xml:space="preserve"> Certificates and with respect to the authorization, execution and delivery of the Series </w:t>
      </w:r>
      <w:r w:rsidR="00480C95">
        <w:t>2020R</w:t>
      </w:r>
      <w:r>
        <w:t xml:space="preserve"> Certificates.  </w:t>
      </w:r>
      <w:r w:rsidRPr="00382C36">
        <w:rPr>
          <w:i/>
        </w:rPr>
        <w:t>The Municipal Advisor is not obligated to undertake, and has not undertaken to make, an independent verification or to assume responsibility for the accuracy, completeness, or fairness of the information contained in this Official Statement.</w:t>
      </w:r>
      <w:r>
        <w:t xml:space="preserve">  The Municipal Advisor will act as </w:t>
      </w:r>
      <w:r w:rsidR="009D76AC">
        <w:t xml:space="preserve">an </w:t>
      </w:r>
      <w:r>
        <w:t xml:space="preserve">independent advisory firm and will not be engaged in underwriting or distributing the Series </w:t>
      </w:r>
      <w:r w:rsidR="00480C95">
        <w:t>2020R</w:t>
      </w:r>
      <w:r>
        <w:t xml:space="preserve"> Certificates.</w:t>
      </w:r>
    </w:p>
    <w:p w:rsidR="006123A1" w:rsidRDefault="006123A1" w:rsidP="006A4C08">
      <w:pPr>
        <w:pStyle w:val="Heading1"/>
        <w:keepNext/>
      </w:pPr>
      <w:bookmarkStart w:id="94" w:name="_Toc56668414"/>
      <w:r>
        <w:t>CONTINUING DISCLOSURE</w:t>
      </w:r>
      <w:bookmarkEnd w:id="94"/>
    </w:p>
    <w:p w:rsidR="006123A1" w:rsidRDefault="006123A1" w:rsidP="006A4C08">
      <w:pPr>
        <w:pStyle w:val="BodyText1"/>
        <w:keepNext/>
      </w:pPr>
      <w:r>
        <w:t xml:space="preserve">Rule 15c2-12, adopted by the Securities and Exchange Commission under the Securities Exchange Act of 1934, as amended, prohibits underwriters from purchasing or selling certain municipal securities unless the issuer of those securities, or an obligated person for whom financial or operating data is presented in the final official statement, has undertaken to provide continuing disclosure information for the benefit of the owners of those securities.  In accordance with Rule 15c2-12, the State, acting by and through the State Treasurer, will enter into a Continuing Disclosure Undertaking on the Closing Date, the form of which is appended to this Official Statement, pursuant to which the State Treasurer will agree for the benefit of the Owners and Beneficial Owners of the Series </w:t>
      </w:r>
      <w:r w:rsidR="00480C95">
        <w:t>2020R</w:t>
      </w:r>
      <w:r>
        <w:t xml:space="preserve"> Certificates to file with the MSRB via its EMMA website (a) certain annual financial information and the State</w:t>
      </w:r>
      <w:r w:rsidR="00A06786">
        <w:t>’</w:t>
      </w:r>
      <w:r>
        <w:t>s audited annual financial statements not later than 270 days after the end of each Fiscal Year, commencing with th</w:t>
      </w:r>
      <w:r w:rsidR="009D7655">
        <w:t>e Fiscal Year ended June 30, 2020</w:t>
      </w:r>
      <w:r>
        <w:t xml:space="preserve">, and (b) notices of the occurrence of certain events affecting the State and the Certificates within ten business days of their occurrence.  See as </w:t>
      </w:r>
      <w:r w:rsidR="00A06786">
        <w:t>“</w:t>
      </w:r>
      <w:r>
        <w:t>APPENDIX C – FORM OF CONTINUING DISCLOSURE UNDERTAKING</w:t>
      </w:r>
      <w:r w:rsidR="00A06786">
        <w:t>”</w:t>
      </w:r>
      <w:r>
        <w:t xml:space="preserve"> for a description of the annual information and the notices of events to be provided and other terms of the Continuing Disclosure Undertaking.</w:t>
      </w:r>
    </w:p>
    <w:p w:rsidR="006123A1" w:rsidRDefault="006123A1" w:rsidP="005B07C7">
      <w:pPr>
        <w:pStyle w:val="BodyText1"/>
      </w:pPr>
      <w:r>
        <w:t xml:space="preserve">The obligations of the State Treasurer pursuant to the Continuing Disclosure Undertaking are for the benefit of the Owners and Beneficial Owners of the Series </w:t>
      </w:r>
      <w:r w:rsidR="00480C95">
        <w:t>2020R</w:t>
      </w:r>
      <w:r>
        <w:t xml:space="preserve"> Certificates, and, if necessary, may be enforced by such Owners and Beneficial Owners by specific performance of such obligations by any judicial proceeding available.  However, a breach of the State Treasurer</w:t>
      </w:r>
      <w:r w:rsidR="00A06786">
        <w:t>’</w:t>
      </w:r>
      <w:r>
        <w:t>s obligations pursuant to the Continuing Disclosure Undertaking does not constitute an Indenture Event of Default or a Lease Event of Default, and none of the rights and remedies provided in the Indenture and the Lease for such defaults will be available to the Owners and Beneficial Owners of the Certificates in the event of a breach of the Continuing Disclosure Undertaking.</w:t>
      </w:r>
    </w:p>
    <w:p w:rsidR="006123A1" w:rsidRDefault="006123A1" w:rsidP="00C53E1A">
      <w:pPr>
        <w:pStyle w:val="Heading2"/>
        <w:keepNext/>
      </w:pPr>
      <w:bookmarkStart w:id="95" w:name="_Toc56668415"/>
      <w:r>
        <w:t>Compliance with Other Continuing Disclosure Undertakings</w:t>
      </w:r>
      <w:bookmarkEnd w:id="95"/>
    </w:p>
    <w:p w:rsidR="006123A1" w:rsidRDefault="006123A1" w:rsidP="00C53E1A">
      <w:pPr>
        <w:pStyle w:val="BodyText1"/>
        <w:keepNext/>
      </w:pPr>
      <w:r>
        <w:t>The State Treasurer has determined that during the previous five years, the State Treasurer and certain other State departments or agencies have not complied in all material respects with continuing disclosure undertakings entered into by such entities pursuant to Rule 15c2-12 in connection with municipal securities issued by or for the benefit of such entities by failing to file, or to file on a timely basis, on the EMMA website and its predecessor repositories, certain annual financial information, audited financial statements and/or notices of material events as required by those continuing disclosure undertakings</w:t>
      </w:r>
    </w:p>
    <w:p w:rsidR="006123A1" w:rsidRDefault="006123A1" w:rsidP="005B07C7">
      <w:pPr>
        <w:pStyle w:val="BodyText1"/>
      </w:pPr>
      <w:r>
        <w:t>Partially in response to the foregoing, the State Treasurer requested and the General Assembly enacted legislation in 2012 to provide the State Treasurer with statutory authority over debt issuance and post-issuance compliance with continuing disclosure undertakings entered into by the State, the State Treasurer and certain State departments and agencies that utilize the State</w:t>
      </w:r>
      <w:r w:rsidR="00A06786">
        <w:t>’</w:t>
      </w:r>
      <w:r>
        <w:t xml:space="preserve">s credit (collectively, the </w:t>
      </w:r>
      <w:r w:rsidR="00A06786">
        <w:t>“</w:t>
      </w:r>
      <w:r>
        <w:t>Included Entities</w:t>
      </w:r>
      <w:r w:rsidR="00A06786">
        <w:t>”</w:t>
      </w:r>
      <w:r>
        <w:t>) in connection with financial obligations issued by or for the benefit of the Included Entities.  Consistent with this authorization, the responsibility for compliance with the continuing disclosure undertakings entered into by the Included Entities has been centralized with the State Treasurer, which is intended to ensure future compliance with such continuing disclosure undertakings.</w:t>
      </w:r>
    </w:p>
    <w:p w:rsidR="006123A1" w:rsidRDefault="006123A1" w:rsidP="005B07C7">
      <w:pPr>
        <w:pStyle w:val="BodyText1"/>
      </w:pPr>
      <w:r>
        <w:t>In early 2013, the State Treasurer retained Digital Assurance Certification, LLC (</w:t>
      </w:r>
      <w:r w:rsidR="00A06786">
        <w:t>“</w:t>
      </w:r>
      <w:r>
        <w:t>DAC Bond</w:t>
      </w:r>
      <w:r w:rsidR="00A06786">
        <w:t>”</w:t>
      </w:r>
      <w:r>
        <w:t>), as its disclosure dissemination agent for the purpose of assisting it with auditing past compliance, making remedial filings and ensuring ongoing compliance with its continuing disclosure filing requirements with the MSRB of all information required in the continuing disclosure undertakings entered into by the Included Entities, and plans to implement other procedures intended to ensure future material compliance with such continuing disclosure undertakings.</w:t>
      </w:r>
    </w:p>
    <w:p w:rsidR="006123A1" w:rsidRDefault="006123A1" w:rsidP="005B07C7">
      <w:pPr>
        <w:pStyle w:val="BodyText1"/>
      </w:pPr>
      <w:r>
        <w:t>In addition, consistent with its statutory authorization and as a result of the circumstances described above, the State Treasurer</w:t>
      </w:r>
      <w:r w:rsidR="00A06786">
        <w:t>’</w:t>
      </w:r>
      <w:r>
        <w:t>s office carried out a comprehensive review of compliance by the State with the continuing disclosure undertakings entered into by the Included Entities for the purpose of determining instances of material noncompliance with such continuing disclosure undertakings.  Instances of material noncompliance discovered by the State Treasurer</w:t>
      </w:r>
      <w:r w:rsidR="00A06786">
        <w:t>’</w:t>
      </w:r>
      <w:r>
        <w:t>s office have been addressed by making appropriate corrective filings or taking other remedial actions, either directly or by DAC Bond.  The State also participated in the SEC</w:t>
      </w:r>
      <w:r w:rsidR="00A06786">
        <w:t>’</w:t>
      </w:r>
      <w:r>
        <w:t xml:space="preserve">s Municipal Continuing Disclosure Cooperation Initiative discussed in </w:t>
      </w:r>
      <w:r w:rsidR="00A06786">
        <w:t>“</w:t>
      </w:r>
      <w:r>
        <w:t>MCDC Settlement Order with Securities and Exchange Commission</w:t>
      </w:r>
      <w:r w:rsidR="00A06786">
        <w:t>”</w:t>
      </w:r>
      <w:r>
        <w:t xml:space="preserve"> hereafter.</w:t>
      </w:r>
    </w:p>
    <w:p w:rsidR="006123A1" w:rsidRDefault="006123A1" w:rsidP="005B07C7">
      <w:pPr>
        <w:pStyle w:val="BodyText1"/>
      </w:pPr>
      <w:r>
        <w:t xml:space="preserve">Due to various issues that were experienced by the State in connection with the implementation of a new integrated financial system as described in </w:t>
      </w:r>
      <w:r w:rsidR="00A06786">
        <w:t>“</w:t>
      </w:r>
      <w:r>
        <w:t>STATE FINANCIAL INFORMATION – Fiscal Controls and Financial Reporting,</w:t>
      </w:r>
      <w:r w:rsidR="00A06786">
        <w:t>”</w:t>
      </w:r>
      <w:r>
        <w:t xml:space="preserve"> the State</w:t>
      </w:r>
      <w:r w:rsidR="00A06786">
        <w:t>’</w:t>
      </w:r>
      <w:r>
        <w:t>s unaudited Basic Financial Statements for Fiscal Year 2014-15 and the State</w:t>
      </w:r>
      <w:r w:rsidR="00A06786">
        <w:t>’</w:t>
      </w:r>
      <w:r>
        <w:t>s Fiscal Year 2014-15 CAFR were not completed and released until late January 2016 and late April 2016, respectively.  As a result, the State was unable to post its Fiscal Year 2014-15 audited financial statements on EMMA by December 31, 2015, as required by numerous continuing disclosure undertakings entered into by the Included Entities.  Notice of such noncompliance was posted on EMMA on January 25, 2016, and the State</w:t>
      </w:r>
      <w:r w:rsidR="00A06786">
        <w:t>’</w:t>
      </w:r>
      <w:r>
        <w:t>s unaudited Basic Financial Statements for Fiscal Year 2014-15 and the State</w:t>
      </w:r>
      <w:r w:rsidR="00A06786">
        <w:t>’</w:t>
      </w:r>
      <w:r>
        <w:t>s Fiscal Year 2014-15 CAFR were subsequently posted on EMMA on February 1, 2016, and May 2, 2016, respectively.  The State was also unable to post its Fiscal Year 2015-16 audited financial statements on EMMA by December 31, 2016, as required by such continuing disclosure undertakings.  Notice of such noncompliance was posted on EMMA on January 16, 2017, and the State</w:t>
      </w:r>
      <w:r w:rsidR="00A06786">
        <w:t>’</w:t>
      </w:r>
      <w:r>
        <w:t>s unaudited Basic Financial Statements for Fiscal Year 2015-16 and the State</w:t>
      </w:r>
      <w:r w:rsidR="00A06786">
        <w:t>’</w:t>
      </w:r>
      <w:r>
        <w:t>s Fiscal Year 2015-16 CAFR were posted on EMMA on January 16, 2017, and March 8, 2017, respectively.  The State was also unab</w:t>
      </w:r>
      <w:r w:rsidR="0038445F">
        <w:t>le to post its Fiscal Year 2016-</w:t>
      </w:r>
      <w:r>
        <w:t xml:space="preserve">17 audited financial statements on EMMA by </w:t>
      </w:r>
      <w:r w:rsidR="002E3E62">
        <w:t>January</w:t>
      </w:r>
      <w:r>
        <w:t xml:space="preserve"> </w:t>
      </w:r>
      <w:r w:rsidR="002E3E62">
        <w:t>26</w:t>
      </w:r>
      <w:r>
        <w:t>, 201</w:t>
      </w:r>
      <w:r w:rsidR="002E3E62">
        <w:t>8</w:t>
      </w:r>
      <w:r>
        <w:t>, as required by such continuing disclosure undertakings.  A notice of late filing was posted on EMMA on January 25, 2018, and the State</w:t>
      </w:r>
      <w:r w:rsidR="00A06786">
        <w:t>’</w:t>
      </w:r>
      <w:r>
        <w:t xml:space="preserve">s unaudited Basic Financial </w:t>
      </w:r>
      <w:r w:rsidR="0038445F">
        <w:t>Statements for Fiscal Year 2016-</w:t>
      </w:r>
      <w:r>
        <w:t>17 and the State</w:t>
      </w:r>
      <w:r w:rsidR="00A06786">
        <w:t>’</w:t>
      </w:r>
      <w:r w:rsidR="0038445F">
        <w:t>s Fiscal Year 2016-</w:t>
      </w:r>
      <w:r>
        <w:t>17 CAFR were posted on EMMA on January 9, 2018, and February 8, 2018, respectively.</w:t>
      </w:r>
    </w:p>
    <w:p w:rsidR="006123A1" w:rsidRDefault="006123A1" w:rsidP="005B07C7">
      <w:pPr>
        <w:pStyle w:val="BodyText1"/>
      </w:pPr>
      <w:r>
        <w:t>In addition to the State</w:t>
      </w:r>
      <w:r w:rsidR="00A06786">
        <w:t>’</w:t>
      </w:r>
      <w:r>
        <w:t>s financial statements for Fiscal Years 2014-15 and 2015-16 discussed above, certain operating data for the Department of Human Services fo</w:t>
      </w:r>
      <w:r w:rsidR="0038445F">
        <w:t>r Fiscal Years 2014-15 and 2015-</w:t>
      </w:r>
      <w:r>
        <w:t>16 was not timely posted on EMMA (within 200 days of the end of the Fiscal Year) in connection with the Colorado State Department of Human Services (Division of State and Veterans Nursing Homes) Enterprise System Revenue Anticipation Warrants, Series 2002A.  Notices of failure to file such information for Fiscal Years 2014-15 and 2015-16 were posted on EMMA on January 21, 2016, and January 19, 2017, respectively.  The State</w:t>
      </w:r>
      <w:r w:rsidR="00A06786">
        <w:t>’</w:t>
      </w:r>
      <w:r>
        <w:t>s unaudited Basic Financial Statements and CAFRs for Fiscal Years 2014-15 and 2015-16 were eventually posted on EMMA as discussed above, and the operating data for the Department of Human Services for both Fiscal Years 2014-15 and 2015-16 was posted on EMMA on March 28, 2017.</w:t>
      </w:r>
    </w:p>
    <w:p w:rsidR="006123A1" w:rsidRDefault="006123A1" w:rsidP="005B07C7">
      <w:pPr>
        <w:pStyle w:val="BodyText1"/>
      </w:pPr>
      <w:r>
        <w:t>The OSPB December 2015 and March 2016 revenue forecasts were not timely posted on EMMA in connection with the State</w:t>
      </w:r>
      <w:r w:rsidR="00A06786">
        <w:t>’</w:t>
      </w:r>
      <w:r>
        <w:t>s Higher Education Federal Mineral Lease Certificates of Participation, Series 2014A.  Both a notice of failure to timely file such revenue forecasts, together with the revenue forecasts, were posted on EMMA on May 16, 2016.</w:t>
      </w:r>
    </w:p>
    <w:p w:rsidR="006123A1" w:rsidRDefault="006123A1" w:rsidP="00890CBC">
      <w:pPr>
        <w:pStyle w:val="Heading2"/>
        <w:keepNext/>
      </w:pPr>
      <w:bookmarkStart w:id="96" w:name="_Toc56668416"/>
      <w:r>
        <w:t>MCDC Settlement Order with Securities and Exchange Commission</w:t>
      </w:r>
      <w:bookmarkEnd w:id="96"/>
    </w:p>
    <w:p w:rsidR="006123A1" w:rsidRDefault="006123A1" w:rsidP="00890CBC">
      <w:pPr>
        <w:pStyle w:val="BodyText1"/>
        <w:keepNext/>
      </w:pPr>
      <w:r>
        <w:t xml:space="preserve">In March of 2014, the Securities and Exchange Commission (the </w:t>
      </w:r>
      <w:r w:rsidR="00A06786">
        <w:t>“</w:t>
      </w:r>
      <w:r>
        <w:t>SEC</w:t>
      </w:r>
      <w:r w:rsidR="00A06786">
        <w:t>”</w:t>
      </w:r>
      <w:r>
        <w:t xml:space="preserve">) announced its Municipal Continuing Disclosure Cooperation Initiative (the </w:t>
      </w:r>
      <w:r w:rsidR="00A06786">
        <w:t>“</w:t>
      </w:r>
      <w:r>
        <w:t>MCDC</w:t>
      </w:r>
      <w:r w:rsidR="00A06786">
        <w:t>”</w:t>
      </w:r>
      <w:r>
        <w:t>) pursuant to which underwriters and municipal issuers could self-report instances where official statements of municipal issuers failed to report instances in which the issuer failed to comply in all material respects with its continuing disclosure undertakings.  Pursuant to the MCDC, on or about November 26, 2014, the State Treasurer reported certain prior failures to the SEC.</w:t>
      </w:r>
    </w:p>
    <w:p w:rsidR="006123A1" w:rsidRDefault="006123A1" w:rsidP="005B07C7">
      <w:pPr>
        <w:pStyle w:val="BodyText1"/>
      </w:pPr>
      <w:r>
        <w:t xml:space="preserve">In May of 2016, the State Treasurer, on behalf of CDOT, executed an Offer of Settlement (the </w:t>
      </w:r>
      <w:r w:rsidR="00A06786">
        <w:t>“</w:t>
      </w:r>
      <w:r>
        <w:t>Offer</w:t>
      </w:r>
      <w:r w:rsidR="00A06786">
        <w:t>”</w:t>
      </w:r>
      <w:r>
        <w:t xml:space="preserve">) with the SEC under the MCDC, which Offer was accepted by the SEC on August 24, 2016, and became an order of the SEC (the </w:t>
      </w:r>
      <w:r w:rsidR="00A06786">
        <w:t>“</w:t>
      </w:r>
      <w:r>
        <w:t>Order</w:t>
      </w:r>
      <w:r w:rsidR="00A06786">
        <w:t>”</w:t>
      </w:r>
      <w:r>
        <w:t>).  As described in the Order, CDOT participated in one negotiated offering in 2011 in which the final official statement stated in relevant part that during the past five years, CDOT had complied in all material respects with its continuing disclosure undertakings.  Notwithstanding such statement, however, CDOT</w:t>
      </w:r>
      <w:r w:rsidR="00A06786">
        <w:t>’</w:t>
      </w:r>
      <w:r>
        <w:t>s audited financial statements for 2006, 2007, 2008, 2009 and 2010 were not filed until 2014 when it was discovered that such financial statements had not been filed previously with the Nationally Recognized Municipal Securities Information Repositories or the MSRB through the EMMA system, as applicable.</w:t>
      </w:r>
    </w:p>
    <w:p w:rsidR="006123A1" w:rsidRDefault="006123A1" w:rsidP="005B07C7">
      <w:pPr>
        <w:pStyle w:val="BodyText1"/>
      </w:pPr>
      <w:r>
        <w:t>Pursuant to the Order, the State Treasurer has agreed to (i) within 180 days of the entry of the Order, establish written policies and procedures and undertake periodic training regarding continuing disclosure obligations, including designation of an individual or officer responsible for ensuring compliance with such policies and procedures, (ii) within 180 days of the entry of the Order, comply with existing continuing disclosure undertakings, and, if not currently in compliance, update past delinquent filings, (iii) disclose in clear and conspicuous fashion the terms of the Offer in any official statement for an offering through the State Treasurer within five years of the institution of the proceedings, (iv) cooperate with any subsequent investigation by the SEC regarding false statements and/or material omissions and (v) not later than one year from the date of the institution of the proceedings, certify, in writing, compliance with the foregoing undertakings.</w:t>
      </w:r>
    </w:p>
    <w:p w:rsidR="006123A1" w:rsidRDefault="006123A1" w:rsidP="005B07C7">
      <w:pPr>
        <w:pStyle w:val="BodyText1"/>
      </w:pPr>
      <w:r>
        <w:t>In a letter to the SEC dated August 22, 2017, the State Treasurer stated that written policies and procedures and periodic training regarding continuing disclosure obligations to effect compliance have been implemented.  The State Treasurer also stated that the State was in compliance with all continuing disclosure obligations, including updating past delinquent filings if the State Treasurer was not in compliance with its continuing disclosure obligations.  The State Treasurer has and intends to continue to fully disclose in a clear and conspicuous fashion the terms of the settlement accompanying the Order in any final official statement for offering by the State Treasurer within five years of the institution of proceedings.</w:t>
      </w:r>
    </w:p>
    <w:p w:rsidR="006123A1" w:rsidRDefault="006123A1" w:rsidP="005B07C7">
      <w:pPr>
        <w:pStyle w:val="BodyText1"/>
      </w:pPr>
      <w:r>
        <w:t>The State Treasurer has updated its continuing disclosure procedures in order to comply with the Order and to ensure filings are done in accordance with its continuing disclosure agreements.</w:t>
      </w:r>
    </w:p>
    <w:p w:rsidR="006123A1" w:rsidRDefault="006123A1" w:rsidP="003A3DD0">
      <w:pPr>
        <w:pStyle w:val="Heading2"/>
      </w:pPr>
      <w:bookmarkStart w:id="97" w:name="_Toc56668417"/>
      <w:r>
        <w:t>Additional Information</w:t>
      </w:r>
      <w:bookmarkEnd w:id="97"/>
    </w:p>
    <w:p w:rsidR="006123A1" w:rsidRDefault="006123A1" w:rsidP="005B07C7">
      <w:pPr>
        <w:pStyle w:val="BodyText1"/>
      </w:pPr>
      <w:r>
        <w:t>Additional information concerning the matters discussed in this section may be obtained from the Colorado Attorney General</w:t>
      </w:r>
      <w:r w:rsidR="00A06786">
        <w:t>’</w:t>
      </w:r>
      <w:r>
        <w:t>s Office, 1300 Broadway, 6th Floor, Denver, Colorado 80203, Attention: Lori Ann F. Knutson, Esq., First Assistant Attorney General, telephone number: (720) 508-6153.</w:t>
      </w:r>
    </w:p>
    <w:p w:rsidR="006A4C08" w:rsidRDefault="006A4C08">
      <w:pPr>
        <w:spacing w:after="160" w:line="259" w:lineRule="auto"/>
        <w:jc w:val="left"/>
        <w:rPr>
          <w:rFonts w:ascii="Times New Roman Bold" w:eastAsiaTheme="majorEastAsia" w:hAnsi="Times New Roman Bold" w:cstheme="majorBidi"/>
          <w:b/>
          <w:sz w:val="24"/>
          <w:szCs w:val="32"/>
        </w:rPr>
      </w:pPr>
      <w:r>
        <w:br w:type="page"/>
      </w:r>
    </w:p>
    <w:p w:rsidR="006123A1" w:rsidRDefault="006123A1" w:rsidP="003A3DD0">
      <w:pPr>
        <w:pStyle w:val="Heading1"/>
      </w:pPr>
      <w:bookmarkStart w:id="98" w:name="_Toc56668418"/>
      <w:r>
        <w:t>MISCELLANEOUS</w:t>
      </w:r>
      <w:bookmarkEnd w:id="98"/>
    </w:p>
    <w:p w:rsidR="00382C36" w:rsidRDefault="006123A1" w:rsidP="005B07C7">
      <w:pPr>
        <w:pStyle w:val="BodyText1"/>
      </w:pPr>
      <w:r>
        <w:t xml:space="preserve">The cover page, prefatory information and appendices to this Official Statement are integral parts hereof and must be read together with all other parts of this Official Statement.  The descriptions of the documents, statutes, reports or other instruments included herein do not purport to be comprehensive or definitive and are qualified in the entirety by reference to each such document, statute, report or other instrument.  During the offering period of the Series </w:t>
      </w:r>
      <w:r w:rsidR="00480C95">
        <w:t>2020R</w:t>
      </w:r>
      <w:r>
        <w:t xml:space="preserve"> Certificates, copies of the Act and certain other documents referred to herein may be obtained from the source provided in </w:t>
      </w:r>
      <w:r w:rsidR="00A06786">
        <w:t>“</w:t>
      </w:r>
      <w:r>
        <w:t>INTRODUCTION – Miscellaneous.</w:t>
      </w:r>
      <w:r w:rsidR="00A06786">
        <w:t>”</w:t>
      </w:r>
      <w:r>
        <w:t xml:space="preserve">  So far as any statements made in this Official Statement involve matters of opinion, forecasts, projections or estimates, whether or not expressly stated, they are set forth as such and not as representations of fact.</w:t>
      </w:r>
    </w:p>
    <w:p w:rsidR="00382C36" w:rsidRDefault="00382C36">
      <w:pPr>
        <w:spacing w:after="160" w:line="259" w:lineRule="auto"/>
        <w:jc w:val="left"/>
        <w:rPr>
          <w:rFonts w:eastAsia="Times New Roman" w:cs="Times New Roman"/>
          <w:szCs w:val="24"/>
        </w:rPr>
      </w:pPr>
      <w:r>
        <w:br w:type="page"/>
      </w:r>
    </w:p>
    <w:p w:rsidR="006123A1" w:rsidRPr="00382C36" w:rsidRDefault="006123A1" w:rsidP="003A3DD0">
      <w:pPr>
        <w:pStyle w:val="Heading1"/>
      </w:pPr>
      <w:bookmarkStart w:id="99" w:name="_Toc56668419"/>
      <w:r w:rsidRPr="00382C36">
        <w:t>OFFICIAL STATEMENT CERTIFICATION</w:t>
      </w:r>
      <w:bookmarkEnd w:id="99"/>
    </w:p>
    <w:p w:rsidR="006123A1" w:rsidRDefault="006123A1" w:rsidP="00382C36">
      <w:pPr>
        <w:pStyle w:val="BodyText1"/>
      </w:pPr>
      <w:r>
        <w:t>The preparation and distribution of this Official Statement have been authorized by the State Treasurer.  This Official Statement is hereby approved by the Department of the Treasury as of the date on the cover page hereof.</w:t>
      </w:r>
    </w:p>
    <w:p w:rsidR="00382C36" w:rsidRPr="00382C36" w:rsidRDefault="006123A1" w:rsidP="00382C36">
      <w:pPr>
        <w:ind w:left="4320"/>
        <w:rPr>
          <w:b/>
        </w:rPr>
      </w:pPr>
      <w:r w:rsidRPr="00382C36">
        <w:rPr>
          <w:b/>
        </w:rPr>
        <w:t>STATE OF COLORADO, acting by and through</w:t>
      </w:r>
    </w:p>
    <w:p w:rsidR="006123A1" w:rsidRDefault="006123A1" w:rsidP="00382C36">
      <w:pPr>
        <w:ind w:left="4320"/>
      </w:pPr>
      <w:r w:rsidRPr="00382C36">
        <w:rPr>
          <w:b/>
        </w:rPr>
        <w:t>the Department of the Treasury</w:t>
      </w:r>
    </w:p>
    <w:p w:rsidR="00382C36" w:rsidRDefault="00382C36" w:rsidP="00382C36">
      <w:pPr>
        <w:ind w:left="4320"/>
      </w:pPr>
    </w:p>
    <w:p w:rsidR="00382C36" w:rsidRDefault="00382C36" w:rsidP="00382C36">
      <w:pPr>
        <w:ind w:left="4320"/>
      </w:pPr>
    </w:p>
    <w:p w:rsidR="00382C36" w:rsidRDefault="006123A1" w:rsidP="00382C36">
      <w:pPr>
        <w:tabs>
          <w:tab w:val="right" w:pos="9360"/>
        </w:tabs>
        <w:ind w:left="4320"/>
      </w:pPr>
      <w:r>
        <w:t xml:space="preserve">By:  </w:t>
      </w:r>
      <w:r w:rsidR="00E45C7B">
        <w:rPr>
          <w:u w:val="single"/>
        </w:rPr>
        <w:t>/s/ David Young</w:t>
      </w:r>
      <w:r w:rsidR="00382C36">
        <w:rPr>
          <w:u w:val="single"/>
        </w:rPr>
        <w:tab/>
      </w:r>
    </w:p>
    <w:p w:rsidR="006123A1" w:rsidRDefault="006123A1" w:rsidP="00382C36">
      <w:pPr>
        <w:ind w:left="4770"/>
      </w:pPr>
      <w:r>
        <w:t>Treasurer, State of Colorado</w:t>
      </w:r>
    </w:p>
    <w:p w:rsidR="00382C36" w:rsidRDefault="00382C36" w:rsidP="006123A1">
      <w:pPr>
        <w:sectPr w:rsidR="00382C36" w:rsidSect="009F07A3">
          <w:footerReference w:type="default" r:id="rId20"/>
          <w:footerReference w:type="first" r:id="rId21"/>
          <w:footnotePr>
            <w:numRestart w:val="eachPage"/>
          </w:footnotePr>
          <w:pgSz w:w="12240" w:h="15840"/>
          <w:pgMar w:top="1440" w:right="1440" w:bottom="1440" w:left="1440" w:header="720" w:footer="720" w:gutter="0"/>
          <w:pgNumType w:start="1"/>
          <w:cols w:space="720"/>
          <w:titlePg/>
          <w:docGrid w:linePitch="360"/>
        </w:sectPr>
      </w:pPr>
    </w:p>
    <w:p w:rsidR="00382C36" w:rsidRDefault="00382C36" w:rsidP="00382C36">
      <w:pPr>
        <w:jc w:val="center"/>
      </w:pPr>
    </w:p>
    <w:p w:rsidR="00382C36" w:rsidRDefault="00382C36" w:rsidP="00382C36">
      <w:pPr>
        <w:jc w:val="center"/>
      </w:pPr>
    </w:p>
    <w:p w:rsidR="00382C36" w:rsidRDefault="00382C36" w:rsidP="00382C36">
      <w:pPr>
        <w:jc w:val="center"/>
      </w:pPr>
    </w:p>
    <w:p w:rsidR="00382C36" w:rsidRDefault="00382C36" w:rsidP="00382C36">
      <w:pPr>
        <w:jc w:val="center"/>
      </w:pPr>
    </w:p>
    <w:p w:rsidR="00382C36" w:rsidRDefault="00382C36" w:rsidP="00382C36">
      <w:pPr>
        <w:jc w:val="center"/>
      </w:pPr>
    </w:p>
    <w:p w:rsidR="00382C36" w:rsidRDefault="00382C36" w:rsidP="00382C36">
      <w:pPr>
        <w:jc w:val="center"/>
      </w:pPr>
    </w:p>
    <w:p w:rsidR="00382C36" w:rsidRDefault="00382C36" w:rsidP="00382C36">
      <w:pPr>
        <w:jc w:val="center"/>
      </w:pPr>
    </w:p>
    <w:p w:rsidR="00382C36" w:rsidRDefault="00382C36" w:rsidP="00382C36">
      <w:pPr>
        <w:jc w:val="center"/>
      </w:pPr>
    </w:p>
    <w:p w:rsidR="00382C36" w:rsidRDefault="00382C36" w:rsidP="00382C36">
      <w:pPr>
        <w:jc w:val="center"/>
      </w:pPr>
    </w:p>
    <w:p w:rsidR="00382C36" w:rsidRDefault="00382C36" w:rsidP="00382C36">
      <w:pPr>
        <w:jc w:val="center"/>
      </w:pPr>
    </w:p>
    <w:p w:rsidR="00382C36" w:rsidRDefault="00382C36" w:rsidP="00382C36">
      <w:pPr>
        <w:jc w:val="center"/>
      </w:pPr>
    </w:p>
    <w:p w:rsidR="00382C36" w:rsidRDefault="00382C36" w:rsidP="00382C36">
      <w:pPr>
        <w:jc w:val="center"/>
      </w:pPr>
    </w:p>
    <w:p w:rsidR="00382C36" w:rsidRDefault="00382C36" w:rsidP="00382C36">
      <w:pPr>
        <w:jc w:val="center"/>
      </w:pPr>
    </w:p>
    <w:p w:rsidR="00382C36" w:rsidRDefault="00382C36" w:rsidP="00382C36">
      <w:pPr>
        <w:jc w:val="center"/>
      </w:pPr>
    </w:p>
    <w:p w:rsidR="00382C36" w:rsidRDefault="00382C36" w:rsidP="00382C36">
      <w:pPr>
        <w:jc w:val="center"/>
      </w:pPr>
    </w:p>
    <w:p w:rsidR="00382C36" w:rsidRDefault="00382C36" w:rsidP="00382C36">
      <w:pPr>
        <w:jc w:val="center"/>
      </w:pPr>
    </w:p>
    <w:p w:rsidR="00382C36" w:rsidRDefault="00382C36" w:rsidP="00382C36">
      <w:pPr>
        <w:jc w:val="center"/>
      </w:pPr>
    </w:p>
    <w:p w:rsidR="00382C36" w:rsidRDefault="00382C36" w:rsidP="00382C36">
      <w:pPr>
        <w:jc w:val="center"/>
      </w:pPr>
    </w:p>
    <w:p w:rsidR="00382C36" w:rsidRDefault="00382C36" w:rsidP="00382C36">
      <w:pPr>
        <w:jc w:val="center"/>
      </w:pPr>
    </w:p>
    <w:p w:rsidR="00382C36" w:rsidRDefault="00382C36" w:rsidP="00382C36">
      <w:pPr>
        <w:jc w:val="center"/>
      </w:pPr>
    </w:p>
    <w:p w:rsidR="00382C36" w:rsidRDefault="00382C36" w:rsidP="00382C36">
      <w:pPr>
        <w:jc w:val="center"/>
      </w:pPr>
    </w:p>
    <w:p w:rsidR="00382C36" w:rsidRDefault="00382C36" w:rsidP="00382C36">
      <w:pPr>
        <w:jc w:val="center"/>
      </w:pPr>
    </w:p>
    <w:p w:rsidR="00382C36" w:rsidRDefault="00382C36" w:rsidP="00382C36">
      <w:pPr>
        <w:jc w:val="center"/>
      </w:pPr>
    </w:p>
    <w:p w:rsidR="00382C36" w:rsidRDefault="00382C36" w:rsidP="00382C36">
      <w:pPr>
        <w:jc w:val="center"/>
      </w:pPr>
    </w:p>
    <w:p w:rsidR="00382C36" w:rsidRDefault="00382C36" w:rsidP="00382C36">
      <w:pPr>
        <w:jc w:val="center"/>
      </w:pPr>
    </w:p>
    <w:p w:rsidR="00382C36" w:rsidRDefault="00382C36" w:rsidP="00382C36">
      <w:pPr>
        <w:jc w:val="center"/>
      </w:pPr>
      <w:r>
        <w:t>[This page intentionally left blank]</w:t>
      </w:r>
    </w:p>
    <w:p w:rsidR="00382C36" w:rsidRDefault="00382C36" w:rsidP="006123A1"/>
    <w:p w:rsidR="00382C36" w:rsidRDefault="00382C36" w:rsidP="006123A1">
      <w:pPr>
        <w:sectPr w:rsidR="00382C36" w:rsidSect="009F07A3">
          <w:footerReference w:type="first" r:id="rId22"/>
          <w:footnotePr>
            <w:numRestart w:val="eachPage"/>
          </w:footnotePr>
          <w:pgSz w:w="12240" w:h="15840"/>
          <w:pgMar w:top="1440" w:right="1440" w:bottom="1440" w:left="1440" w:header="720" w:footer="720" w:gutter="0"/>
          <w:cols w:space="720"/>
          <w:titlePg/>
          <w:docGrid w:linePitch="360"/>
        </w:sectPr>
      </w:pPr>
    </w:p>
    <w:p w:rsidR="006123A1" w:rsidRPr="00382C36" w:rsidRDefault="006123A1" w:rsidP="00382C36">
      <w:pPr>
        <w:jc w:val="center"/>
        <w:rPr>
          <w:b/>
        </w:rPr>
      </w:pPr>
      <w:r w:rsidRPr="00382C36">
        <w:rPr>
          <w:b/>
        </w:rPr>
        <w:t>APPENDIX A</w:t>
      </w:r>
    </w:p>
    <w:p w:rsidR="00382C36" w:rsidRPr="00382C36" w:rsidRDefault="00382C36" w:rsidP="00382C36">
      <w:pPr>
        <w:jc w:val="center"/>
        <w:rPr>
          <w:b/>
        </w:rPr>
      </w:pPr>
    </w:p>
    <w:p w:rsidR="006123A1" w:rsidRPr="00382C36" w:rsidRDefault="006123A1" w:rsidP="00382C36">
      <w:pPr>
        <w:jc w:val="center"/>
        <w:rPr>
          <w:b/>
        </w:rPr>
      </w:pPr>
      <w:r w:rsidRPr="00382C36">
        <w:rPr>
          <w:b/>
        </w:rPr>
        <w:t>STATE OF COLORADO COMPREHENSIVE ANNUAL FINANCIAL REPORT</w:t>
      </w:r>
    </w:p>
    <w:p w:rsidR="006123A1" w:rsidRDefault="006123A1" w:rsidP="00382C36">
      <w:pPr>
        <w:jc w:val="center"/>
      </w:pPr>
      <w:r w:rsidRPr="00382C36">
        <w:rPr>
          <w:b/>
        </w:rPr>
        <w:t>FOR THE</w:t>
      </w:r>
      <w:r w:rsidR="00B802F1">
        <w:rPr>
          <w:b/>
        </w:rPr>
        <w:t xml:space="preserve"> FISCAL YEAR ENDED JUNE 30, 2019</w:t>
      </w:r>
      <w:r w:rsidR="007B6F29">
        <w:rPr>
          <w:b/>
        </w:rPr>
        <w:t xml:space="preserve"> </w:t>
      </w:r>
      <w:r w:rsidR="007B6F29" w:rsidRPr="007B6F29">
        <w:rPr>
          <w:b/>
        </w:rPr>
        <w:t xml:space="preserve">AND STATE OF COLORADO UNAUDITED BASIC FINANCIAL STATEMENTS FOR THE </w:t>
      </w:r>
      <w:r w:rsidR="00B802F1">
        <w:rPr>
          <w:b/>
        </w:rPr>
        <w:t>FISCAL YEAR ENDED JUNE 30, 2020</w:t>
      </w:r>
    </w:p>
    <w:p w:rsidR="006123A1" w:rsidRDefault="006123A1" w:rsidP="00382C36">
      <w:pPr>
        <w:jc w:val="center"/>
      </w:pPr>
    </w:p>
    <w:p w:rsidR="00382C36" w:rsidRDefault="00382C36" w:rsidP="00382C36">
      <w:pPr>
        <w:jc w:val="center"/>
      </w:pPr>
    </w:p>
    <w:p w:rsidR="006123A1" w:rsidRDefault="006123A1" w:rsidP="00382C36">
      <w:pPr>
        <w:jc w:val="center"/>
      </w:pPr>
      <w:r>
        <w:t>(Page numbering is that of the original printed document)</w:t>
      </w:r>
    </w:p>
    <w:p w:rsidR="00382C36" w:rsidRDefault="00382C36" w:rsidP="006123A1"/>
    <w:p w:rsidR="00407395" w:rsidRDefault="00407395" w:rsidP="006123A1">
      <w:pPr>
        <w:sectPr w:rsidR="00407395" w:rsidSect="009F07A3">
          <w:footerReference w:type="first" r:id="rId23"/>
          <w:footnotePr>
            <w:numRestart w:val="eachPage"/>
          </w:footnotePr>
          <w:pgSz w:w="12240" w:h="15840"/>
          <w:pgMar w:top="1440" w:right="1440" w:bottom="1440" w:left="1440" w:header="720" w:footer="720" w:gutter="0"/>
          <w:pgNumType w:start="1"/>
          <w:cols w:space="720"/>
          <w:titlePg/>
          <w:docGrid w:linePitch="360"/>
        </w:sectPr>
      </w:pPr>
    </w:p>
    <w:p w:rsidR="00407395" w:rsidRDefault="00407395" w:rsidP="00407395">
      <w:pPr>
        <w:jc w:val="center"/>
      </w:pPr>
    </w:p>
    <w:p w:rsidR="00407395" w:rsidRDefault="00407395" w:rsidP="00407395">
      <w:pPr>
        <w:jc w:val="center"/>
      </w:pPr>
    </w:p>
    <w:p w:rsidR="00407395" w:rsidRDefault="00407395" w:rsidP="00407395">
      <w:pPr>
        <w:jc w:val="center"/>
      </w:pPr>
    </w:p>
    <w:p w:rsidR="00407395" w:rsidRDefault="00407395" w:rsidP="00407395">
      <w:pPr>
        <w:jc w:val="center"/>
      </w:pPr>
    </w:p>
    <w:p w:rsidR="00407395" w:rsidRDefault="00407395" w:rsidP="00407395">
      <w:pPr>
        <w:jc w:val="center"/>
      </w:pPr>
    </w:p>
    <w:p w:rsidR="00407395" w:rsidRDefault="00407395" w:rsidP="00407395">
      <w:pPr>
        <w:jc w:val="center"/>
      </w:pPr>
    </w:p>
    <w:p w:rsidR="00407395" w:rsidRDefault="00407395" w:rsidP="00407395">
      <w:pPr>
        <w:jc w:val="center"/>
      </w:pPr>
    </w:p>
    <w:p w:rsidR="00407395" w:rsidRDefault="00407395" w:rsidP="00407395">
      <w:pPr>
        <w:jc w:val="center"/>
      </w:pPr>
    </w:p>
    <w:p w:rsidR="00407395" w:rsidRDefault="00407395" w:rsidP="00407395">
      <w:pPr>
        <w:jc w:val="center"/>
      </w:pPr>
    </w:p>
    <w:p w:rsidR="00407395" w:rsidRDefault="00407395" w:rsidP="00407395">
      <w:pPr>
        <w:jc w:val="center"/>
      </w:pPr>
    </w:p>
    <w:p w:rsidR="00407395" w:rsidRDefault="00407395" w:rsidP="00407395">
      <w:pPr>
        <w:jc w:val="center"/>
      </w:pPr>
    </w:p>
    <w:p w:rsidR="00407395" w:rsidRDefault="00407395" w:rsidP="00407395">
      <w:pPr>
        <w:jc w:val="center"/>
      </w:pPr>
    </w:p>
    <w:p w:rsidR="00407395" w:rsidRDefault="00407395" w:rsidP="00407395">
      <w:pPr>
        <w:jc w:val="center"/>
      </w:pPr>
    </w:p>
    <w:p w:rsidR="00407395" w:rsidRDefault="00407395" w:rsidP="00407395">
      <w:pPr>
        <w:jc w:val="center"/>
      </w:pPr>
    </w:p>
    <w:p w:rsidR="00407395" w:rsidRDefault="00407395" w:rsidP="00407395">
      <w:pPr>
        <w:jc w:val="center"/>
      </w:pPr>
    </w:p>
    <w:p w:rsidR="00407395" w:rsidRDefault="00407395" w:rsidP="00407395">
      <w:pPr>
        <w:jc w:val="center"/>
      </w:pPr>
    </w:p>
    <w:p w:rsidR="00407395" w:rsidRDefault="00407395" w:rsidP="00407395">
      <w:pPr>
        <w:jc w:val="center"/>
      </w:pPr>
    </w:p>
    <w:p w:rsidR="00407395" w:rsidRDefault="00407395" w:rsidP="00407395">
      <w:pPr>
        <w:jc w:val="center"/>
      </w:pPr>
    </w:p>
    <w:p w:rsidR="00407395" w:rsidRDefault="00407395" w:rsidP="00407395">
      <w:pPr>
        <w:jc w:val="center"/>
      </w:pPr>
    </w:p>
    <w:p w:rsidR="00407395" w:rsidRDefault="00407395" w:rsidP="00407395">
      <w:pPr>
        <w:jc w:val="center"/>
      </w:pPr>
    </w:p>
    <w:p w:rsidR="00407395" w:rsidRDefault="00407395" w:rsidP="00407395">
      <w:pPr>
        <w:jc w:val="center"/>
      </w:pPr>
    </w:p>
    <w:p w:rsidR="00407395" w:rsidRDefault="00407395" w:rsidP="00407395">
      <w:pPr>
        <w:jc w:val="center"/>
      </w:pPr>
    </w:p>
    <w:p w:rsidR="00407395" w:rsidRDefault="00407395" w:rsidP="00407395">
      <w:pPr>
        <w:jc w:val="center"/>
      </w:pPr>
    </w:p>
    <w:p w:rsidR="00407395" w:rsidRDefault="00407395" w:rsidP="00407395">
      <w:pPr>
        <w:jc w:val="center"/>
      </w:pPr>
    </w:p>
    <w:p w:rsidR="00407395" w:rsidRDefault="00407395" w:rsidP="00407395">
      <w:pPr>
        <w:jc w:val="center"/>
      </w:pPr>
    </w:p>
    <w:p w:rsidR="00407395" w:rsidRDefault="00407395" w:rsidP="00407395">
      <w:pPr>
        <w:jc w:val="center"/>
        <w:sectPr w:rsidR="00407395" w:rsidSect="009F07A3">
          <w:footerReference w:type="first" r:id="rId24"/>
          <w:footnotePr>
            <w:numRestart w:val="eachPage"/>
          </w:footnotePr>
          <w:pgSz w:w="12240" w:h="15840"/>
          <w:pgMar w:top="1440" w:right="1440" w:bottom="1440" w:left="1440" w:header="720" w:footer="720" w:gutter="0"/>
          <w:cols w:space="720"/>
          <w:titlePg/>
          <w:docGrid w:linePitch="360"/>
        </w:sectPr>
      </w:pPr>
      <w:r>
        <w:t>[This page intentionally left blank]</w:t>
      </w:r>
    </w:p>
    <w:p w:rsidR="006123A1" w:rsidRPr="00407395" w:rsidRDefault="006123A1" w:rsidP="00407395">
      <w:pPr>
        <w:jc w:val="center"/>
        <w:rPr>
          <w:b/>
        </w:rPr>
      </w:pPr>
      <w:r w:rsidRPr="00407395">
        <w:rPr>
          <w:b/>
        </w:rPr>
        <w:t>APPENDIX B</w:t>
      </w:r>
    </w:p>
    <w:p w:rsidR="00407395" w:rsidRPr="00407395" w:rsidRDefault="00407395" w:rsidP="00407395">
      <w:pPr>
        <w:jc w:val="center"/>
        <w:rPr>
          <w:b/>
        </w:rPr>
      </w:pPr>
    </w:p>
    <w:p w:rsidR="006123A1" w:rsidRPr="00407395" w:rsidRDefault="006123A1" w:rsidP="00407395">
      <w:pPr>
        <w:jc w:val="center"/>
        <w:rPr>
          <w:b/>
        </w:rPr>
      </w:pPr>
      <w:r w:rsidRPr="00407395">
        <w:rPr>
          <w:b/>
        </w:rPr>
        <w:t xml:space="preserve">FORMS OF THE MASTER INDENTURE, THE </w:t>
      </w:r>
      <w:r w:rsidR="00480C95">
        <w:rPr>
          <w:b/>
        </w:rPr>
        <w:t>2020R</w:t>
      </w:r>
      <w:r w:rsidRPr="00407395">
        <w:rPr>
          <w:b/>
        </w:rPr>
        <w:t xml:space="preserve"> SUPPLEMENTAL INDENTURE,</w:t>
      </w:r>
    </w:p>
    <w:p w:rsidR="006123A1" w:rsidRPr="00407395" w:rsidRDefault="006123A1" w:rsidP="00407395">
      <w:pPr>
        <w:jc w:val="center"/>
        <w:rPr>
          <w:b/>
        </w:rPr>
      </w:pPr>
      <w:r w:rsidRPr="00407395">
        <w:rPr>
          <w:b/>
        </w:rPr>
        <w:t xml:space="preserve">THE </w:t>
      </w:r>
      <w:r w:rsidR="00480C95">
        <w:rPr>
          <w:b/>
        </w:rPr>
        <w:t>2020R</w:t>
      </w:r>
      <w:r w:rsidRPr="00407395">
        <w:rPr>
          <w:b/>
        </w:rPr>
        <w:t xml:space="preserve"> LEASE, THE </w:t>
      </w:r>
      <w:r w:rsidR="00480C95">
        <w:rPr>
          <w:b/>
        </w:rPr>
        <w:t>2020R</w:t>
      </w:r>
      <w:r w:rsidRPr="00407395">
        <w:rPr>
          <w:b/>
        </w:rPr>
        <w:t xml:space="preserve"> SITE LEASE AND THE </w:t>
      </w:r>
      <w:r w:rsidR="00480C95">
        <w:rPr>
          <w:b/>
        </w:rPr>
        <w:t>2020R</w:t>
      </w:r>
      <w:r w:rsidRPr="00407395">
        <w:rPr>
          <w:b/>
        </w:rPr>
        <w:t xml:space="preserve"> SUBLEASE</w:t>
      </w:r>
    </w:p>
    <w:p w:rsidR="00407395" w:rsidRDefault="00407395" w:rsidP="006123A1"/>
    <w:p w:rsidR="006123A1" w:rsidRDefault="006123A1" w:rsidP="00407395">
      <w:pPr>
        <w:jc w:val="center"/>
      </w:pPr>
      <w:r>
        <w:t>(Page numbering is that of the respective documents)</w:t>
      </w:r>
    </w:p>
    <w:p w:rsidR="00407395" w:rsidRDefault="00407395" w:rsidP="006123A1">
      <w:pPr>
        <w:sectPr w:rsidR="00407395" w:rsidSect="009F07A3">
          <w:footerReference w:type="default" r:id="rId25"/>
          <w:footerReference w:type="first" r:id="rId26"/>
          <w:footnotePr>
            <w:numRestart w:val="eachPage"/>
          </w:footnotePr>
          <w:pgSz w:w="12240" w:h="15840"/>
          <w:pgMar w:top="1440" w:right="1440" w:bottom="1440" w:left="1440" w:header="720" w:footer="720" w:gutter="0"/>
          <w:pgNumType w:start="1"/>
          <w:cols w:space="720"/>
          <w:titlePg/>
          <w:docGrid w:linePitch="360"/>
        </w:sectPr>
      </w:pPr>
    </w:p>
    <w:p w:rsidR="00407395" w:rsidRDefault="00407395" w:rsidP="00407395">
      <w:pPr>
        <w:jc w:val="center"/>
      </w:pPr>
    </w:p>
    <w:p w:rsidR="00407395" w:rsidRDefault="00407395" w:rsidP="00407395">
      <w:pPr>
        <w:jc w:val="center"/>
      </w:pPr>
    </w:p>
    <w:p w:rsidR="00407395" w:rsidRDefault="00407395" w:rsidP="00407395">
      <w:pPr>
        <w:jc w:val="center"/>
      </w:pPr>
    </w:p>
    <w:p w:rsidR="00407395" w:rsidRDefault="00407395" w:rsidP="00407395">
      <w:pPr>
        <w:jc w:val="center"/>
      </w:pPr>
    </w:p>
    <w:p w:rsidR="00407395" w:rsidRDefault="00407395" w:rsidP="00407395">
      <w:pPr>
        <w:jc w:val="center"/>
      </w:pPr>
    </w:p>
    <w:p w:rsidR="00407395" w:rsidRDefault="00407395" w:rsidP="00407395">
      <w:pPr>
        <w:jc w:val="center"/>
      </w:pPr>
    </w:p>
    <w:p w:rsidR="00407395" w:rsidRDefault="00407395" w:rsidP="00407395">
      <w:pPr>
        <w:jc w:val="center"/>
      </w:pPr>
    </w:p>
    <w:p w:rsidR="00407395" w:rsidRDefault="00407395" w:rsidP="00407395">
      <w:pPr>
        <w:jc w:val="center"/>
      </w:pPr>
    </w:p>
    <w:p w:rsidR="00407395" w:rsidRDefault="00407395" w:rsidP="00407395">
      <w:pPr>
        <w:jc w:val="center"/>
      </w:pPr>
    </w:p>
    <w:p w:rsidR="00407395" w:rsidRDefault="00407395" w:rsidP="00407395">
      <w:pPr>
        <w:jc w:val="center"/>
      </w:pPr>
    </w:p>
    <w:p w:rsidR="00407395" w:rsidRDefault="00407395" w:rsidP="00407395">
      <w:pPr>
        <w:jc w:val="center"/>
      </w:pPr>
    </w:p>
    <w:p w:rsidR="00407395" w:rsidRDefault="00407395" w:rsidP="00407395">
      <w:pPr>
        <w:jc w:val="center"/>
      </w:pPr>
    </w:p>
    <w:p w:rsidR="00407395" w:rsidRDefault="00407395" w:rsidP="00407395">
      <w:pPr>
        <w:jc w:val="center"/>
      </w:pPr>
    </w:p>
    <w:p w:rsidR="00407395" w:rsidRDefault="00407395" w:rsidP="00407395">
      <w:pPr>
        <w:jc w:val="center"/>
      </w:pPr>
    </w:p>
    <w:p w:rsidR="00407395" w:rsidRDefault="00407395" w:rsidP="00407395">
      <w:pPr>
        <w:jc w:val="center"/>
      </w:pPr>
    </w:p>
    <w:p w:rsidR="00407395" w:rsidRDefault="00407395" w:rsidP="00407395">
      <w:pPr>
        <w:jc w:val="center"/>
      </w:pPr>
    </w:p>
    <w:p w:rsidR="00407395" w:rsidRDefault="00407395" w:rsidP="00407395">
      <w:pPr>
        <w:jc w:val="center"/>
      </w:pPr>
    </w:p>
    <w:p w:rsidR="00407395" w:rsidRDefault="00407395" w:rsidP="00407395">
      <w:pPr>
        <w:jc w:val="center"/>
      </w:pPr>
    </w:p>
    <w:p w:rsidR="00407395" w:rsidRDefault="00407395" w:rsidP="00407395">
      <w:pPr>
        <w:jc w:val="center"/>
      </w:pPr>
    </w:p>
    <w:p w:rsidR="00407395" w:rsidRDefault="00407395" w:rsidP="00407395">
      <w:pPr>
        <w:jc w:val="center"/>
      </w:pPr>
    </w:p>
    <w:p w:rsidR="00407395" w:rsidRDefault="00407395" w:rsidP="00407395">
      <w:pPr>
        <w:jc w:val="center"/>
      </w:pPr>
    </w:p>
    <w:p w:rsidR="00407395" w:rsidRDefault="00407395" w:rsidP="00407395">
      <w:pPr>
        <w:jc w:val="center"/>
      </w:pPr>
    </w:p>
    <w:p w:rsidR="00407395" w:rsidRDefault="00407395" w:rsidP="00407395">
      <w:pPr>
        <w:jc w:val="center"/>
      </w:pPr>
    </w:p>
    <w:p w:rsidR="00407395" w:rsidRDefault="00407395" w:rsidP="00407395">
      <w:pPr>
        <w:jc w:val="center"/>
      </w:pPr>
    </w:p>
    <w:p w:rsidR="00407395" w:rsidRDefault="00407395" w:rsidP="00407395">
      <w:pPr>
        <w:jc w:val="center"/>
      </w:pPr>
    </w:p>
    <w:p w:rsidR="00407395" w:rsidRDefault="00407395" w:rsidP="00407395">
      <w:pPr>
        <w:jc w:val="center"/>
        <w:sectPr w:rsidR="00407395" w:rsidSect="009F07A3">
          <w:footerReference w:type="first" r:id="rId27"/>
          <w:footnotePr>
            <w:numRestart w:val="eachPage"/>
          </w:footnotePr>
          <w:pgSz w:w="12240" w:h="15840"/>
          <w:pgMar w:top="1440" w:right="1440" w:bottom="1440" w:left="1440" w:header="720" w:footer="720" w:gutter="0"/>
          <w:cols w:space="720"/>
          <w:titlePg/>
          <w:docGrid w:linePitch="360"/>
        </w:sectPr>
      </w:pPr>
      <w:r>
        <w:t>[This page intentionally left blank]</w:t>
      </w:r>
    </w:p>
    <w:p w:rsidR="006123A1" w:rsidRPr="00407395" w:rsidRDefault="006123A1" w:rsidP="00407395">
      <w:pPr>
        <w:jc w:val="center"/>
        <w:rPr>
          <w:b/>
        </w:rPr>
      </w:pPr>
      <w:r w:rsidRPr="00407395">
        <w:rPr>
          <w:b/>
        </w:rPr>
        <w:t>APPENDIX C</w:t>
      </w:r>
    </w:p>
    <w:p w:rsidR="00407395" w:rsidRPr="00407395" w:rsidRDefault="00407395" w:rsidP="00407395">
      <w:pPr>
        <w:jc w:val="center"/>
        <w:rPr>
          <w:b/>
        </w:rPr>
      </w:pPr>
    </w:p>
    <w:p w:rsidR="006123A1" w:rsidRPr="00407395" w:rsidRDefault="006123A1" w:rsidP="00407395">
      <w:pPr>
        <w:jc w:val="center"/>
        <w:rPr>
          <w:b/>
        </w:rPr>
      </w:pPr>
      <w:r w:rsidRPr="00407395">
        <w:rPr>
          <w:b/>
        </w:rPr>
        <w:t>FORM OF CONTINUING DISCLOSURE UNDERTAKING</w:t>
      </w:r>
    </w:p>
    <w:p w:rsidR="00407395" w:rsidRDefault="00407395" w:rsidP="006123A1"/>
    <w:p w:rsidR="00DD4B54" w:rsidRPr="0057116F" w:rsidRDefault="00E45C7B" w:rsidP="00407395">
      <w:pPr>
        <w:jc w:val="center"/>
        <w:rPr>
          <w:b/>
          <w:szCs w:val="22"/>
        </w:rPr>
      </w:pPr>
      <w:r>
        <w:rPr>
          <w:b/>
          <w:szCs w:val="22"/>
        </w:rPr>
        <w:t>$98,030,000</w:t>
      </w:r>
    </w:p>
    <w:p w:rsidR="00DD4B54" w:rsidRPr="0057116F" w:rsidRDefault="00DD4B54" w:rsidP="00407395">
      <w:pPr>
        <w:jc w:val="center"/>
        <w:rPr>
          <w:b/>
          <w:szCs w:val="22"/>
        </w:rPr>
      </w:pPr>
      <w:r w:rsidRPr="0057116F">
        <w:rPr>
          <w:b/>
          <w:szCs w:val="22"/>
        </w:rPr>
        <w:t>STATE OF COLORADO</w:t>
      </w:r>
    </w:p>
    <w:p w:rsidR="00DD4B54" w:rsidRPr="0057116F" w:rsidRDefault="00DD4B54" w:rsidP="00407395">
      <w:pPr>
        <w:jc w:val="center"/>
        <w:rPr>
          <w:b/>
          <w:szCs w:val="22"/>
        </w:rPr>
      </w:pPr>
      <w:r w:rsidRPr="0057116F">
        <w:rPr>
          <w:b/>
          <w:szCs w:val="22"/>
        </w:rPr>
        <w:t>BUILDING EXCELLENT SCHOOLS TODAY</w:t>
      </w:r>
    </w:p>
    <w:p w:rsidR="00DD4B54" w:rsidRPr="0057116F" w:rsidRDefault="00DD4B54" w:rsidP="00407395">
      <w:pPr>
        <w:jc w:val="center"/>
        <w:rPr>
          <w:b/>
          <w:szCs w:val="22"/>
        </w:rPr>
      </w:pPr>
      <w:r w:rsidRPr="0057116F">
        <w:rPr>
          <w:b/>
          <w:szCs w:val="22"/>
        </w:rPr>
        <w:t>CERTIFICATES OF PARTICIPATION</w:t>
      </w:r>
    </w:p>
    <w:p w:rsidR="00DD4B54" w:rsidRPr="0057116F" w:rsidRDefault="00DD4B54" w:rsidP="00407395">
      <w:pPr>
        <w:jc w:val="center"/>
        <w:rPr>
          <w:b/>
          <w:szCs w:val="22"/>
        </w:rPr>
      </w:pPr>
      <w:r w:rsidRPr="0057116F">
        <w:rPr>
          <w:b/>
          <w:szCs w:val="22"/>
        </w:rPr>
        <w:t xml:space="preserve">TAX-EXEMPT SERIES </w:t>
      </w:r>
      <w:r w:rsidR="00480C95">
        <w:rPr>
          <w:b/>
          <w:szCs w:val="22"/>
        </w:rPr>
        <w:t>2020R</w:t>
      </w:r>
    </w:p>
    <w:p w:rsidR="00407395" w:rsidRDefault="00407395" w:rsidP="006123A1"/>
    <w:p w:rsidR="006123A1" w:rsidRDefault="006123A1" w:rsidP="00407395">
      <w:pPr>
        <w:pStyle w:val="Title"/>
      </w:pPr>
      <w:r>
        <w:t>CONTINUING DISCLOSURE UNDERTAKING</w:t>
      </w:r>
    </w:p>
    <w:p w:rsidR="006123A1" w:rsidRDefault="006123A1" w:rsidP="00407395">
      <w:pPr>
        <w:pStyle w:val="BodyText1"/>
      </w:pPr>
      <w:r>
        <w:t xml:space="preserve">This Continuing Disclosure Undertaking (the </w:t>
      </w:r>
      <w:r w:rsidR="00A06786">
        <w:t>“</w:t>
      </w:r>
      <w:r>
        <w:t>Disclosure Certificate</w:t>
      </w:r>
      <w:r w:rsidR="00A06786">
        <w:t>”</w:t>
      </w:r>
      <w:r>
        <w:t xml:space="preserve">) is executed and delivered by the State of Colorado (the </w:t>
      </w:r>
      <w:r w:rsidR="00A06786">
        <w:t>“</w:t>
      </w:r>
      <w:r w:rsidRPr="0057116F">
        <w:rPr>
          <w:b/>
        </w:rPr>
        <w:t>State</w:t>
      </w:r>
      <w:r w:rsidR="00A06786">
        <w:t>”</w:t>
      </w:r>
      <w:r>
        <w:t xml:space="preserve">), acting by and through the Department of the Treasury, in connection with the execution and delivery of the </w:t>
      </w:r>
      <w:r w:rsidR="0057116F">
        <w:t>above-referenced</w:t>
      </w:r>
      <w:r>
        <w:t xml:space="preserve"> Certificates of Participation (the </w:t>
      </w:r>
      <w:r w:rsidR="00A06786">
        <w:t>“</w:t>
      </w:r>
      <w:r w:rsidRPr="0057116F">
        <w:rPr>
          <w:b/>
        </w:rPr>
        <w:t>Certificates</w:t>
      </w:r>
      <w:r w:rsidR="00A06786">
        <w:t>”</w:t>
      </w:r>
      <w:r>
        <w:t>) evidencing assignments of proportionate interests in the right to receive certain paymen</w:t>
      </w:r>
      <w:r w:rsidR="0057116F">
        <w:t xml:space="preserve">ts payable under </w:t>
      </w:r>
      <w:r w:rsidR="00895121">
        <w:t xml:space="preserve">(a) the </w:t>
      </w:r>
      <w:r>
        <w:t xml:space="preserve">annually renewable State of Colorado Building Excellent Schools Today Series </w:t>
      </w:r>
      <w:r w:rsidR="00480C95">
        <w:t>2020R</w:t>
      </w:r>
      <w:r>
        <w:t xml:space="preserve"> Lease Purchase Agreement, dated as of </w:t>
      </w:r>
      <w:r w:rsidR="00AF52CB">
        <w:t>December __,</w:t>
      </w:r>
      <w:r w:rsidR="00B802F1">
        <w:t xml:space="preserve"> 2020</w:t>
      </w:r>
      <w:r>
        <w:t xml:space="preserve">, entered into by and between </w:t>
      </w:r>
      <w:r w:rsidR="00561636">
        <w:t>Zions Bancorporation</w:t>
      </w:r>
      <w:r>
        <w:t xml:space="preserve">, National Association, as trustee (the </w:t>
      </w:r>
      <w:r w:rsidR="00A06786">
        <w:t>“</w:t>
      </w:r>
      <w:r w:rsidRPr="0057116F">
        <w:rPr>
          <w:b/>
        </w:rPr>
        <w:t>Trustee</w:t>
      </w:r>
      <w:r w:rsidR="00A06786">
        <w:t>”</w:t>
      </w:r>
      <w:r w:rsidR="00895121">
        <w:t xml:space="preserve">) under </w:t>
      </w:r>
      <w:r>
        <w:t xml:space="preserve">the State of Colorado Building Excellent Schools Today Master Trust Indenture dated August 12, 2009 (as </w:t>
      </w:r>
      <w:r w:rsidR="00895121">
        <w:t xml:space="preserve">amended and </w:t>
      </w:r>
      <w:r>
        <w:t xml:space="preserve">supplemented from time to time, the </w:t>
      </w:r>
      <w:r w:rsidR="00A06786">
        <w:t>“</w:t>
      </w:r>
      <w:r w:rsidRPr="0057116F">
        <w:rPr>
          <w:b/>
        </w:rPr>
        <w:t>Indenture</w:t>
      </w:r>
      <w:r w:rsidR="00A06786">
        <w:t>”</w:t>
      </w:r>
      <w:r>
        <w:t>), as lessor, and the State</w:t>
      </w:r>
      <w:r w:rsidR="00895121">
        <w:t xml:space="preserve">, acting by and through the State Treasurer, as lessee, and (b) any other leases entered into by and between the Trustee, as lessor, and the State, as lessee, pursuant to the Indenture. </w:t>
      </w:r>
      <w:r>
        <w:t xml:space="preserve"> The Certificates are being delivered pursuant to the Indenture and under authority granted by the laws of the State</w:t>
      </w:r>
      <w:r w:rsidR="00AA05EA">
        <w:t>.</w:t>
      </w:r>
    </w:p>
    <w:p w:rsidR="006123A1" w:rsidRDefault="006123A1" w:rsidP="00407395">
      <w:pPr>
        <w:pStyle w:val="BodyText1"/>
      </w:pPr>
      <w:r>
        <w:t>The State covenants and agrees as follows:</w:t>
      </w:r>
    </w:p>
    <w:p w:rsidR="006123A1" w:rsidRDefault="006123A1" w:rsidP="00E9473A">
      <w:pPr>
        <w:pStyle w:val="Exhibit1"/>
      </w:pPr>
      <w:r w:rsidRPr="00407395">
        <w:rPr>
          <w:u w:val="single"/>
        </w:rPr>
        <w:t>Purpose of the Disclosure Certificate</w:t>
      </w:r>
      <w:r>
        <w:t>.  This Disclosure Certificate is being executed and delivered by the State for the benefit of the Owners of the Certificates and in order to allow the Participating Underwriters (as defined by Rule 15c2-12) to comply with Rule 15c2-12.</w:t>
      </w:r>
    </w:p>
    <w:p w:rsidR="006123A1" w:rsidRDefault="006123A1" w:rsidP="00E9473A">
      <w:pPr>
        <w:pStyle w:val="Exhibit1"/>
      </w:pPr>
      <w:r w:rsidRPr="00407395">
        <w:rPr>
          <w:u w:val="single"/>
        </w:rPr>
        <w:t>Definitions</w:t>
      </w:r>
      <w:r>
        <w:t>.  In addition to the definitions set forth in the Indenture, which apply to any capitalized term used in this Disclosure Certificate unless otherwise defined in this Section, the following capitalized terms shall have the following meanings:</w:t>
      </w:r>
    </w:p>
    <w:p w:rsidR="006123A1" w:rsidRDefault="00A06786" w:rsidP="00407395">
      <w:pPr>
        <w:pStyle w:val="BodyText1"/>
      </w:pPr>
      <w:r>
        <w:t>“</w:t>
      </w:r>
      <w:r w:rsidR="006123A1">
        <w:t>Annual Financial Information</w:t>
      </w:r>
      <w:r>
        <w:t>”</w:t>
      </w:r>
      <w:r w:rsidR="006123A1">
        <w:t xml:space="preserve"> means the financial information or operating data with respect to the State, delivered at least annually pursuant to Section 3 hereof, of the type set forth in the Official Statement, including but not limited to, such financial information and operating data under </w:t>
      </w:r>
      <w:r>
        <w:t>“</w:t>
      </w:r>
      <w:r w:rsidR="006123A1">
        <w:t>APPENDIX E – THE STATE GENERAL FUND,</w:t>
      </w:r>
      <w:r>
        <w:t>”</w:t>
      </w:r>
      <w:r w:rsidR="006123A1">
        <w:t xml:space="preserve"> </w:t>
      </w:r>
      <w:r>
        <w:t>“</w:t>
      </w:r>
      <w:r w:rsidR="006123A1">
        <w:t>APPENDIX G – PUBLIC SCHOOL CAPITAL CONSTRUCTION ASSISTANCE FUND,</w:t>
      </w:r>
      <w:r>
        <w:t>”</w:t>
      </w:r>
      <w:r w:rsidR="006123A1">
        <w:t xml:space="preserve"> </w:t>
      </w:r>
      <w:r>
        <w:t>“</w:t>
      </w:r>
      <w:r w:rsidR="006123A1">
        <w:t xml:space="preserve">APPENDIX H – LEASED PROPERTY RELATING TO THE </w:t>
      </w:r>
      <w:r w:rsidR="00AF018D">
        <w:t>PRIOR</w:t>
      </w:r>
      <w:r w:rsidR="006123A1">
        <w:t xml:space="preserve"> CERTIFICATES</w:t>
      </w:r>
      <w:r>
        <w:t>”</w:t>
      </w:r>
      <w:r w:rsidR="006123A1">
        <w:t xml:space="preserve"> and </w:t>
      </w:r>
      <w:r>
        <w:t>“</w:t>
      </w:r>
      <w:r w:rsidR="006123A1">
        <w:t>APPENDIX J – STATE PENSION SYSTEM.</w:t>
      </w:r>
      <w:r>
        <w:t>”</w:t>
      </w:r>
    </w:p>
    <w:p w:rsidR="006123A1" w:rsidRDefault="00A06786" w:rsidP="00407395">
      <w:pPr>
        <w:pStyle w:val="BodyText1"/>
      </w:pPr>
      <w:r>
        <w:t>“</w:t>
      </w:r>
      <w:r w:rsidR="006123A1">
        <w:t>Audited Financial Statements</w:t>
      </w:r>
      <w:r>
        <w:t>”</w:t>
      </w:r>
      <w:r w:rsidR="006123A1">
        <w:t xml:space="preserve"> means the annual financial statements for the State, prepared in accordance with generally accepted accounting principles as applicable to governmental entities as in effect from time to time, audited by the State Auditor.</w:t>
      </w:r>
    </w:p>
    <w:p w:rsidR="006123A1" w:rsidRDefault="00A06786" w:rsidP="00407395">
      <w:pPr>
        <w:pStyle w:val="BodyText1"/>
      </w:pPr>
      <w:r>
        <w:t>“</w:t>
      </w:r>
      <w:r w:rsidR="006123A1">
        <w:t>Events</w:t>
      </w:r>
      <w:r>
        <w:t>”</w:t>
      </w:r>
      <w:r w:rsidR="006123A1">
        <w:t xml:space="preserve"> means any of the events listed in Section 4(a) of this Disclosure Certificate.</w:t>
      </w:r>
    </w:p>
    <w:p w:rsidR="006123A1" w:rsidRDefault="00A06786" w:rsidP="00407395">
      <w:pPr>
        <w:pStyle w:val="BodyText1"/>
      </w:pPr>
      <w:r>
        <w:t>“</w:t>
      </w:r>
      <w:r w:rsidR="006123A1">
        <w:t>MSRB</w:t>
      </w:r>
      <w:r>
        <w:t>”</w:t>
      </w:r>
      <w:r w:rsidR="006123A1">
        <w:t xml:space="preserve"> means the Municipal Securities Rulemaking Board.  As of the date hereof, filings with the MSRB are to be made through the Electronic Municipal Market Access (EMMA) website of the MSRB, currently located at </w:t>
      </w:r>
      <w:r w:rsidR="006123A1" w:rsidRPr="00407395">
        <w:rPr>
          <w:u w:val="single"/>
        </w:rPr>
        <w:t>http://emma.msrb.org</w:t>
      </w:r>
      <w:r w:rsidR="006123A1">
        <w:t>.</w:t>
      </w:r>
    </w:p>
    <w:p w:rsidR="006123A1" w:rsidRDefault="00A06786" w:rsidP="00407395">
      <w:pPr>
        <w:pStyle w:val="BodyText1"/>
      </w:pPr>
      <w:r>
        <w:t>“</w:t>
      </w:r>
      <w:r w:rsidR="006123A1">
        <w:t>Official Statement</w:t>
      </w:r>
      <w:r>
        <w:t>”</w:t>
      </w:r>
      <w:r w:rsidR="006123A1">
        <w:t xml:space="preserve"> means the final Official Statement delivered in connection with the original issue and sale of the Certificates.</w:t>
      </w:r>
    </w:p>
    <w:p w:rsidR="006123A1" w:rsidRDefault="00A06786" w:rsidP="00407395">
      <w:pPr>
        <w:pStyle w:val="BodyText1"/>
      </w:pPr>
      <w:r>
        <w:t>“</w:t>
      </w:r>
      <w:r w:rsidR="006123A1">
        <w:t>Owner of the Certificates</w:t>
      </w:r>
      <w:r>
        <w:t>”</w:t>
      </w:r>
      <w:r w:rsidR="006123A1">
        <w:t xml:space="preserve"> means the registered owner of the Certificates, and so long as the Certificates are subject to the book entry system, any Beneficial Owner as such term is defined in the Indenture.</w:t>
      </w:r>
    </w:p>
    <w:p w:rsidR="006123A1" w:rsidRDefault="00A06786" w:rsidP="00407395">
      <w:pPr>
        <w:pStyle w:val="BodyText1"/>
      </w:pPr>
      <w:r>
        <w:t>“</w:t>
      </w:r>
      <w:r w:rsidR="006123A1">
        <w:t>Rule 15c2-12</w:t>
      </w:r>
      <w:r>
        <w:t>”</w:t>
      </w:r>
      <w:r w:rsidR="006123A1">
        <w:t xml:space="preserve"> shall mean Rule 15c2-12 adopted by the U.S. Securities and Exchange Commission under the Securities Exchange Act of 1934, as the same may be amended from time to time.</w:t>
      </w:r>
    </w:p>
    <w:p w:rsidR="006123A1" w:rsidRDefault="006123A1" w:rsidP="000207AC">
      <w:pPr>
        <w:pStyle w:val="Exhibit1"/>
      </w:pPr>
      <w:r w:rsidRPr="000207AC">
        <w:rPr>
          <w:u w:val="single"/>
        </w:rPr>
        <w:t>Provision of Annual Information</w:t>
      </w:r>
      <w:r>
        <w:t>.</w:t>
      </w:r>
    </w:p>
    <w:p w:rsidR="006123A1" w:rsidRDefault="006123A1" w:rsidP="000207AC">
      <w:pPr>
        <w:pStyle w:val="Exhibit2"/>
      </w:pPr>
      <w:r>
        <w:t>Commencing with the Fiscal</w:t>
      </w:r>
      <w:r w:rsidR="00AA05EA">
        <w:t xml:space="preserve"> Year ended June 30, 2021</w:t>
      </w:r>
      <w:r>
        <w:t>, and annually while the Certificates remain outstanding, the State shall provide to the MSRB the Annual Financial Information and Audited Financial Statements.</w:t>
      </w:r>
    </w:p>
    <w:p w:rsidR="006123A1" w:rsidRDefault="006123A1" w:rsidP="000207AC">
      <w:pPr>
        <w:pStyle w:val="Exhibit2"/>
      </w:pPr>
      <w:r>
        <w:t>Such Annual Financial Information shall be provided by the State not later than 270 days after the end of each Fiscal Year of the State.  The Audited Financial Statements will also be provided not later than 270 days after the end of each Fiscal Year; provided, however, that in the event the Audited Financial Statements are not available within the time specified, such Audited Financial Statements will be provided thereafter as soon as they are available.</w:t>
      </w:r>
    </w:p>
    <w:p w:rsidR="006123A1" w:rsidRDefault="006123A1" w:rsidP="000207AC">
      <w:pPr>
        <w:pStyle w:val="Exhibit2"/>
      </w:pPr>
      <w:r>
        <w:t>The State may provide Annual Financial Information and Audited Financial Statements by specific cross-reference to other documents which have been submitted to the MSRB or filed with the U.S. Securities and Exchange Commission.  If the document so referenced is a final official statement within the meaning of Rule 15c2-12, such final official statement must also be available from the MSRB.  The State shall clearly identify each such other document so incorporated by cross-reference.</w:t>
      </w:r>
    </w:p>
    <w:p w:rsidR="006123A1" w:rsidRDefault="006123A1" w:rsidP="000207AC">
      <w:pPr>
        <w:pStyle w:val="Exhibit1"/>
      </w:pPr>
      <w:r w:rsidRPr="000207AC">
        <w:rPr>
          <w:u w:val="single"/>
        </w:rPr>
        <w:t>Reporting of Events</w:t>
      </w:r>
      <w:r>
        <w:t>.</w:t>
      </w:r>
    </w:p>
    <w:p w:rsidR="006123A1" w:rsidRDefault="006123A1" w:rsidP="000207AC">
      <w:pPr>
        <w:pStyle w:val="Exhibit2"/>
      </w:pPr>
      <w:r>
        <w:t>The State shall file or cause to be filed with the MSRB, in a timely manner not in excess of ten business days after the occurrence of the Event, notice of any of the Events listed below with respect to the Certificates:</w:t>
      </w:r>
    </w:p>
    <w:p w:rsidR="006123A1" w:rsidRDefault="006123A1" w:rsidP="000207AC">
      <w:pPr>
        <w:pStyle w:val="Exhibit3"/>
      </w:pPr>
      <w:r>
        <w:t>Principal and interest payment delinquencies.</w:t>
      </w:r>
    </w:p>
    <w:p w:rsidR="006123A1" w:rsidRDefault="006123A1" w:rsidP="000207AC">
      <w:pPr>
        <w:pStyle w:val="Exhibit3"/>
      </w:pPr>
      <w:r>
        <w:t>Non-payment related defaults, if material.</w:t>
      </w:r>
    </w:p>
    <w:p w:rsidR="006123A1" w:rsidRDefault="006123A1" w:rsidP="000207AC">
      <w:pPr>
        <w:pStyle w:val="Exhibit3"/>
      </w:pPr>
      <w:r>
        <w:t>Unscheduled draws on debt service reserves reflecting financial difficulties.</w:t>
      </w:r>
    </w:p>
    <w:p w:rsidR="006123A1" w:rsidRDefault="006123A1" w:rsidP="000207AC">
      <w:pPr>
        <w:pStyle w:val="Exhibit3"/>
      </w:pPr>
      <w:r>
        <w:t>Unscheduled draws on credit enhancement relating to the Certificates reflecting financial difficulties.</w:t>
      </w:r>
    </w:p>
    <w:p w:rsidR="006123A1" w:rsidRDefault="006123A1" w:rsidP="000207AC">
      <w:pPr>
        <w:pStyle w:val="Exhibit3"/>
      </w:pPr>
      <w:r>
        <w:t>Substitution of credit or liquidity providers, or their failure to perform.</w:t>
      </w:r>
    </w:p>
    <w:p w:rsidR="006123A1" w:rsidRDefault="006123A1" w:rsidP="000207AC">
      <w:pPr>
        <w:pStyle w:val="Exhibit3"/>
      </w:pPr>
      <w:r>
        <w:t>Adverse tax opinions, the issuance by the Internal Revenue Service of proposed or final determinations of taxability, Notices of Proposed Issue (IRS Form 5701-TEB) or other material notices or determinations with respect to the tax status of the Certificates, or other material events or events affecting the tax status of the Certificates.</w:t>
      </w:r>
    </w:p>
    <w:p w:rsidR="006123A1" w:rsidRDefault="006123A1" w:rsidP="000207AC">
      <w:pPr>
        <w:pStyle w:val="Exhibit3"/>
      </w:pPr>
      <w:r>
        <w:t>Modifications to the rights of the security holders, if material.</w:t>
      </w:r>
    </w:p>
    <w:p w:rsidR="006123A1" w:rsidRDefault="006123A1" w:rsidP="000207AC">
      <w:pPr>
        <w:pStyle w:val="Exhibit3"/>
      </w:pPr>
      <w:r>
        <w:t>Certificate calls (other than mandatory sinking fund redemption), if material, and tender offers.</w:t>
      </w:r>
    </w:p>
    <w:p w:rsidR="006123A1" w:rsidRDefault="006123A1" w:rsidP="000207AC">
      <w:pPr>
        <w:pStyle w:val="Exhibit3"/>
      </w:pPr>
      <w:r>
        <w:t>Defeasances.</w:t>
      </w:r>
    </w:p>
    <w:p w:rsidR="006123A1" w:rsidRDefault="006123A1" w:rsidP="000207AC">
      <w:pPr>
        <w:pStyle w:val="Exhibit3"/>
      </w:pPr>
      <w:r>
        <w:t>Release, substitution or sale of property securing repayment of the securities, if material.</w:t>
      </w:r>
    </w:p>
    <w:p w:rsidR="006123A1" w:rsidRDefault="006123A1" w:rsidP="000207AC">
      <w:pPr>
        <w:pStyle w:val="Exhibit3"/>
      </w:pPr>
      <w:r>
        <w:t>Rating changes.</w:t>
      </w:r>
    </w:p>
    <w:p w:rsidR="006123A1" w:rsidRDefault="006123A1" w:rsidP="000207AC">
      <w:pPr>
        <w:pStyle w:val="Exhibit3"/>
      </w:pPr>
      <w:r>
        <w:t>Bankruptcy, insolvency, receivership or similar event of the obligated perso</w:t>
      </w:r>
      <w:r w:rsidR="002445FE">
        <w:t>n (as defined in Rule 15c2-12).</w:t>
      </w:r>
      <w:r w:rsidR="00724723">
        <w:rPr>
          <w:rStyle w:val="FootnoteReference"/>
        </w:rPr>
        <w:footnoteReference w:id="4"/>
      </w:r>
    </w:p>
    <w:p w:rsidR="006123A1" w:rsidRDefault="006123A1" w:rsidP="000207AC">
      <w:pPr>
        <w:pStyle w:val="Exhibit3"/>
      </w:pPr>
      <w:r>
        <w:t>The consummation of a merger, consolidation, or acquisition involving an obligated person or the sale of all or substantially all of the assets of the obligated person, other than in the ordinary course of business, the entry into a definitive agreement to undertake such an action or the termination of a definitive agreement relating to any such actions, other than pursuant to its terms, if material.</w:t>
      </w:r>
    </w:p>
    <w:p w:rsidR="006123A1" w:rsidRDefault="006123A1" w:rsidP="000207AC">
      <w:pPr>
        <w:pStyle w:val="Exhibit3"/>
      </w:pPr>
      <w:r>
        <w:t>Appointment of a successor or additional trustee or the change of name of a trustee, if material.</w:t>
      </w:r>
    </w:p>
    <w:p w:rsidR="00724723" w:rsidRDefault="00724723" w:rsidP="000207AC">
      <w:pPr>
        <w:pStyle w:val="Exhibit3"/>
      </w:pPr>
      <w:r>
        <w:t>Incurrence of a Financial Obligation</w:t>
      </w:r>
      <w:r>
        <w:rPr>
          <w:rStyle w:val="FootnoteReference"/>
        </w:rPr>
        <w:footnoteReference w:id="5"/>
      </w:r>
      <w:r>
        <w:t xml:space="preserve"> of the State or obligated person, if material, or agreement to covenants, events of default, remedies, priority rights or other similar terms of a Financial Obligation of the State or obligated person, any of which affect the Owners of the Certificates, if material.</w:t>
      </w:r>
    </w:p>
    <w:p w:rsidR="00724723" w:rsidRDefault="00724723" w:rsidP="000207AC">
      <w:pPr>
        <w:pStyle w:val="Exhibit3"/>
      </w:pPr>
      <w:r>
        <w:t>Default, event of acceleration, termination event, modification of terms or other similar events under the terms of the Financial Obligation of the State or obligated person, any of which reflect financial difficulties.</w:t>
      </w:r>
    </w:p>
    <w:p w:rsidR="006123A1" w:rsidRDefault="006123A1" w:rsidP="000207AC">
      <w:pPr>
        <w:pStyle w:val="Exhibit2"/>
      </w:pPr>
      <w:r>
        <w:t>At any time when the Certificates are Outstanding and the State obtains knowledge of the occurrence of an Event, the State shall determine if any Event under subsection (a)(2)(7),(8, with respect to calls but not tender offers), (10), (13) or (14) would constitute material information for Owners of the Certificates.</w:t>
      </w:r>
    </w:p>
    <w:p w:rsidR="006123A1" w:rsidRDefault="006123A1" w:rsidP="000207AC">
      <w:pPr>
        <w:pStyle w:val="Exhibit2"/>
      </w:pPr>
      <w:r>
        <w:t>At any time the Certificates are outstanding, the State shall provide, in a timely manner after the occurrence thereof, to the MSRB, notice of any failure of the State to timely provide the Annual Financial Information as specified in Section 3 hereof.</w:t>
      </w:r>
    </w:p>
    <w:p w:rsidR="006123A1" w:rsidRDefault="006123A1" w:rsidP="000207AC">
      <w:pPr>
        <w:pStyle w:val="Exhibit1"/>
      </w:pPr>
      <w:r w:rsidRPr="00407395">
        <w:rPr>
          <w:u w:val="single"/>
        </w:rPr>
        <w:t>Format; Identifying Information</w:t>
      </w:r>
      <w:r>
        <w:t>.  All documents provided to the MSRB pursuant to this Disclosure Certificate shall be in the format prescribed by the MSRB and accompanied by identifying information as prescribed by the MSRB.</w:t>
      </w:r>
    </w:p>
    <w:p w:rsidR="006123A1" w:rsidRDefault="006123A1" w:rsidP="00407395">
      <w:pPr>
        <w:pStyle w:val="BodyText1"/>
      </w:pPr>
      <w:r>
        <w:t>As of the date of this Disclosure Certificate, all documents submitted to the MSRB must be in portable document format (PDF) files configured to permit documents to be saved, viewed, printed and retransmitted by electronic means.  In addition, such PDF files must be word-searchable, provided that diagrams, images and other non-textual elements are not required to be word-searchable.</w:t>
      </w:r>
    </w:p>
    <w:p w:rsidR="006123A1" w:rsidRDefault="006123A1" w:rsidP="000207AC">
      <w:pPr>
        <w:pStyle w:val="Exhibit1"/>
      </w:pPr>
      <w:r w:rsidRPr="00407395">
        <w:rPr>
          <w:u w:val="single"/>
        </w:rPr>
        <w:t>Term</w:t>
      </w:r>
      <w:r>
        <w:t xml:space="preserve">.  This Disclosure Certificate shall be in effect from and after the execution and delivery of the Certificates and shall extend to the earliest of (a) the date all principal and interest on the Certificates shall have been deemed paid pursuant to the terms of the Indenture; (b) the date that the State shall no longer constitute an </w:t>
      </w:r>
      <w:r w:rsidR="00A06786">
        <w:t>“</w:t>
      </w:r>
      <w:r>
        <w:t>obligated person</w:t>
      </w:r>
      <w:r w:rsidR="00A06786">
        <w:t>”</w:t>
      </w:r>
      <w:r>
        <w:t xml:space="preserve"> with respect to the Certificates within the meaning of Rule 15c2-12; and (c) the date on which those portions of Rule 15c2-12 which require this Disclosure Undertaking are determined to be invalid by a court of competent jurisdiction in a non-appealable action, have been repealed retroactively or otherwise do not apply to the Certificates, which determination may be made in any manner deemed appropriate by the State, including by an opinion of an attorney or firm of attorneys experienced in federal securities law selected by the State.  The State shall file a notice of any such termination with the MSRB.</w:t>
      </w:r>
    </w:p>
    <w:p w:rsidR="006123A1" w:rsidRDefault="006123A1" w:rsidP="000207AC">
      <w:pPr>
        <w:pStyle w:val="Exhibit1"/>
      </w:pPr>
      <w:r w:rsidRPr="002445FE">
        <w:rPr>
          <w:u w:val="single"/>
        </w:rPr>
        <w:t>Amendment; Waiver</w:t>
      </w:r>
      <w:r>
        <w:t>.  Notwithstanding any other provision of this Disclosure Certificate, the State may amend this Disclosure Certificate, and any provision of this Disclosure Certificate may be waived, if such amendment or waiver is required or permitted by Rule 15c2-12.  Written notice of any such amendment or waiver shall be provided by the State to the MSRB, and the Annual Financial Information shall explain the reasons for the amendment and the impact of any change in the type of information being provided.</w:t>
      </w:r>
    </w:p>
    <w:p w:rsidR="006123A1" w:rsidRDefault="006123A1" w:rsidP="000207AC">
      <w:pPr>
        <w:pStyle w:val="Exhibit1"/>
      </w:pPr>
      <w:r w:rsidRPr="002445FE">
        <w:rPr>
          <w:u w:val="single"/>
        </w:rPr>
        <w:t>Additional Information</w:t>
      </w:r>
      <w:r>
        <w:t>.  Nothing in this Disclosure Certificate shall be deemed to prevent the State from disseminating any other information, using the means of dissemination set forth in this Disclosure Certificate or any other means of communication, or including any other annual information or notice of occurrence of an event which is not an Event, in addition to that which is required by this Disclosure Certificate; provided that the State shall not be required to do so.  If the State chooses to include any annual information or notice of occurrence of an event in addition to that which is specifically required by this Disclosure Certificate, the State shall have no obligation under this Disclosure Certificate to update such information or include it in any future annual filing or notice of occurrence of an Event.</w:t>
      </w:r>
    </w:p>
    <w:p w:rsidR="006123A1" w:rsidRDefault="006123A1" w:rsidP="000207AC">
      <w:pPr>
        <w:pStyle w:val="Exhibit1"/>
      </w:pPr>
      <w:r w:rsidRPr="002445FE">
        <w:rPr>
          <w:u w:val="single"/>
        </w:rPr>
        <w:t>Default and Enforcement</w:t>
      </w:r>
      <w:r>
        <w:t>.  If the State fails to comply with any provision of this Disclosure Certificate, any Owner of the Certificates may take action to seek specific performance by court order to compel the State to comply with its undertaking in this Disclosure Certificate; provided that any Certificate Owner seeking to require the State to so comply shall first provide at least 30 days</w:t>
      </w:r>
      <w:r w:rsidR="00A06786">
        <w:t>’</w:t>
      </w:r>
      <w:r>
        <w:t xml:space="preserve"> prior written notice to the State Treasurer of the State</w:t>
      </w:r>
      <w:r w:rsidR="00A06786">
        <w:t>’</w:t>
      </w:r>
      <w:r>
        <w:t>s failure (giving reasonable details of such failure), following which notice the State shall have 30 days to comply and, provided further, that only the Owners of no less than a majority in aggregate principal amount of the Certificates may take action to seek specific performance in connection with a challenge to the adequacy of the information provided by the State in accordance with this Disclosure Certificate, after notice and opportunity to comply as provided herein, and such action shall be taken only in a court of jurisdiction in the State.  A DEFAULT UNDER THIS DISCLOSURE CERTIFICATE SHALL NOT BE DEEMED AN EVENT OF DEFAULT UNDER THE INDENTURE OR THE CERTIFICATES, AND THE SOLE REMEDY UNDER THIS DISCLOSURE CERTIFICATE IN THE EVENT OF ANY FAILURE OF THE STATE TO COMPLY WITH THIS DISCLOSURE CERTIFICATE SHALL BE AN ACTION TO COMPEL PERFORMANCE.</w:t>
      </w:r>
    </w:p>
    <w:p w:rsidR="006123A1" w:rsidRDefault="006123A1" w:rsidP="000207AC">
      <w:pPr>
        <w:pStyle w:val="Exhibit1"/>
      </w:pPr>
      <w:r w:rsidRPr="002445FE">
        <w:rPr>
          <w:u w:val="single"/>
        </w:rPr>
        <w:t>Beneficiaries</w:t>
      </w:r>
      <w:r>
        <w:t>.  The Disclosure Certificate shall inure solely to the benefit of the State, the Participating Underwriters and Owners from time to time of the Certificates, and shall create no rights in any other person or entity.</w:t>
      </w:r>
    </w:p>
    <w:p w:rsidR="00311B8F" w:rsidRDefault="00311B8F">
      <w:pPr>
        <w:spacing w:after="160" w:line="259" w:lineRule="auto"/>
        <w:jc w:val="left"/>
        <w:rPr>
          <w:rFonts w:eastAsia="Times New Roman" w:cs="Times New Roman"/>
          <w:szCs w:val="24"/>
        </w:rPr>
      </w:pPr>
      <w:r>
        <w:br w:type="page"/>
      </w:r>
    </w:p>
    <w:p w:rsidR="006123A1" w:rsidRDefault="006123A1" w:rsidP="002445FE">
      <w:pPr>
        <w:pStyle w:val="BodyText1"/>
      </w:pPr>
      <w:r>
        <w:t xml:space="preserve">IN WITNESS WHEREOF, the State has caused this Continuing Disclosure Undertaking to be executed effective as of </w:t>
      </w:r>
      <w:r w:rsidR="00E45C7B">
        <w:t>December 9</w:t>
      </w:r>
      <w:r w:rsidR="002860C9">
        <w:t>, 2020</w:t>
      </w:r>
      <w:r>
        <w:t>.</w:t>
      </w:r>
    </w:p>
    <w:p w:rsidR="002445FE" w:rsidRPr="002445FE" w:rsidRDefault="006123A1" w:rsidP="002445FE">
      <w:pPr>
        <w:ind w:left="4320"/>
        <w:rPr>
          <w:b/>
        </w:rPr>
      </w:pPr>
      <w:r w:rsidRPr="002445FE">
        <w:rPr>
          <w:b/>
        </w:rPr>
        <w:t>STATE OF COLORADO, acting by and through</w:t>
      </w:r>
    </w:p>
    <w:p w:rsidR="006123A1" w:rsidRDefault="006123A1" w:rsidP="002445FE">
      <w:pPr>
        <w:ind w:left="4320"/>
      </w:pPr>
      <w:r w:rsidRPr="002445FE">
        <w:rPr>
          <w:b/>
        </w:rPr>
        <w:t>the Department of the Treasury</w:t>
      </w:r>
    </w:p>
    <w:p w:rsidR="002445FE" w:rsidRDefault="002445FE" w:rsidP="002445FE">
      <w:pPr>
        <w:ind w:left="4320"/>
      </w:pPr>
    </w:p>
    <w:p w:rsidR="002445FE" w:rsidRDefault="002445FE" w:rsidP="002445FE">
      <w:pPr>
        <w:ind w:left="4320"/>
      </w:pPr>
    </w:p>
    <w:p w:rsidR="006123A1" w:rsidRPr="002445FE" w:rsidRDefault="006123A1" w:rsidP="002445FE">
      <w:pPr>
        <w:tabs>
          <w:tab w:val="right" w:pos="9360"/>
        </w:tabs>
        <w:ind w:left="4320"/>
        <w:rPr>
          <w:u w:val="single"/>
        </w:rPr>
      </w:pPr>
      <w:r>
        <w:t>By:</w:t>
      </w:r>
      <w:r w:rsidR="002445FE">
        <w:rPr>
          <w:u w:val="single"/>
        </w:rPr>
        <w:tab/>
      </w:r>
    </w:p>
    <w:p w:rsidR="006123A1" w:rsidRDefault="006123A1" w:rsidP="002445FE">
      <w:pPr>
        <w:ind w:left="4635"/>
      </w:pPr>
      <w:r>
        <w:t xml:space="preserve">Treasurer of the State of Colorado </w:t>
      </w:r>
    </w:p>
    <w:p w:rsidR="002445FE" w:rsidRDefault="002445FE" w:rsidP="006123A1">
      <w:pPr>
        <w:sectPr w:rsidR="002445FE" w:rsidSect="009F07A3">
          <w:footerReference w:type="default" r:id="rId28"/>
          <w:footerReference w:type="first" r:id="rId29"/>
          <w:footnotePr>
            <w:numRestart w:val="eachPage"/>
          </w:footnotePr>
          <w:pgSz w:w="12240" w:h="15840"/>
          <w:pgMar w:top="1440" w:right="1440" w:bottom="1440" w:left="1440" w:header="720" w:footer="720" w:gutter="0"/>
          <w:pgNumType w:start="1"/>
          <w:cols w:space="720"/>
          <w:titlePg/>
          <w:docGrid w:linePitch="360"/>
        </w:sectPr>
      </w:pPr>
    </w:p>
    <w:p w:rsidR="006123A1" w:rsidRPr="002445FE" w:rsidRDefault="006123A1" w:rsidP="002445FE">
      <w:pPr>
        <w:jc w:val="center"/>
        <w:rPr>
          <w:b/>
        </w:rPr>
      </w:pPr>
      <w:r w:rsidRPr="002445FE">
        <w:rPr>
          <w:b/>
        </w:rPr>
        <w:t>APPENDIX D</w:t>
      </w:r>
    </w:p>
    <w:p w:rsidR="002445FE" w:rsidRPr="002445FE" w:rsidRDefault="002445FE" w:rsidP="002445FE">
      <w:pPr>
        <w:jc w:val="center"/>
        <w:rPr>
          <w:b/>
        </w:rPr>
      </w:pPr>
    </w:p>
    <w:p w:rsidR="006123A1" w:rsidRDefault="006123A1" w:rsidP="002445FE">
      <w:pPr>
        <w:jc w:val="center"/>
        <w:rPr>
          <w:b/>
        </w:rPr>
      </w:pPr>
      <w:r w:rsidRPr="002445FE">
        <w:rPr>
          <w:b/>
        </w:rPr>
        <w:t>FORM OF BOND COUNSEL OPINION</w:t>
      </w:r>
    </w:p>
    <w:p w:rsidR="002860C9" w:rsidRDefault="002860C9" w:rsidP="002445FE">
      <w:pPr>
        <w:jc w:val="center"/>
        <w:rPr>
          <w:b/>
        </w:rPr>
      </w:pPr>
    </w:p>
    <w:p w:rsidR="00486B8A" w:rsidRPr="00486B8A" w:rsidRDefault="00E45C7B" w:rsidP="00486B8A">
      <w:pPr>
        <w:jc w:val="center"/>
      </w:pPr>
      <w:r>
        <w:t>December 9</w:t>
      </w:r>
      <w:r w:rsidR="00486B8A" w:rsidRPr="00486B8A">
        <w:t>, 2020</w:t>
      </w:r>
    </w:p>
    <w:p w:rsidR="00486B8A" w:rsidRPr="00486B8A" w:rsidRDefault="00486B8A" w:rsidP="00486B8A">
      <w:pPr>
        <w:jc w:val="center"/>
      </w:pPr>
    </w:p>
    <w:p w:rsidR="00486B8A" w:rsidRPr="00486B8A" w:rsidRDefault="00486B8A" w:rsidP="00486B8A">
      <w:pPr>
        <w:jc w:val="left"/>
      </w:pPr>
      <w:r w:rsidRPr="00486B8A">
        <w:t>State of Colorado,</w:t>
      </w:r>
    </w:p>
    <w:p w:rsidR="00486B8A" w:rsidRPr="00486B8A" w:rsidRDefault="00486B8A" w:rsidP="00486B8A">
      <w:pPr>
        <w:jc w:val="left"/>
      </w:pPr>
      <w:r w:rsidRPr="00486B8A">
        <w:t xml:space="preserve">  acting by and through the State Treasurer</w:t>
      </w:r>
    </w:p>
    <w:p w:rsidR="00486B8A" w:rsidRPr="00486B8A" w:rsidRDefault="00486B8A" w:rsidP="00486B8A">
      <w:pPr>
        <w:jc w:val="left"/>
      </w:pPr>
      <w:r w:rsidRPr="00486B8A">
        <w:t>Zions Bancorporation, National Association,</w:t>
      </w:r>
    </w:p>
    <w:p w:rsidR="00486B8A" w:rsidRPr="00486B8A" w:rsidRDefault="00486B8A" w:rsidP="00486B8A">
      <w:pPr>
        <w:jc w:val="left"/>
      </w:pPr>
      <w:r w:rsidRPr="00486B8A">
        <w:t xml:space="preserve">   as Trustee</w:t>
      </w:r>
    </w:p>
    <w:p w:rsidR="00486B8A" w:rsidRPr="00486B8A" w:rsidRDefault="00486B8A" w:rsidP="00486B8A">
      <w:pPr>
        <w:jc w:val="left"/>
      </w:pPr>
      <w:r w:rsidRPr="00486B8A">
        <w:t>RBC Capital Markets, LLC</w:t>
      </w:r>
    </w:p>
    <w:p w:rsidR="00486B8A" w:rsidRPr="00486B8A" w:rsidRDefault="00486B8A" w:rsidP="00486B8A">
      <w:pPr>
        <w:jc w:val="left"/>
      </w:pPr>
      <w:r w:rsidRPr="00486B8A">
        <w:t>KeyBanc Capital Markets</w:t>
      </w:r>
    </w:p>
    <w:p w:rsidR="002860C9" w:rsidRPr="00486B8A" w:rsidRDefault="00486B8A" w:rsidP="00486B8A">
      <w:pPr>
        <w:jc w:val="left"/>
      </w:pPr>
      <w:r w:rsidRPr="00486B8A">
        <w:t>Citigroup Global Markets Inc.</w:t>
      </w:r>
    </w:p>
    <w:p w:rsidR="00486B8A" w:rsidRDefault="00486B8A" w:rsidP="002445FE">
      <w:pPr>
        <w:jc w:val="center"/>
        <w:rPr>
          <w:b/>
        </w:rPr>
      </w:pPr>
    </w:p>
    <w:p w:rsidR="00486B8A" w:rsidRPr="00486B8A" w:rsidRDefault="00E45C7B" w:rsidP="00486B8A">
      <w:pPr>
        <w:jc w:val="center"/>
        <w:rPr>
          <w:b/>
        </w:rPr>
      </w:pPr>
      <w:r>
        <w:rPr>
          <w:b/>
        </w:rPr>
        <w:t>$98,030,000</w:t>
      </w:r>
    </w:p>
    <w:p w:rsidR="00486B8A" w:rsidRPr="00486B8A" w:rsidRDefault="00486B8A" w:rsidP="00486B8A">
      <w:pPr>
        <w:jc w:val="center"/>
        <w:rPr>
          <w:b/>
        </w:rPr>
      </w:pPr>
      <w:r w:rsidRPr="00486B8A">
        <w:rPr>
          <w:b/>
        </w:rPr>
        <w:t>State of Colorado</w:t>
      </w:r>
    </w:p>
    <w:p w:rsidR="00486B8A" w:rsidRPr="00486B8A" w:rsidRDefault="00486B8A" w:rsidP="00486B8A">
      <w:pPr>
        <w:jc w:val="center"/>
        <w:rPr>
          <w:b/>
        </w:rPr>
      </w:pPr>
      <w:r w:rsidRPr="00486B8A">
        <w:rPr>
          <w:b/>
        </w:rPr>
        <w:t>Building Excellent Schools Today Certificates of Participation</w:t>
      </w:r>
    </w:p>
    <w:p w:rsidR="00486B8A" w:rsidRDefault="00486B8A" w:rsidP="00486B8A">
      <w:pPr>
        <w:jc w:val="center"/>
        <w:rPr>
          <w:b/>
        </w:rPr>
      </w:pPr>
      <w:r w:rsidRPr="00486B8A">
        <w:rPr>
          <w:b/>
        </w:rPr>
        <w:t>Tax-Exempt Series 2020R</w:t>
      </w:r>
    </w:p>
    <w:p w:rsidR="00486B8A" w:rsidRDefault="00486B8A" w:rsidP="00486B8A">
      <w:pPr>
        <w:jc w:val="center"/>
        <w:rPr>
          <w:b/>
        </w:rPr>
      </w:pPr>
    </w:p>
    <w:p w:rsidR="00486B8A" w:rsidRPr="00486B8A" w:rsidRDefault="00486B8A" w:rsidP="00486B8A">
      <w:pPr>
        <w:jc w:val="left"/>
      </w:pPr>
      <w:r w:rsidRPr="00486B8A">
        <w:t>Ladies and Gentlemen:</w:t>
      </w:r>
    </w:p>
    <w:p w:rsidR="00486B8A" w:rsidRPr="00486B8A" w:rsidRDefault="00486B8A" w:rsidP="00486B8A">
      <w:pPr>
        <w:jc w:val="left"/>
      </w:pPr>
    </w:p>
    <w:p w:rsidR="00486B8A" w:rsidRPr="00486B8A" w:rsidRDefault="00486B8A" w:rsidP="00486B8A">
      <w:pPr>
        <w:spacing w:after="240"/>
        <w:ind w:firstLine="1440"/>
      </w:pPr>
      <w:r w:rsidRPr="00486B8A">
        <w:t>We have been engaged by the State of Colorado, acting by and through the State Treasurer (the “State”), to act as bond counsel in connection with the execution and delivery of the Building Excellent Schools Today Certificates of Participation Tax-Exempt Series 2020R (the “Series 2020R Certificates”).  The Series 2020R Certificates are being executed and delivered pursuant to the Building Excellent Schools Today Act, part 1, article 43.7, title 22, Colorado Revised Statutes, as amended; and the State of Colorado Building Excellent Schools Today Master Trust Indenture dated as of August 12, 2009, as supplemented by the State of Colorado Building Excellent Schools Today Series 2009A Supplemental Indenture dated as of August 12, 2009, the State of Colorado Building Excellent Schools Today Series 2010B-C Supplemental Indenture dated as of March 16, 2010, the State of Colorado Building Excellent Schools Today Series 2010D-F Supplemental Trust Indenture dated as of December 16, 2010, the State of Colorado Building Excellent Schools Today Series 2011G Supplemental Trust Indenture dated as of December 8, 2011, the State of Colorado Building Excellent Schools Today October 2012 Supplemental Trust Indenture dated as of October 31, 2012, the State of Colorado Building Excellent Schools Today Series 2012H Supplemental Trust Indenture dated as of December 6, 2012, the State of Colorado Building Excellent Schools Today Series 2013I Supplemental Trust Indenture dated as of December 9, 2013, the State of Colorado Building Excellent Schools Today 2015 Supplemental Trust Indenture dated as of February 12, 2015, the State of Colorado Building Excellent Schools Today Series 2017J Supplemental Trust Indenture dated as of December 7, 2017, the State of Colorado Building Excellent Schools Today Series 2017K Supplemental Trust Indenture dated as of December 7, 2017, the State of Colorado Building Excellent Schools Today Series 2018L Supplemental Trust Indenture dated as of September 18, 2018, the State of Colorado Building Excellent Schools Today Series 2018M Supplemental Trust Indenture dated as of September 18, 2018, the State of Colorado Building Excellent Schools Today Series 2018N Supplemental Trust Indenture dated as of December 6, 2018, the State of Colorado Building Excellent Schools Today Series 2019O Supplemental Trust Indenture dated as of December 5, 2019, the State of Colorado Building Excellent Schools Today Series 2019P Supplemental Trust Indenture dated as of December 27, 2019, the State of Colorado Building Excellent Schools Today Series 2019Q Supplemental Trust Indenture dated as of December 27, 2019 and the State of Colorado Building Excellent Schools Today Series 2020R Supplemental Trust Indenture dated as of December __, 2020 (collectively, the “Indenture”) by Zions Bancorporation, National Association, as trustee thereunder (the “Trustee”).  The Series 2020R Certificates evidence undivided interests in the right to certain payments by the State under the State of Colorado Building Excellent Schools Today Series 2020R Lease Purchase Agreement dated as of December __, 2020 (the “2020R Lease”), the State of Colorado Building Excellent Schools Today Series 2019Q Amended and Restated Lease Purchase Agreement dated as of December 27, 2019 (the “2019Q Lease”), the State of Colorado Building Excellent Schools Today Series 2019P Amended and Restated Lease Purchase Agreement dated as of December 27, 2019 (the “2019P Lease”), the State of Colorado Building Excellent Schools Today Series 2019O Lease Purchase Agreement dated as of December 5, 2019 (the “2019O Lease”), the State of Colorado Building Excellent Schools Today Series 2018N Lease Purchase Agreement dated as of December 6, 2018 (the “2018N Lease”), the State of Colorado Building Excellent Schools Today Series 2018L Amended and Restated Lease Purchase Agreement dated as of September 18, 2018 (the “2018L Lease”), the State of Colorado Building Excellent Schools Today Series 2018M Amended and Restated Lease Purchase Agreement dated as of September 18, 2018 (the “2018M Lease”), the State of Colorado Building Excellent Schools Today Series 2017J Lease Purchase Agreement dated as of December 7, 2017 (the “2017J Lease”), the State of Colorado Building Excellent Schools Today Series 2017K Amended and Restated Lease Purchase Agreement dated as of December 7, 2017 (the “2017K Lease”), the State of Colorado Building Excellent Schools Today 2015 Lease Purchase Agreement dated as of February 12, 2015 (the “2015 Lease”) and the State of Colorado Building Excellent Schools Today Series 2009A Lease Purchase Agreement dated as of September 12, 2009 (the “2009A Lease”; and, together with the 2020R Lease, 2019Q Lease, 2019P Lease, 2019O Lease, the 2018N Lease, the 2018M Lease, the 2018L Lease, the 2017K Lease, the 2017J Lease and the 2015 Lease, the “Leases”) by and between the Trustee, as lessor, and the State, as lessee.  Capitalized terms used but not defined herein have the meanings assigned to them in the Indenture.</w:t>
      </w:r>
    </w:p>
    <w:p w:rsidR="00486B8A" w:rsidRPr="00486B8A" w:rsidRDefault="00486B8A" w:rsidP="00486B8A">
      <w:pPr>
        <w:spacing w:after="240"/>
        <w:ind w:firstLine="1440"/>
      </w:pPr>
      <w:r w:rsidRPr="00486B8A">
        <w:t>We have examined the documents listed in the preceding paragraph, the 2020R Site Leases pursuant to which the 2020R Leased Property has been leased to the Trustee by the 2020R Site Lessors, the 2020R Subleases pursuant to which the 2020R Leased Property has been subleased to the 2020R Sublessees by the State and the Tax Compliance Certificates executed and delivered by the State and the 2020R Sublessees in connection with the execution and delivery of the Series 2020R Certificates; the Constitution and the laws of the State; the Internal Revenue Code of 1986, as amended (the “Code”), and the regulations, rulings and judicial decisions relevant to the opinions set forth herein; and the proceedings, certificates, documents, opinions and other papers delivered in connection with the execution and delivery of the Series 2020R Certificates.  As to questions of fact material to our opinion, we have relied upon the representations and certifications set forth in the items examined, without undertaking to verify the same by independent investigation.  We have assumed the due authorization, execution and delivery by the Trustee and the enforceability against the Trustee of the Leases, the Indenture and the Series 2020R Certificates, the due authorization, execution and delivery by each Site Lessor and the enforceability against each Site Lessor of its Site Lease, the due authorization, execution and delivery by each Sublessee and the enforceability against each Sublessee of its Sublease, and the due authorization, execution and delivery by each Sublessee its respective Tax Compliance Certificate; have relied upon, and assumed the correctness of the legal conclusions stated in, the opinion delivered by the Attorney General of the State in connection with the execution and delivery of the Series 2020R Certificates with respect to the authorization, execution and delivery of the Leases, the 2020R Subleases and the State’s Tax Compliance Certificate by the State, the enforceability of the 2020R Subleases and the State’s Tax Compliance Certificate against the State (but not the enforceability of the 2020R Lease) and other matters; and have assumed that the State, the Trustee, the Site Lessors, the Sublessees and other parties will comply with, and perform their obligations in accordance with, the Leases, the Indenture, the Site Leases, the Subleases and the Tax Compliance Certificates of the State and the Sublessees.</w:t>
      </w:r>
    </w:p>
    <w:p w:rsidR="00486B8A" w:rsidRDefault="00486B8A">
      <w:pPr>
        <w:spacing w:after="160" w:line="259" w:lineRule="auto"/>
        <w:jc w:val="left"/>
      </w:pPr>
      <w:r>
        <w:br w:type="page"/>
      </w:r>
    </w:p>
    <w:p w:rsidR="00486B8A" w:rsidRPr="00486B8A" w:rsidRDefault="00486B8A" w:rsidP="00486B8A">
      <w:pPr>
        <w:spacing w:after="240"/>
        <w:ind w:firstLine="1440"/>
      </w:pPr>
      <w:r w:rsidRPr="00486B8A">
        <w:t>Based upon the foregoing, we are of the opinion, as of the date hereof and under existing law, that:</w:t>
      </w:r>
    </w:p>
    <w:p w:rsidR="00486B8A" w:rsidRPr="00486B8A" w:rsidRDefault="00486B8A" w:rsidP="00486B8A">
      <w:pPr>
        <w:spacing w:after="240"/>
        <w:ind w:firstLine="1440"/>
      </w:pPr>
      <w:r w:rsidRPr="00486B8A">
        <w:t>1.</w:t>
      </w:r>
      <w:r w:rsidRPr="00486B8A">
        <w:tab/>
        <w:t>The State has the power to enter into and perform its obligations under the 2020R Lease.</w:t>
      </w:r>
    </w:p>
    <w:p w:rsidR="00486B8A" w:rsidRPr="00486B8A" w:rsidRDefault="00486B8A" w:rsidP="00486B8A">
      <w:pPr>
        <w:spacing w:after="240"/>
        <w:ind w:firstLine="1440"/>
      </w:pPr>
      <w:r w:rsidRPr="00486B8A">
        <w:t>2.</w:t>
      </w:r>
      <w:r w:rsidRPr="00486B8A">
        <w:tab/>
        <w:t>The 2020R Lease has been duly authorized, executed and delivered by the State and is the legal, valid and binding obligation of the State enforceable against the State in accordance with its terms.</w:t>
      </w:r>
    </w:p>
    <w:p w:rsidR="00486B8A" w:rsidRPr="00486B8A" w:rsidRDefault="00486B8A" w:rsidP="00486B8A">
      <w:pPr>
        <w:spacing w:after="240"/>
        <w:ind w:firstLine="1440"/>
      </w:pPr>
      <w:r w:rsidRPr="00486B8A">
        <w:t>3.</w:t>
      </w:r>
      <w:r w:rsidRPr="00486B8A">
        <w:tab/>
        <w:t>The Series 2020R Certificates evidence legal, valid and binding undivided interests in the right to certain payments, as provided in the Series 2020R Certificates and the Indenture, from Base Rent payable by the State under the Leases as provided in the Leases.</w:t>
      </w:r>
    </w:p>
    <w:p w:rsidR="00486B8A" w:rsidRPr="00486B8A" w:rsidRDefault="00486B8A" w:rsidP="00486B8A">
      <w:pPr>
        <w:spacing w:after="240"/>
        <w:ind w:firstLine="1440"/>
      </w:pPr>
      <w:r w:rsidRPr="00486B8A">
        <w:t>4.</w:t>
      </w:r>
      <w:r w:rsidRPr="00486B8A">
        <w:tab/>
        <w:t>Under existing laws, regulations, rulings and judicial decisions, the portion of the Base Rent paid by the State which is designated and paid as interest on the Series 2020R Certificates is excludable from gross income for federal income tax purposes and is not a specific preference item for purposes of the federal alternative minimum tax.  The opinions set forth in the preceding sentence assume compliance by the State and the Sublessees with certain covenants relating to requirements of the Code that must be met subsequent to the delivery of the Series 2020R Certificates.  Failure to comply with such requirements could cause such interest to be included in gross income for federal income tax purposes, retroactive to the date of delivery of the Series 2020R Certificates.  We express no opinion regarding (a) the effect of any termination of the State’s obligations under the Leases, under certain circumstances as provided in the Leases, upon the treatment for federal income tax purposes of any moneys received by the Owners of the Series 2020R Certificates; or (b) any other federal tax consequences related to the ownership or disposition of the Series 2020R Certificates.</w:t>
      </w:r>
    </w:p>
    <w:p w:rsidR="00486B8A" w:rsidRPr="00486B8A" w:rsidRDefault="00486B8A" w:rsidP="00486B8A">
      <w:pPr>
        <w:spacing w:after="240"/>
        <w:ind w:firstLine="1440"/>
      </w:pPr>
      <w:r w:rsidRPr="00486B8A">
        <w:t>5.</w:t>
      </w:r>
      <w:r w:rsidRPr="00486B8A">
        <w:tab/>
        <w:t>Under existing State of Colorado statutes, the interest received by the Owners of the Series 2020R Certificates with respect to their undivided interests in the Base Rent that is designated and paid as interest under the Leases is exempt from State of Colorado income tax.  We express no opinion regarding (i) the effect of any termination of the State’s obligations under the Leases on interest received or income of the Owners of the Series 2020R Certificates subsequent to such termination; or (ii) any other tax consequences related to the ownership or disposition of Series 2020R Certificates under the laws of the State of Colorado or any other state or jurisdiction.</w:t>
      </w:r>
    </w:p>
    <w:p w:rsidR="00486B8A" w:rsidRPr="00486B8A" w:rsidRDefault="00486B8A" w:rsidP="00486B8A">
      <w:pPr>
        <w:spacing w:after="240"/>
        <w:ind w:firstLine="1440"/>
      </w:pPr>
      <w:r w:rsidRPr="00486B8A">
        <w:t>The rights of the Owners of the Series 2020R Certificates and the enforceability of the Series 2020R Certificates and of the 2020R Lease may be limited by bankruptcy, insolvency, reorganization, moratorium and other similar laws affecting creditors’ rights generally, by equitable principles, whether considered at law or in equity, by the exercise of judicial discretion, by the exercise by the State and its governmental bodies of the police power inherent in the sovereignty of the State and by the exercise by the United States of America of the powers delegated to it by the Constitution of the United States of America.</w:t>
      </w:r>
    </w:p>
    <w:p w:rsidR="00486B8A" w:rsidRPr="00486B8A" w:rsidRDefault="00486B8A" w:rsidP="00486B8A">
      <w:pPr>
        <w:spacing w:after="240"/>
        <w:ind w:firstLine="1440"/>
      </w:pPr>
      <w:r w:rsidRPr="00486B8A">
        <w:t>This opinion is limited to the matters specifically set forth herein and we offer no other opinion or advice as to any other aspect of the transaction generally described herein.  In particular, but without limitation, we offer no opinion or advice as to the enforceability of the Site Leases, the Leases, the Indenture or the Series 2020R Certificates against the Trustee; the enforceability of the Site Leases against the Site Lessors; the enforceability of the Subleases against the State or the Sublessees, the creditworthiness or financial condition of the State, the Trustee or any other person; the accuracy or completeness of the statements made in connection with the offer and sale of the Series 2020R Certificates; or the ability of the State to use moneys from any particular source for the purpose of making payments under the Leases.</w:t>
      </w:r>
    </w:p>
    <w:p w:rsidR="00486B8A" w:rsidRPr="00486B8A" w:rsidRDefault="00486B8A" w:rsidP="00486B8A">
      <w:pPr>
        <w:spacing w:after="240"/>
        <w:ind w:firstLine="1440"/>
      </w:pPr>
      <w:r w:rsidRPr="00486B8A">
        <w:t>This opinion is solely for the benefit of the addressees in connection with the original delivery of the Series 2020R Certificates and may not be relied upon by any other person or for any other purpose without our express written consent.</w:t>
      </w:r>
    </w:p>
    <w:p w:rsidR="00486B8A" w:rsidRPr="00486B8A" w:rsidRDefault="00486B8A" w:rsidP="00486B8A">
      <w:pPr>
        <w:spacing w:after="240"/>
        <w:ind w:firstLine="1440"/>
      </w:pPr>
      <w:r w:rsidRPr="00486B8A">
        <w:t>This opinion is based solely on the Constitution and laws of the State, the provisions of the Code and the regulations, rulings and judicial decisions relevant to the opinions set forth herein, the other items described in the second paragraph hereof and the assumptions set forth herein.  The opinions set forth herein may be affected by changes in the items described in the second paragraph hereof and actions taken or omitted or events occurring after the date hereof.  This opinion speaks only as of its date and our engagement with respect to the Series 2020R Certificates has concluded with the delivery of this opinion.  We have no obligation to update this opinion or to inform any person about any changes in the items described in the second paragraph hereof, any actions taken or omitted or events occurring after the date hereof or any other matters that may come to our attention after the date hereof.</w:t>
      </w:r>
    </w:p>
    <w:p w:rsidR="00486B8A" w:rsidRDefault="00486B8A" w:rsidP="00486B8A">
      <w:pPr>
        <w:spacing w:after="240"/>
        <w:ind w:firstLine="1440"/>
      </w:pPr>
      <w:r w:rsidRPr="00486B8A">
        <w:t>This opinion is being delivered to addressees other than the State by us in our capacity as bond counsel to the State.  The delivery of this opinion to any addressee other than the State does not create, and we expressly disclaim, any attorney-client relationship between us and such addressee.</w:t>
      </w:r>
    </w:p>
    <w:p w:rsidR="00486B8A" w:rsidRPr="00486B8A" w:rsidRDefault="00486B8A" w:rsidP="00486B8A">
      <w:pPr>
        <w:ind w:left="4320"/>
        <w:jc w:val="left"/>
      </w:pPr>
      <w:r w:rsidRPr="00486B8A">
        <w:t>Respectfully submitted,</w:t>
      </w:r>
    </w:p>
    <w:p w:rsidR="002860C9" w:rsidRDefault="002860C9" w:rsidP="002445FE">
      <w:pPr>
        <w:jc w:val="center"/>
        <w:rPr>
          <w:b/>
        </w:rPr>
      </w:pPr>
    </w:p>
    <w:p w:rsidR="00CC52EE" w:rsidRDefault="00CC52EE" w:rsidP="002445FE">
      <w:pPr>
        <w:jc w:val="center"/>
        <w:rPr>
          <w:b/>
        </w:rPr>
        <w:sectPr w:rsidR="00CC52EE" w:rsidSect="009F07A3">
          <w:footerReference w:type="default" r:id="rId30"/>
          <w:footerReference w:type="first" r:id="rId31"/>
          <w:footnotePr>
            <w:numRestart w:val="eachPage"/>
          </w:footnotePr>
          <w:pgSz w:w="12240" w:h="15840"/>
          <w:pgMar w:top="1440" w:right="1440" w:bottom="1440" w:left="1440" w:header="720" w:footer="720" w:gutter="0"/>
          <w:pgNumType w:start="1"/>
          <w:cols w:space="720"/>
          <w:titlePg/>
          <w:docGrid w:linePitch="360"/>
        </w:sectPr>
      </w:pPr>
    </w:p>
    <w:p w:rsidR="006123A1" w:rsidRPr="002445FE" w:rsidRDefault="006123A1" w:rsidP="002445FE">
      <w:pPr>
        <w:jc w:val="center"/>
        <w:rPr>
          <w:b/>
        </w:rPr>
      </w:pPr>
      <w:r w:rsidRPr="002445FE">
        <w:rPr>
          <w:b/>
        </w:rPr>
        <w:t>APPENDIX E</w:t>
      </w:r>
    </w:p>
    <w:p w:rsidR="002445FE" w:rsidRPr="002445FE" w:rsidRDefault="002445FE" w:rsidP="002445FE">
      <w:pPr>
        <w:jc w:val="center"/>
        <w:rPr>
          <w:b/>
        </w:rPr>
      </w:pPr>
    </w:p>
    <w:p w:rsidR="006123A1" w:rsidRPr="002445FE" w:rsidRDefault="006123A1" w:rsidP="002445FE">
      <w:pPr>
        <w:jc w:val="center"/>
        <w:rPr>
          <w:b/>
        </w:rPr>
      </w:pPr>
      <w:r w:rsidRPr="002445FE">
        <w:rPr>
          <w:b/>
        </w:rPr>
        <w:t>THE STATE GENERAL FUND</w:t>
      </w:r>
    </w:p>
    <w:p w:rsidR="002445FE" w:rsidRDefault="002445FE" w:rsidP="006123A1"/>
    <w:p w:rsidR="00DD4B54" w:rsidRPr="00BC4714" w:rsidRDefault="00DD4B54" w:rsidP="00DD4B54">
      <w:pPr>
        <w:pStyle w:val="BodyText"/>
        <w:rPr>
          <w:b/>
        </w:rPr>
      </w:pPr>
      <w:r w:rsidRPr="00BC4714">
        <w:rPr>
          <w:b/>
        </w:rPr>
        <w:t>General</w:t>
      </w:r>
    </w:p>
    <w:p w:rsidR="00DD4B54" w:rsidRPr="0000186C" w:rsidRDefault="00DD4B54" w:rsidP="00DD4B54">
      <w:pPr>
        <w:pStyle w:val="BodyText1"/>
      </w:pPr>
      <w:r w:rsidRPr="0000186C">
        <w:t xml:space="preserve">The General Fund is the principal operating fund of the State.  All revenues and moneys not required by the State Constitution or statutes to be credited and paid into a special </w:t>
      </w:r>
      <w:r>
        <w:t>State fund</w:t>
      </w:r>
      <w:r w:rsidRPr="0000186C">
        <w:t xml:space="preserve"> are required to be credited and paid into the General Fund.  </w:t>
      </w:r>
      <w:r w:rsidRPr="0000186C">
        <w:rPr>
          <w:szCs w:val="22"/>
        </w:rPr>
        <w:t>As required by changes in GAAP, the General Fund reported in the State</w:t>
      </w:r>
      <w:r w:rsidR="00A06786">
        <w:rPr>
          <w:szCs w:val="22"/>
        </w:rPr>
        <w:t>’</w:t>
      </w:r>
      <w:r w:rsidRPr="0000186C">
        <w:rPr>
          <w:szCs w:val="22"/>
        </w:rPr>
        <w:t>s Fiscal Year 2010</w:t>
      </w:r>
      <w:r w:rsidRPr="0000186C">
        <w:rPr>
          <w:szCs w:val="22"/>
        </w:rPr>
        <w:noBreakHyphen/>
        <w:t xml:space="preserve">11 CAFR and subsequent CAFRs includes a large number of statutorily created special </w:t>
      </w:r>
      <w:r>
        <w:rPr>
          <w:szCs w:val="22"/>
        </w:rPr>
        <w:t>State fund</w:t>
      </w:r>
      <w:r w:rsidRPr="0000186C">
        <w:rPr>
          <w:szCs w:val="22"/>
        </w:rPr>
        <w:t xml:space="preserve">s that do not meet the GAAP requirements to be presented as Special Revenue Funds.  To make the distinction between the statutory General Fund and the GAAP General Fund, the CAFR refers to the statutory General Fund as the General Purpose Revenue Fund.  The revenues in the General Purpose Revenue Fund are not collected for a specific statutory use but rather are available for appropriation for any purpose by the General Assembly.  The following discussion of the General Fund represents the legal and accounting entity referred to in the </w:t>
      </w:r>
      <w:r w:rsidRPr="0000186C">
        <w:t>State</w:t>
      </w:r>
      <w:r w:rsidR="00A06786">
        <w:t>’</w:t>
      </w:r>
      <w:r w:rsidRPr="0000186C">
        <w:t xml:space="preserve">s </w:t>
      </w:r>
      <w:r w:rsidR="00A50650">
        <w:t>Fiscal Year 2018-19</w:t>
      </w:r>
      <w:r>
        <w:t xml:space="preserve"> CAFR</w:t>
      </w:r>
      <w:r>
        <w:rPr>
          <w:szCs w:val="22"/>
        </w:rPr>
        <w:t xml:space="preserve"> </w:t>
      </w:r>
      <w:r w:rsidR="00A50650">
        <w:rPr>
          <w:szCs w:val="22"/>
        </w:rPr>
        <w:t>and Fiscal Year 2019-20</w:t>
      </w:r>
      <w:r w:rsidR="0057116F">
        <w:rPr>
          <w:szCs w:val="22"/>
        </w:rPr>
        <w:t xml:space="preserve"> BFS </w:t>
      </w:r>
      <w:r w:rsidRPr="0000186C">
        <w:rPr>
          <w:szCs w:val="22"/>
        </w:rPr>
        <w:t>as the General Purpose Revenue Fund.</w:t>
      </w:r>
    </w:p>
    <w:p w:rsidR="00DD4B54" w:rsidRPr="00984313" w:rsidRDefault="00DD4B54" w:rsidP="00DD4B54">
      <w:pPr>
        <w:pStyle w:val="OSappendixsubheading0"/>
      </w:pPr>
      <w:r w:rsidRPr="00984313">
        <w:t xml:space="preserve">General Fund Revenue Sources </w:t>
      </w:r>
    </w:p>
    <w:p w:rsidR="00A50650" w:rsidRPr="00C003FA" w:rsidRDefault="00DD4B54" w:rsidP="001A242B">
      <w:pPr>
        <w:spacing w:after="240"/>
        <w:ind w:firstLine="720"/>
        <w:rPr>
          <w:rFonts w:eastAsia="Times New Roman" w:cs="Times New Roman"/>
          <w:szCs w:val="20"/>
        </w:rPr>
      </w:pPr>
      <w:r w:rsidRPr="00984313">
        <w:rPr>
          <w:bCs/>
        </w:rPr>
        <w:t>The major revenue sources to the General Fund are individual and corporate income taxes and sales and use taxes.  The State also imposes excise taxes on the sale of cigarettes, tobacco products</w:t>
      </w:r>
      <w:r>
        <w:rPr>
          <w:bCs/>
        </w:rPr>
        <w:t xml:space="preserve"> and</w:t>
      </w:r>
      <w:r w:rsidRPr="00984313">
        <w:rPr>
          <w:bCs/>
        </w:rPr>
        <w:t xml:space="preserve"> liquor,</w:t>
      </w:r>
      <w:r w:rsidRPr="00984313">
        <w:rPr>
          <w:sz w:val="23"/>
          <w:szCs w:val="23"/>
        </w:rPr>
        <w:t xml:space="preserve"> </w:t>
      </w:r>
      <w:r w:rsidRPr="00984313">
        <w:rPr>
          <w:bCs/>
        </w:rPr>
        <w:t>and receives revenues from a diverse group of other sources such as insurance taxes, pari-mutuel taxes, interest income, court receipts and gaming taxes.  The following table sets forth the State</w:t>
      </w:r>
      <w:r w:rsidR="00A06786">
        <w:rPr>
          <w:bCs/>
        </w:rPr>
        <w:t>’</w:t>
      </w:r>
      <w:r w:rsidRPr="00984313">
        <w:rPr>
          <w:bCs/>
        </w:rPr>
        <w:t xml:space="preserve">s receipts from major revenue sources for the past five Fiscal Years, as well as current OSPB estimates for Fiscal </w:t>
      </w:r>
      <w:r w:rsidRPr="00E86572">
        <w:rPr>
          <w:bCs/>
        </w:rPr>
        <w:t xml:space="preserve">Years </w:t>
      </w:r>
      <w:r w:rsidR="00672B2A">
        <w:rPr>
          <w:rFonts w:eastAsia="Times New Roman" w:cs="Times New Roman"/>
          <w:szCs w:val="20"/>
        </w:rPr>
        <w:t>2020-21 and 2021-22</w:t>
      </w:r>
      <w:r w:rsidR="00A50650" w:rsidRPr="00C003FA">
        <w:rPr>
          <w:rFonts w:eastAsia="Times New Roman" w:cs="Times New Roman"/>
          <w:szCs w:val="20"/>
        </w:rPr>
        <w:t>.  See also “Revenue Estimation; OSPB Revenue and Economic Forecasts” i</w:t>
      </w:r>
      <w:r w:rsidR="001A242B">
        <w:rPr>
          <w:rFonts w:eastAsia="Times New Roman" w:cs="Times New Roman"/>
          <w:szCs w:val="20"/>
        </w:rPr>
        <w:t xml:space="preserve">n this Appendix and “APPENDIX F – </w:t>
      </w:r>
      <w:r w:rsidR="00A50650" w:rsidRPr="00C003FA">
        <w:rPr>
          <w:rFonts w:eastAsia="Times New Roman" w:cs="Times New Roman"/>
          <w:szCs w:val="20"/>
        </w:rPr>
        <w:t>OSPB SEPTEMBER 2020 REVENUE FORECAST,” as well as “USE OF INFORMA</w:t>
      </w:r>
      <w:r w:rsidR="00F07F3C">
        <w:rPr>
          <w:rFonts w:eastAsia="Times New Roman" w:cs="Times New Roman"/>
          <w:szCs w:val="20"/>
        </w:rPr>
        <w:t xml:space="preserve">TION IN THIS OFFICIAL STATEMENT – </w:t>
      </w:r>
      <w:r w:rsidR="00A50650" w:rsidRPr="00C003FA">
        <w:rPr>
          <w:rFonts w:eastAsia="Times New Roman" w:cs="Times New Roman"/>
          <w:szCs w:val="20"/>
        </w:rPr>
        <w:t>CAUTIONARY STATEMENT REGARDING PROJECTIONS, ESTIMATES AND OTHER FORWARD-LOOKING STATEMENTS IN THIS OFFICIAL STATEMENT” at the beginning of this Official Statement.  Unless otherwise noted, historical financial, economic and demographic data contained herein does not reflect the impact of COVID-19</w:t>
      </w:r>
      <w:r w:rsidR="00A50650">
        <w:rPr>
          <w:rFonts w:eastAsia="Times New Roman" w:cs="Times New Roman"/>
          <w:szCs w:val="20"/>
        </w:rPr>
        <w:t>.</w:t>
      </w:r>
    </w:p>
    <w:p w:rsidR="00DD4B54" w:rsidRDefault="00DD4B54" w:rsidP="00DD4B54">
      <w:pPr>
        <w:pStyle w:val="BodyText1"/>
        <w:rPr>
          <w:bCs/>
        </w:rPr>
      </w:pPr>
    </w:p>
    <w:p w:rsidR="00DD4B54" w:rsidRPr="000F138D" w:rsidRDefault="00DD4B54" w:rsidP="00DD4B54">
      <w:pPr>
        <w:jc w:val="center"/>
        <w:rPr>
          <w:i/>
        </w:rPr>
      </w:pPr>
      <w:r w:rsidRPr="000F138D">
        <w:rPr>
          <w:i/>
        </w:rPr>
        <w:t>[Remainder of page intentionally left blank]</w:t>
      </w:r>
    </w:p>
    <w:p w:rsidR="00DD4B54" w:rsidRDefault="00DD4B54" w:rsidP="00DD4B54">
      <w:pPr>
        <w:spacing w:after="200" w:line="276" w:lineRule="auto"/>
        <w:jc w:val="left"/>
      </w:pPr>
    </w:p>
    <w:p w:rsidR="00BF5AEF" w:rsidRDefault="00BF5AEF" w:rsidP="00DD4B54">
      <w:pPr>
        <w:spacing w:after="200" w:line="276" w:lineRule="auto"/>
        <w:jc w:val="left"/>
        <w:sectPr w:rsidR="00BF5AEF" w:rsidSect="009F07A3">
          <w:footerReference w:type="first" r:id="rId32"/>
          <w:footnotePr>
            <w:numRestart w:val="eachPage"/>
          </w:footnotePr>
          <w:pgSz w:w="12240" w:h="15840"/>
          <w:pgMar w:top="1440" w:right="1440" w:bottom="1440" w:left="1440" w:header="720" w:footer="720" w:gutter="0"/>
          <w:pgNumType w:start="1"/>
          <w:cols w:space="720"/>
          <w:titlePg/>
          <w:docGrid w:linePitch="360"/>
        </w:sectPr>
      </w:pPr>
    </w:p>
    <w:p w:rsidR="00DD4B54" w:rsidRDefault="00DD4B54" w:rsidP="00DD4B54">
      <w:pPr>
        <w:jc w:val="center"/>
      </w:pPr>
      <w:r w:rsidRPr="0000186C">
        <w:rPr>
          <w:b/>
          <w:bCs/>
          <w:sz w:val="20"/>
          <w:lang w:val="en-CA"/>
        </w:rPr>
        <w:fldChar w:fldCharType="begin"/>
      </w:r>
      <w:r w:rsidRPr="0000186C">
        <w:rPr>
          <w:b/>
          <w:bCs/>
          <w:sz w:val="20"/>
          <w:lang w:val="en-CA"/>
        </w:rPr>
        <w:instrText xml:space="preserve"> SEQ CHAPTER \h \r 1</w:instrText>
      </w:r>
      <w:r w:rsidRPr="0000186C">
        <w:rPr>
          <w:b/>
          <w:bCs/>
          <w:sz w:val="20"/>
          <w:lang w:val="en-CA"/>
        </w:rPr>
        <w:fldChar w:fldCharType="end"/>
      </w:r>
      <w:r w:rsidRPr="0000186C">
        <w:rPr>
          <w:b/>
          <w:bCs/>
          <w:sz w:val="20"/>
        </w:rPr>
        <w:t>State of Colorado</w:t>
      </w:r>
      <w:r w:rsidRPr="0000186C">
        <w:rPr>
          <w:b/>
          <w:bCs/>
          <w:sz w:val="20"/>
        </w:rPr>
        <w:br/>
      </w:r>
      <w:r w:rsidRPr="00B86C07">
        <w:rPr>
          <w:b/>
          <w:bCs/>
          <w:sz w:val="20"/>
        </w:rPr>
        <w:t>General Fund Revenue Sources</w:t>
      </w:r>
      <w:r w:rsidRPr="00B86C07">
        <w:rPr>
          <w:b/>
          <w:bCs/>
        </w:rPr>
        <w:br/>
      </w:r>
      <w:r w:rsidRPr="00B86C07">
        <w:rPr>
          <w:bCs/>
          <w:sz w:val="16"/>
          <w:szCs w:val="16"/>
        </w:rPr>
        <w:t>(Accrual basis; dollar amounts expressed in millions)</w:t>
      </w:r>
      <w:r w:rsidRPr="00EB31D6">
        <w:rPr>
          <w:noProof/>
        </w:rPr>
        <w:t xml:space="preserve"> </w:t>
      </w:r>
    </w:p>
    <w:tbl>
      <w:tblPr>
        <w:tblStyle w:val="TableGrid10"/>
        <w:tblW w:w="139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69"/>
        <w:gridCol w:w="900"/>
        <w:gridCol w:w="853"/>
        <w:gridCol w:w="852"/>
        <w:gridCol w:w="840"/>
        <w:gridCol w:w="840"/>
        <w:gridCol w:w="840"/>
        <w:gridCol w:w="840"/>
        <w:gridCol w:w="839"/>
        <w:gridCol w:w="840"/>
        <w:gridCol w:w="843"/>
        <w:gridCol w:w="840"/>
        <w:gridCol w:w="840"/>
        <w:gridCol w:w="840"/>
        <w:gridCol w:w="842"/>
      </w:tblGrid>
      <w:tr w:rsidR="00865293" w:rsidRPr="00C003FA" w:rsidTr="00865293">
        <w:trPr>
          <w:jc w:val="center"/>
        </w:trPr>
        <w:tc>
          <w:tcPr>
            <w:tcW w:w="2070" w:type="dxa"/>
            <w:vAlign w:val="bottom"/>
          </w:tcPr>
          <w:p w:rsidR="00865293" w:rsidRPr="00C003FA" w:rsidRDefault="00865293" w:rsidP="000D32C5">
            <w:pPr>
              <w:jc w:val="left"/>
              <w:rPr>
                <w:sz w:val="15"/>
                <w:szCs w:val="15"/>
              </w:rPr>
            </w:pPr>
          </w:p>
        </w:tc>
        <w:tc>
          <w:tcPr>
            <w:tcW w:w="6803" w:type="dxa"/>
            <w:gridSpan w:val="8"/>
            <w:vAlign w:val="bottom"/>
          </w:tcPr>
          <w:p w:rsidR="00865293" w:rsidRPr="00C003FA" w:rsidRDefault="00865293" w:rsidP="00865293">
            <w:pPr>
              <w:pBdr>
                <w:bottom w:val="single" w:sz="4" w:space="1" w:color="auto"/>
              </w:pBdr>
              <w:jc w:val="center"/>
              <w:rPr>
                <w:sz w:val="15"/>
                <w:szCs w:val="15"/>
              </w:rPr>
            </w:pPr>
            <w:r w:rsidRPr="00C003FA">
              <w:rPr>
                <w:sz w:val="15"/>
                <w:szCs w:val="15"/>
              </w:rPr>
              <w:t>Actual</w:t>
            </w:r>
          </w:p>
        </w:tc>
        <w:tc>
          <w:tcPr>
            <w:tcW w:w="1683" w:type="dxa"/>
            <w:gridSpan w:val="2"/>
            <w:tcBorders>
              <w:right w:val="single" w:sz="4" w:space="0" w:color="auto"/>
            </w:tcBorders>
            <w:vAlign w:val="bottom"/>
          </w:tcPr>
          <w:p w:rsidR="00865293" w:rsidRPr="00C003FA" w:rsidRDefault="00865293" w:rsidP="000D32C5">
            <w:pPr>
              <w:pBdr>
                <w:bottom w:val="single" w:sz="4" w:space="1" w:color="auto"/>
              </w:pBdr>
              <w:jc w:val="center"/>
              <w:rPr>
                <w:sz w:val="15"/>
                <w:szCs w:val="15"/>
              </w:rPr>
            </w:pPr>
            <w:r>
              <w:rPr>
                <w:sz w:val="15"/>
                <w:szCs w:val="15"/>
              </w:rPr>
              <w:t>Preliminary</w:t>
            </w:r>
          </w:p>
        </w:tc>
        <w:tc>
          <w:tcPr>
            <w:tcW w:w="3362" w:type="dxa"/>
            <w:gridSpan w:val="4"/>
            <w:tcBorders>
              <w:left w:val="single" w:sz="4" w:space="0" w:color="auto"/>
            </w:tcBorders>
            <w:vAlign w:val="bottom"/>
          </w:tcPr>
          <w:p w:rsidR="00865293" w:rsidRPr="00C003FA" w:rsidRDefault="00865293" w:rsidP="000D32C5">
            <w:pPr>
              <w:pBdr>
                <w:bottom w:val="single" w:sz="4" w:space="1" w:color="auto"/>
              </w:pBdr>
              <w:jc w:val="center"/>
              <w:rPr>
                <w:sz w:val="15"/>
                <w:szCs w:val="15"/>
                <w:highlight w:val="yellow"/>
              </w:rPr>
            </w:pPr>
            <w:r w:rsidRPr="00C003FA">
              <w:rPr>
                <w:sz w:val="15"/>
                <w:szCs w:val="15"/>
              </w:rPr>
              <w:t>OSPB September 2020 Revenue Forecast</w:t>
            </w:r>
          </w:p>
        </w:tc>
      </w:tr>
      <w:tr w:rsidR="00BF5AEF" w:rsidRPr="00C003FA" w:rsidTr="00804D3C">
        <w:trPr>
          <w:jc w:val="center"/>
        </w:trPr>
        <w:tc>
          <w:tcPr>
            <w:tcW w:w="2070" w:type="dxa"/>
            <w:vAlign w:val="bottom"/>
          </w:tcPr>
          <w:p w:rsidR="00BF5AEF" w:rsidRPr="00C003FA" w:rsidRDefault="00BF5AEF" w:rsidP="000D32C5">
            <w:pPr>
              <w:jc w:val="left"/>
              <w:rPr>
                <w:sz w:val="15"/>
                <w:szCs w:val="15"/>
              </w:rPr>
            </w:pPr>
          </w:p>
        </w:tc>
        <w:tc>
          <w:tcPr>
            <w:tcW w:w="1753" w:type="dxa"/>
            <w:gridSpan w:val="2"/>
            <w:vAlign w:val="bottom"/>
          </w:tcPr>
          <w:p w:rsidR="00BF5AEF" w:rsidRPr="00C003FA" w:rsidRDefault="00BF5AEF" w:rsidP="008B0BC8">
            <w:pPr>
              <w:pBdr>
                <w:bottom w:val="single" w:sz="4" w:space="1" w:color="auto"/>
              </w:pBdr>
              <w:jc w:val="center"/>
              <w:rPr>
                <w:sz w:val="15"/>
                <w:szCs w:val="15"/>
              </w:rPr>
            </w:pPr>
            <w:r w:rsidRPr="00C003FA">
              <w:rPr>
                <w:sz w:val="15"/>
                <w:szCs w:val="15"/>
              </w:rPr>
              <w:t>Fiscal Year 201</w:t>
            </w:r>
            <w:r w:rsidR="008B0BC8">
              <w:rPr>
                <w:sz w:val="15"/>
                <w:szCs w:val="15"/>
              </w:rPr>
              <w:t>5</w:t>
            </w:r>
            <w:r w:rsidRPr="00C003FA">
              <w:rPr>
                <w:sz w:val="15"/>
                <w:szCs w:val="15"/>
              </w:rPr>
              <w:t>-1</w:t>
            </w:r>
            <w:r w:rsidR="008B0BC8">
              <w:rPr>
                <w:sz w:val="15"/>
                <w:szCs w:val="15"/>
              </w:rPr>
              <w:t>6</w:t>
            </w:r>
          </w:p>
        </w:tc>
        <w:tc>
          <w:tcPr>
            <w:tcW w:w="1692" w:type="dxa"/>
            <w:gridSpan w:val="2"/>
            <w:vAlign w:val="bottom"/>
          </w:tcPr>
          <w:p w:rsidR="00BF5AEF" w:rsidRPr="00C003FA" w:rsidRDefault="00BF5AEF" w:rsidP="008B0BC8">
            <w:pPr>
              <w:pBdr>
                <w:bottom w:val="single" w:sz="4" w:space="1" w:color="auto"/>
              </w:pBdr>
              <w:jc w:val="center"/>
              <w:rPr>
                <w:sz w:val="15"/>
                <w:szCs w:val="15"/>
              </w:rPr>
            </w:pPr>
            <w:r w:rsidRPr="00C003FA">
              <w:rPr>
                <w:sz w:val="15"/>
                <w:szCs w:val="15"/>
              </w:rPr>
              <w:t>Fiscal Year 201</w:t>
            </w:r>
            <w:r w:rsidR="008B0BC8">
              <w:rPr>
                <w:sz w:val="15"/>
                <w:szCs w:val="15"/>
              </w:rPr>
              <w:t>6</w:t>
            </w:r>
            <w:r w:rsidRPr="00C003FA">
              <w:rPr>
                <w:sz w:val="15"/>
                <w:szCs w:val="15"/>
              </w:rPr>
              <w:t>-1</w:t>
            </w:r>
            <w:r w:rsidR="008B0BC8">
              <w:rPr>
                <w:sz w:val="15"/>
                <w:szCs w:val="15"/>
              </w:rPr>
              <w:t>7</w:t>
            </w:r>
          </w:p>
        </w:tc>
        <w:tc>
          <w:tcPr>
            <w:tcW w:w="1680" w:type="dxa"/>
            <w:gridSpan w:val="2"/>
            <w:vAlign w:val="bottom"/>
          </w:tcPr>
          <w:p w:rsidR="00BF5AEF" w:rsidRPr="00C003FA" w:rsidRDefault="00BF5AEF" w:rsidP="008B0BC8">
            <w:pPr>
              <w:pBdr>
                <w:bottom w:val="single" w:sz="4" w:space="1" w:color="auto"/>
              </w:pBdr>
              <w:jc w:val="center"/>
              <w:rPr>
                <w:sz w:val="15"/>
                <w:szCs w:val="15"/>
              </w:rPr>
            </w:pPr>
            <w:r w:rsidRPr="00C003FA">
              <w:rPr>
                <w:sz w:val="15"/>
                <w:szCs w:val="15"/>
              </w:rPr>
              <w:t>Fiscal Year 201</w:t>
            </w:r>
            <w:r w:rsidR="008B0BC8">
              <w:rPr>
                <w:sz w:val="15"/>
                <w:szCs w:val="15"/>
              </w:rPr>
              <w:t>7</w:t>
            </w:r>
            <w:r w:rsidRPr="00C003FA">
              <w:rPr>
                <w:sz w:val="15"/>
                <w:szCs w:val="15"/>
              </w:rPr>
              <w:t>-1</w:t>
            </w:r>
            <w:r w:rsidR="008B0BC8">
              <w:rPr>
                <w:sz w:val="15"/>
                <w:szCs w:val="15"/>
              </w:rPr>
              <w:t>8</w:t>
            </w:r>
          </w:p>
        </w:tc>
        <w:tc>
          <w:tcPr>
            <w:tcW w:w="1679" w:type="dxa"/>
            <w:gridSpan w:val="2"/>
            <w:vAlign w:val="bottom"/>
          </w:tcPr>
          <w:p w:rsidR="00BF5AEF" w:rsidRPr="00C003FA" w:rsidRDefault="00BF5AEF" w:rsidP="008B0BC8">
            <w:pPr>
              <w:pBdr>
                <w:bottom w:val="single" w:sz="4" w:space="1" w:color="auto"/>
              </w:pBdr>
              <w:jc w:val="center"/>
              <w:rPr>
                <w:sz w:val="15"/>
                <w:szCs w:val="15"/>
              </w:rPr>
            </w:pPr>
            <w:r w:rsidRPr="00C003FA">
              <w:rPr>
                <w:sz w:val="15"/>
                <w:szCs w:val="15"/>
              </w:rPr>
              <w:t>Fiscal Year 201</w:t>
            </w:r>
            <w:r w:rsidR="008B0BC8">
              <w:rPr>
                <w:sz w:val="15"/>
                <w:szCs w:val="15"/>
              </w:rPr>
              <w:t>8</w:t>
            </w:r>
            <w:r w:rsidRPr="00C003FA">
              <w:rPr>
                <w:sz w:val="15"/>
                <w:szCs w:val="15"/>
              </w:rPr>
              <w:t>-1</w:t>
            </w:r>
            <w:r w:rsidR="008B0BC8">
              <w:rPr>
                <w:sz w:val="15"/>
                <w:szCs w:val="15"/>
              </w:rPr>
              <w:t>9</w:t>
            </w:r>
          </w:p>
        </w:tc>
        <w:tc>
          <w:tcPr>
            <w:tcW w:w="1682" w:type="dxa"/>
            <w:gridSpan w:val="2"/>
            <w:tcBorders>
              <w:right w:val="single" w:sz="4" w:space="0" w:color="auto"/>
            </w:tcBorders>
            <w:vAlign w:val="bottom"/>
          </w:tcPr>
          <w:p w:rsidR="00BF5AEF" w:rsidRPr="00C003FA" w:rsidRDefault="00BF5AEF" w:rsidP="00452011">
            <w:pPr>
              <w:pBdr>
                <w:bottom w:val="single" w:sz="4" w:space="1" w:color="auto"/>
              </w:pBdr>
              <w:jc w:val="center"/>
              <w:rPr>
                <w:sz w:val="15"/>
                <w:szCs w:val="15"/>
              </w:rPr>
            </w:pPr>
            <w:r w:rsidRPr="00C003FA">
              <w:rPr>
                <w:sz w:val="15"/>
                <w:szCs w:val="15"/>
              </w:rPr>
              <w:t>Fiscal Year 201</w:t>
            </w:r>
            <w:r w:rsidR="00452011">
              <w:rPr>
                <w:sz w:val="15"/>
                <w:szCs w:val="15"/>
              </w:rPr>
              <w:t>9</w:t>
            </w:r>
            <w:r w:rsidRPr="00C003FA">
              <w:rPr>
                <w:sz w:val="15"/>
                <w:szCs w:val="15"/>
              </w:rPr>
              <w:t>-</w:t>
            </w:r>
            <w:r w:rsidR="00452011">
              <w:rPr>
                <w:sz w:val="15"/>
                <w:szCs w:val="15"/>
              </w:rPr>
              <w:t>20</w:t>
            </w:r>
          </w:p>
        </w:tc>
        <w:tc>
          <w:tcPr>
            <w:tcW w:w="1680" w:type="dxa"/>
            <w:gridSpan w:val="2"/>
            <w:tcBorders>
              <w:left w:val="single" w:sz="4" w:space="0" w:color="auto"/>
            </w:tcBorders>
            <w:vAlign w:val="bottom"/>
          </w:tcPr>
          <w:p w:rsidR="00BF5AEF" w:rsidRPr="00C003FA" w:rsidRDefault="00BF5AEF" w:rsidP="00F7128E">
            <w:pPr>
              <w:pBdr>
                <w:bottom w:val="single" w:sz="4" w:space="1" w:color="auto"/>
              </w:pBdr>
              <w:jc w:val="center"/>
              <w:rPr>
                <w:sz w:val="15"/>
                <w:szCs w:val="15"/>
              </w:rPr>
            </w:pPr>
            <w:r w:rsidRPr="00C003FA">
              <w:rPr>
                <w:sz w:val="15"/>
                <w:szCs w:val="15"/>
              </w:rPr>
              <w:t xml:space="preserve">Fiscal Year </w:t>
            </w:r>
            <w:r w:rsidR="00F7128E">
              <w:rPr>
                <w:sz w:val="15"/>
                <w:szCs w:val="15"/>
              </w:rPr>
              <w:t>2020</w:t>
            </w:r>
            <w:r w:rsidRPr="00C003FA">
              <w:rPr>
                <w:sz w:val="15"/>
                <w:szCs w:val="15"/>
              </w:rPr>
              <w:t>-2</w:t>
            </w:r>
            <w:r w:rsidR="00F7128E">
              <w:rPr>
                <w:sz w:val="15"/>
                <w:szCs w:val="15"/>
              </w:rPr>
              <w:t>1</w:t>
            </w:r>
          </w:p>
        </w:tc>
        <w:tc>
          <w:tcPr>
            <w:tcW w:w="1682" w:type="dxa"/>
            <w:gridSpan w:val="2"/>
            <w:vAlign w:val="bottom"/>
          </w:tcPr>
          <w:p w:rsidR="00BF5AEF" w:rsidRPr="00C003FA" w:rsidRDefault="00BF5AEF" w:rsidP="00F7128E">
            <w:pPr>
              <w:pBdr>
                <w:bottom w:val="single" w:sz="4" w:space="1" w:color="auto"/>
              </w:pBdr>
              <w:jc w:val="center"/>
              <w:rPr>
                <w:sz w:val="15"/>
                <w:szCs w:val="15"/>
              </w:rPr>
            </w:pPr>
            <w:r w:rsidRPr="00C003FA">
              <w:rPr>
                <w:sz w:val="15"/>
                <w:szCs w:val="15"/>
              </w:rPr>
              <w:t>Fiscal Year 202</w:t>
            </w:r>
            <w:r w:rsidR="00F7128E">
              <w:rPr>
                <w:sz w:val="15"/>
                <w:szCs w:val="15"/>
              </w:rPr>
              <w:t>1</w:t>
            </w:r>
            <w:r w:rsidRPr="00C003FA">
              <w:rPr>
                <w:sz w:val="15"/>
                <w:szCs w:val="15"/>
              </w:rPr>
              <w:t>-2</w:t>
            </w:r>
            <w:r w:rsidR="00F7128E">
              <w:rPr>
                <w:sz w:val="15"/>
                <w:szCs w:val="15"/>
              </w:rPr>
              <w:t>2</w:t>
            </w:r>
          </w:p>
        </w:tc>
      </w:tr>
      <w:tr w:rsidR="00BF5AEF" w:rsidRPr="00C003FA" w:rsidTr="00804D3C">
        <w:trPr>
          <w:jc w:val="center"/>
        </w:trPr>
        <w:tc>
          <w:tcPr>
            <w:tcW w:w="2070" w:type="dxa"/>
            <w:vAlign w:val="bottom"/>
          </w:tcPr>
          <w:p w:rsidR="00BF5AEF" w:rsidRPr="00C003FA" w:rsidRDefault="00BF5AEF" w:rsidP="000D32C5">
            <w:pPr>
              <w:pBdr>
                <w:bottom w:val="single" w:sz="4" w:space="1" w:color="auto"/>
              </w:pBdr>
              <w:spacing w:after="60"/>
              <w:jc w:val="center"/>
              <w:rPr>
                <w:sz w:val="15"/>
                <w:szCs w:val="15"/>
              </w:rPr>
            </w:pPr>
            <w:r w:rsidRPr="00C003FA">
              <w:rPr>
                <w:sz w:val="15"/>
                <w:szCs w:val="15"/>
              </w:rPr>
              <w:t>Revenue Source</w:t>
            </w:r>
          </w:p>
        </w:tc>
        <w:tc>
          <w:tcPr>
            <w:tcW w:w="900" w:type="dxa"/>
            <w:vAlign w:val="bottom"/>
          </w:tcPr>
          <w:p w:rsidR="00BF5AEF" w:rsidRPr="00C003FA" w:rsidRDefault="00BF5AEF" w:rsidP="000D32C5">
            <w:pPr>
              <w:pBdr>
                <w:bottom w:val="single" w:sz="4" w:space="1" w:color="auto"/>
              </w:pBdr>
              <w:spacing w:after="60"/>
              <w:jc w:val="center"/>
              <w:rPr>
                <w:sz w:val="15"/>
                <w:szCs w:val="15"/>
              </w:rPr>
            </w:pPr>
            <w:r w:rsidRPr="00C003FA">
              <w:rPr>
                <w:sz w:val="15"/>
                <w:szCs w:val="15"/>
              </w:rPr>
              <w:t>Amount</w:t>
            </w:r>
          </w:p>
        </w:tc>
        <w:tc>
          <w:tcPr>
            <w:tcW w:w="853" w:type="dxa"/>
            <w:vAlign w:val="bottom"/>
          </w:tcPr>
          <w:p w:rsidR="00BF5AEF" w:rsidRPr="00C003FA" w:rsidRDefault="00BF5AEF" w:rsidP="000D32C5">
            <w:pPr>
              <w:pBdr>
                <w:bottom w:val="single" w:sz="4" w:space="1" w:color="auto"/>
              </w:pBdr>
              <w:spacing w:after="60"/>
              <w:jc w:val="center"/>
              <w:rPr>
                <w:sz w:val="15"/>
                <w:szCs w:val="15"/>
              </w:rPr>
            </w:pPr>
            <w:r w:rsidRPr="00C003FA">
              <w:rPr>
                <w:sz w:val="15"/>
                <w:szCs w:val="15"/>
              </w:rPr>
              <w:t>% Change</w:t>
            </w:r>
          </w:p>
        </w:tc>
        <w:tc>
          <w:tcPr>
            <w:tcW w:w="852" w:type="dxa"/>
            <w:vAlign w:val="bottom"/>
          </w:tcPr>
          <w:p w:rsidR="00BF5AEF" w:rsidRPr="00C003FA" w:rsidRDefault="00BF5AEF" w:rsidP="000D32C5">
            <w:pPr>
              <w:pBdr>
                <w:bottom w:val="single" w:sz="4" w:space="1" w:color="auto"/>
              </w:pBdr>
              <w:spacing w:after="60"/>
              <w:jc w:val="center"/>
              <w:rPr>
                <w:sz w:val="15"/>
                <w:szCs w:val="15"/>
              </w:rPr>
            </w:pPr>
            <w:r w:rsidRPr="00C003FA">
              <w:rPr>
                <w:sz w:val="15"/>
                <w:szCs w:val="15"/>
              </w:rPr>
              <w:t>Amount</w:t>
            </w:r>
          </w:p>
        </w:tc>
        <w:tc>
          <w:tcPr>
            <w:tcW w:w="840" w:type="dxa"/>
            <w:vAlign w:val="bottom"/>
          </w:tcPr>
          <w:p w:rsidR="00BF5AEF" w:rsidRPr="00C003FA" w:rsidRDefault="00BF5AEF" w:rsidP="000D32C5">
            <w:pPr>
              <w:pBdr>
                <w:bottom w:val="single" w:sz="4" w:space="1" w:color="auto"/>
              </w:pBdr>
              <w:spacing w:after="60"/>
              <w:jc w:val="center"/>
              <w:rPr>
                <w:sz w:val="15"/>
                <w:szCs w:val="15"/>
              </w:rPr>
            </w:pPr>
            <w:r w:rsidRPr="00C003FA">
              <w:rPr>
                <w:sz w:val="15"/>
                <w:szCs w:val="15"/>
              </w:rPr>
              <w:t>% Change</w:t>
            </w:r>
          </w:p>
        </w:tc>
        <w:tc>
          <w:tcPr>
            <w:tcW w:w="840" w:type="dxa"/>
            <w:vAlign w:val="bottom"/>
          </w:tcPr>
          <w:p w:rsidR="00BF5AEF" w:rsidRPr="00C003FA" w:rsidRDefault="00BF5AEF" w:rsidP="000D32C5">
            <w:pPr>
              <w:pBdr>
                <w:bottom w:val="single" w:sz="4" w:space="1" w:color="auto"/>
              </w:pBdr>
              <w:spacing w:after="60"/>
              <w:jc w:val="center"/>
              <w:rPr>
                <w:sz w:val="15"/>
                <w:szCs w:val="15"/>
              </w:rPr>
            </w:pPr>
            <w:r w:rsidRPr="00C003FA">
              <w:rPr>
                <w:sz w:val="15"/>
                <w:szCs w:val="15"/>
              </w:rPr>
              <w:t>Amount</w:t>
            </w:r>
          </w:p>
        </w:tc>
        <w:tc>
          <w:tcPr>
            <w:tcW w:w="840" w:type="dxa"/>
            <w:vAlign w:val="bottom"/>
          </w:tcPr>
          <w:p w:rsidR="00BF5AEF" w:rsidRPr="00C003FA" w:rsidRDefault="00BF5AEF" w:rsidP="000D32C5">
            <w:pPr>
              <w:pBdr>
                <w:bottom w:val="single" w:sz="4" w:space="1" w:color="auto"/>
              </w:pBdr>
              <w:spacing w:after="60"/>
              <w:jc w:val="center"/>
              <w:rPr>
                <w:sz w:val="15"/>
                <w:szCs w:val="15"/>
              </w:rPr>
            </w:pPr>
            <w:r w:rsidRPr="00C003FA">
              <w:rPr>
                <w:sz w:val="15"/>
                <w:szCs w:val="15"/>
              </w:rPr>
              <w:t>% Change</w:t>
            </w:r>
          </w:p>
        </w:tc>
        <w:tc>
          <w:tcPr>
            <w:tcW w:w="840" w:type="dxa"/>
            <w:vAlign w:val="bottom"/>
          </w:tcPr>
          <w:p w:rsidR="00BF5AEF" w:rsidRPr="00C003FA" w:rsidRDefault="00BF5AEF" w:rsidP="000D32C5">
            <w:pPr>
              <w:pBdr>
                <w:bottom w:val="single" w:sz="4" w:space="1" w:color="auto"/>
              </w:pBdr>
              <w:spacing w:after="60"/>
              <w:jc w:val="center"/>
              <w:rPr>
                <w:sz w:val="15"/>
                <w:szCs w:val="15"/>
              </w:rPr>
            </w:pPr>
            <w:r w:rsidRPr="00C003FA">
              <w:rPr>
                <w:sz w:val="15"/>
                <w:szCs w:val="15"/>
              </w:rPr>
              <w:t>Amount</w:t>
            </w:r>
          </w:p>
        </w:tc>
        <w:tc>
          <w:tcPr>
            <w:tcW w:w="839" w:type="dxa"/>
            <w:vAlign w:val="bottom"/>
          </w:tcPr>
          <w:p w:rsidR="00BF5AEF" w:rsidRPr="00C003FA" w:rsidRDefault="00BF5AEF" w:rsidP="000D32C5">
            <w:pPr>
              <w:pBdr>
                <w:bottom w:val="single" w:sz="4" w:space="1" w:color="auto"/>
              </w:pBdr>
              <w:spacing w:after="60"/>
              <w:jc w:val="center"/>
              <w:rPr>
                <w:sz w:val="15"/>
                <w:szCs w:val="15"/>
              </w:rPr>
            </w:pPr>
            <w:r w:rsidRPr="00C003FA">
              <w:rPr>
                <w:sz w:val="15"/>
                <w:szCs w:val="15"/>
              </w:rPr>
              <w:t>% Change</w:t>
            </w:r>
          </w:p>
        </w:tc>
        <w:tc>
          <w:tcPr>
            <w:tcW w:w="840" w:type="dxa"/>
            <w:vAlign w:val="bottom"/>
          </w:tcPr>
          <w:p w:rsidR="00BF5AEF" w:rsidRPr="00C003FA" w:rsidRDefault="00BF5AEF" w:rsidP="000D32C5">
            <w:pPr>
              <w:pBdr>
                <w:bottom w:val="single" w:sz="4" w:space="1" w:color="auto"/>
              </w:pBdr>
              <w:spacing w:after="60"/>
              <w:jc w:val="center"/>
              <w:rPr>
                <w:sz w:val="15"/>
                <w:szCs w:val="15"/>
              </w:rPr>
            </w:pPr>
            <w:r w:rsidRPr="00C003FA">
              <w:rPr>
                <w:sz w:val="15"/>
                <w:szCs w:val="15"/>
              </w:rPr>
              <w:t>Amount</w:t>
            </w:r>
          </w:p>
        </w:tc>
        <w:tc>
          <w:tcPr>
            <w:tcW w:w="842" w:type="dxa"/>
            <w:tcBorders>
              <w:right w:val="single" w:sz="4" w:space="0" w:color="auto"/>
            </w:tcBorders>
            <w:vAlign w:val="bottom"/>
          </w:tcPr>
          <w:p w:rsidR="00BF5AEF" w:rsidRPr="00C003FA" w:rsidRDefault="00BF5AEF" w:rsidP="000D32C5">
            <w:pPr>
              <w:pBdr>
                <w:bottom w:val="single" w:sz="4" w:space="1" w:color="auto"/>
              </w:pBdr>
              <w:spacing w:after="60"/>
              <w:jc w:val="center"/>
              <w:rPr>
                <w:sz w:val="15"/>
                <w:szCs w:val="15"/>
              </w:rPr>
            </w:pPr>
            <w:r w:rsidRPr="00C003FA">
              <w:rPr>
                <w:sz w:val="15"/>
                <w:szCs w:val="15"/>
              </w:rPr>
              <w:t>% Change</w:t>
            </w:r>
          </w:p>
        </w:tc>
        <w:tc>
          <w:tcPr>
            <w:tcW w:w="840" w:type="dxa"/>
            <w:tcBorders>
              <w:left w:val="single" w:sz="4" w:space="0" w:color="auto"/>
            </w:tcBorders>
            <w:vAlign w:val="bottom"/>
          </w:tcPr>
          <w:p w:rsidR="00BF5AEF" w:rsidRPr="00C003FA" w:rsidRDefault="00BF5AEF" w:rsidP="000D32C5">
            <w:pPr>
              <w:pBdr>
                <w:bottom w:val="single" w:sz="4" w:space="1" w:color="auto"/>
              </w:pBdr>
              <w:spacing w:after="60"/>
              <w:jc w:val="center"/>
              <w:rPr>
                <w:sz w:val="15"/>
                <w:szCs w:val="15"/>
              </w:rPr>
            </w:pPr>
            <w:r w:rsidRPr="00C003FA">
              <w:rPr>
                <w:sz w:val="15"/>
                <w:szCs w:val="15"/>
              </w:rPr>
              <w:t>Amount</w:t>
            </w:r>
          </w:p>
        </w:tc>
        <w:tc>
          <w:tcPr>
            <w:tcW w:w="840" w:type="dxa"/>
            <w:vAlign w:val="bottom"/>
          </w:tcPr>
          <w:p w:rsidR="00BF5AEF" w:rsidRPr="00C003FA" w:rsidRDefault="00BF5AEF" w:rsidP="000D32C5">
            <w:pPr>
              <w:pBdr>
                <w:bottom w:val="single" w:sz="4" w:space="1" w:color="auto"/>
              </w:pBdr>
              <w:spacing w:after="60"/>
              <w:jc w:val="center"/>
              <w:rPr>
                <w:sz w:val="15"/>
                <w:szCs w:val="15"/>
              </w:rPr>
            </w:pPr>
            <w:r w:rsidRPr="00C003FA">
              <w:rPr>
                <w:sz w:val="15"/>
                <w:szCs w:val="15"/>
              </w:rPr>
              <w:t>% Change</w:t>
            </w:r>
          </w:p>
        </w:tc>
        <w:tc>
          <w:tcPr>
            <w:tcW w:w="840" w:type="dxa"/>
            <w:vAlign w:val="bottom"/>
          </w:tcPr>
          <w:p w:rsidR="00BF5AEF" w:rsidRPr="00C003FA" w:rsidRDefault="00BF5AEF" w:rsidP="000D32C5">
            <w:pPr>
              <w:pBdr>
                <w:bottom w:val="single" w:sz="4" w:space="1" w:color="auto"/>
              </w:pBdr>
              <w:spacing w:after="60"/>
              <w:jc w:val="center"/>
              <w:rPr>
                <w:sz w:val="15"/>
                <w:szCs w:val="15"/>
              </w:rPr>
            </w:pPr>
            <w:r w:rsidRPr="00C003FA">
              <w:rPr>
                <w:sz w:val="15"/>
                <w:szCs w:val="15"/>
              </w:rPr>
              <w:t>Amount</w:t>
            </w:r>
          </w:p>
        </w:tc>
        <w:tc>
          <w:tcPr>
            <w:tcW w:w="842" w:type="dxa"/>
            <w:vAlign w:val="bottom"/>
          </w:tcPr>
          <w:p w:rsidR="00BF5AEF" w:rsidRPr="00C003FA" w:rsidRDefault="00BF5AEF" w:rsidP="000D32C5">
            <w:pPr>
              <w:pBdr>
                <w:bottom w:val="single" w:sz="4" w:space="1" w:color="auto"/>
              </w:pBdr>
              <w:spacing w:after="60"/>
              <w:jc w:val="center"/>
              <w:rPr>
                <w:sz w:val="15"/>
                <w:szCs w:val="15"/>
              </w:rPr>
            </w:pPr>
            <w:r w:rsidRPr="00C003FA">
              <w:rPr>
                <w:sz w:val="15"/>
                <w:szCs w:val="15"/>
              </w:rPr>
              <w:t>% Change</w:t>
            </w:r>
          </w:p>
        </w:tc>
      </w:tr>
      <w:tr w:rsidR="00BF5AEF" w:rsidRPr="00C003FA" w:rsidTr="00804D3C">
        <w:trPr>
          <w:jc w:val="center"/>
        </w:trPr>
        <w:tc>
          <w:tcPr>
            <w:tcW w:w="2070" w:type="dxa"/>
            <w:vAlign w:val="bottom"/>
          </w:tcPr>
          <w:p w:rsidR="00BF5AEF" w:rsidRPr="00C003FA" w:rsidRDefault="00BF5AEF" w:rsidP="000D32C5">
            <w:pPr>
              <w:jc w:val="left"/>
              <w:rPr>
                <w:sz w:val="15"/>
                <w:szCs w:val="15"/>
              </w:rPr>
            </w:pPr>
            <w:r w:rsidRPr="00C003FA">
              <w:rPr>
                <w:sz w:val="15"/>
                <w:szCs w:val="15"/>
              </w:rPr>
              <w:t>Excise Taxes:</w:t>
            </w:r>
          </w:p>
        </w:tc>
        <w:tc>
          <w:tcPr>
            <w:tcW w:w="900" w:type="dxa"/>
            <w:vAlign w:val="bottom"/>
          </w:tcPr>
          <w:p w:rsidR="00BF5AEF" w:rsidRPr="00C003FA" w:rsidRDefault="00BF5AEF" w:rsidP="000D32C5">
            <w:pPr>
              <w:tabs>
                <w:tab w:val="decimal" w:pos="523"/>
              </w:tabs>
              <w:jc w:val="left"/>
              <w:rPr>
                <w:sz w:val="15"/>
                <w:szCs w:val="15"/>
              </w:rPr>
            </w:pPr>
          </w:p>
        </w:tc>
        <w:tc>
          <w:tcPr>
            <w:tcW w:w="853" w:type="dxa"/>
            <w:vAlign w:val="bottom"/>
          </w:tcPr>
          <w:p w:rsidR="00BF5AEF" w:rsidRPr="00C003FA" w:rsidRDefault="00BF5AEF" w:rsidP="000D32C5">
            <w:pPr>
              <w:tabs>
                <w:tab w:val="decimal" w:pos="315"/>
              </w:tabs>
              <w:jc w:val="left"/>
              <w:rPr>
                <w:sz w:val="15"/>
                <w:szCs w:val="15"/>
              </w:rPr>
            </w:pPr>
          </w:p>
        </w:tc>
        <w:tc>
          <w:tcPr>
            <w:tcW w:w="852" w:type="dxa"/>
            <w:vAlign w:val="bottom"/>
          </w:tcPr>
          <w:p w:rsidR="00BF5AEF" w:rsidRPr="00C003FA" w:rsidRDefault="00BF5AEF" w:rsidP="000D32C5">
            <w:pPr>
              <w:tabs>
                <w:tab w:val="decimal" w:pos="477"/>
              </w:tabs>
              <w:jc w:val="left"/>
              <w:rPr>
                <w:sz w:val="15"/>
                <w:szCs w:val="15"/>
              </w:rPr>
            </w:pPr>
          </w:p>
        </w:tc>
        <w:tc>
          <w:tcPr>
            <w:tcW w:w="840" w:type="dxa"/>
            <w:vAlign w:val="bottom"/>
          </w:tcPr>
          <w:p w:rsidR="00BF5AEF" w:rsidRPr="00C003FA" w:rsidRDefault="00BF5AEF" w:rsidP="000D32C5">
            <w:pPr>
              <w:tabs>
                <w:tab w:val="decimal" w:pos="282"/>
              </w:tabs>
              <w:jc w:val="left"/>
              <w:rPr>
                <w:sz w:val="15"/>
                <w:szCs w:val="15"/>
              </w:rPr>
            </w:pPr>
          </w:p>
        </w:tc>
        <w:tc>
          <w:tcPr>
            <w:tcW w:w="840" w:type="dxa"/>
            <w:vAlign w:val="bottom"/>
          </w:tcPr>
          <w:p w:rsidR="00BF5AEF" w:rsidRPr="00C003FA" w:rsidRDefault="00BF5AEF" w:rsidP="000D32C5">
            <w:pPr>
              <w:tabs>
                <w:tab w:val="decimal" w:pos="495"/>
              </w:tabs>
              <w:jc w:val="left"/>
              <w:rPr>
                <w:sz w:val="15"/>
                <w:szCs w:val="15"/>
              </w:rPr>
            </w:pPr>
          </w:p>
        </w:tc>
        <w:tc>
          <w:tcPr>
            <w:tcW w:w="840" w:type="dxa"/>
            <w:vAlign w:val="bottom"/>
          </w:tcPr>
          <w:p w:rsidR="00BF5AEF" w:rsidRPr="00C003FA" w:rsidRDefault="00BF5AEF" w:rsidP="000D32C5">
            <w:pPr>
              <w:tabs>
                <w:tab w:val="decimal" w:pos="285"/>
              </w:tabs>
              <w:jc w:val="left"/>
              <w:rPr>
                <w:sz w:val="15"/>
                <w:szCs w:val="15"/>
              </w:rPr>
            </w:pPr>
          </w:p>
        </w:tc>
        <w:tc>
          <w:tcPr>
            <w:tcW w:w="840" w:type="dxa"/>
            <w:vAlign w:val="bottom"/>
          </w:tcPr>
          <w:p w:rsidR="00BF5AEF" w:rsidRPr="00C003FA" w:rsidRDefault="00BF5AEF" w:rsidP="000D32C5">
            <w:pPr>
              <w:tabs>
                <w:tab w:val="decimal" w:pos="525"/>
              </w:tabs>
              <w:jc w:val="left"/>
              <w:rPr>
                <w:sz w:val="15"/>
                <w:szCs w:val="15"/>
              </w:rPr>
            </w:pPr>
          </w:p>
        </w:tc>
        <w:tc>
          <w:tcPr>
            <w:tcW w:w="839" w:type="dxa"/>
            <w:vAlign w:val="bottom"/>
          </w:tcPr>
          <w:p w:rsidR="00BF5AEF" w:rsidRPr="00C003FA" w:rsidRDefault="00BF5AEF" w:rsidP="000D32C5">
            <w:pPr>
              <w:tabs>
                <w:tab w:val="decimal" w:pos="315"/>
              </w:tabs>
              <w:jc w:val="left"/>
              <w:rPr>
                <w:sz w:val="15"/>
                <w:szCs w:val="15"/>
              </w:rPr>
            </w:pPr>
          </w:p>
        </w:tc>
        <w:tc>
          <w:tcPr>
            <w:tcW w:w="840" w:type="dxa"/>
            <w:vAlign w:val="bottom"/>
          </w:tcPr>
          <w:p w:rsidR="00BF5AEF" w:rsidRPr="00C003FA" w:rsidRDefault="00BF5AEF" w:rsidP="000D32C5">
            <w:pPr>
              <w:tabs>
                <w:tab w:val="decimal" w:pos="466"/>
              </w:tabs>
              <w:jc w:val="left"/>
              <w:rPr>
                <w:sz w:val="15"/>
                <w:szCs w:val="15"/>
              </w:rPr>
            </w:pPr>
          </w:p>
        </w:tc>
        <w:tc>
          <w:tcPr>
            <w:tcW w:w="842" w:type="dxa"/>
            <w:tcBorders>
              <w:right w:val="single" w:sz="4" w:space="0" w:color="auto"/>
            </w:tcBorders>
            <w:vAlign w:val="bottom"/>
          </w:tcPr>
          <w:p w:rsidR="00BF5AEF" w:rsidRPr="00C003FA" w:rsidRDefault="00BF5AEF" w:rsidP="000D32C5">
            <w:pPr>
              <w:tabs>
                <w:tab w:val="decimal" w:pos="256"/>
              </w:tabs>
              <w:jc w:val="left"/>
              <w:rPr>
                <w:sz w:val="15"/>
                <w:szCs w:val="15"/>
              </w:rPr>
            </w:pPr>
          </w:p>
        </w:tc>
        <w:tc>
          <w:tcPr>
            <w:tcW w:w="840" w:type="dxa"/>
            <w:tcBorders>
              <w:left w:val="single" w:sz="4" w:space="0" w:color="auto"/>
            </w:tcBorders>
            <w:vAlign w:val="bottom"/>
          </w:tcPr>
          <w:p w:rsidR="00BF5AEF" w:rsidRPr="00C003FA" w:rsidRDefault="00BF5AEF" w:rsidP="000D32C5">
            <w:pPr>
              <w:tabs>
                <w:tab w:val="decimal" w:pos="496"/>
              </w:tabs>
              <w:jc w:val="left"/>
              <w:rPr>
                <w:sz w:val="15"/>
                <w:szCs w:val="15"/>
              </w:rPr>
            </w:pPr>
          </w:p>
        </w:tc>
        <w:tc>
          <w:tcPr>
            <w:tcW w:w="840" w:type="dxa"/>
            <w:vAlign w:val="bottom"/>
          </w:tcPr>
          <w:p w:rsidR="00BF5AEF" w:rsidRPr="00C003FA" w:rsidRDefault="00BF5AEF" w:rsidP="000D32C5">
            <w:pPr>
              <w:tabs>
                <w:tab w:val="decimal" w:pos="286"/>
              </w:tabs>
              <w:jc w:val="left"/>
              <w:rPr>
                <w:sz w:val="15"/>
                <w:szCs w:val="15"/>
              </w:rPr>
            </w:pPr>
          </w:p>
        </w:tc>
        <w:tc>
          <w:tcPr>
            <w:tcW w:w="840" w:type="dxa"/>
            <w:vAlign w:val="bottom"/>
          </w:tcPr>
          <w:p w:rsidR="00BF5AEF" w:rsidRPr="00C003FA" w:rsidRDefault="00BF5AEF" w:rsidP="000D32C5">
            <w:pPr>
              <w:tabs>
                <w:tab w:val="decimal" w:pos="526"/>
              </w:tabs>
              <w:jc w:val="left"/>
              <w:rPr>
                <w:sz w:val="15"/>
                <w:szCs w:val="15"/>
              </w:rPr>
            </w:pPr>
          </w:p>
        </w:tc>
        <w:tc>
          <w:tcPr>
            <w:tcW w:w="842" w:type="dxa"/>
            <w:vAlign w:val="bottom"/>
          </w:tcPr>
          <w:p w:rsidR="00BF5AEF" w:rsidRPr="00C003FA" w:rsidRDefault="00BF5AEF" w:rsidP="000D32C5">
            <w:pPr>
              <w:tabs>
                <w:tab w:val="decimal" w:pos="316"/>
              </w:tabs>
              <w:jc w:val="left"/>
              <w:rPr>
                <w:sz w:val="15"/>
                <w:szCs w:val="15"/>
              </w:rPr>
            </w:pPr>
          </w:p>
        </w:tc>
      </w:tr>
      <w:tr w:rsidR="00F7128E" w:rsidRPr="00C003FA" w:rsidTr="00804D3C">
        <w:trPr>
          <w:jc w:val="center"/>
        </w:trPr>
        <w:tc>
          <w:tcPr>
            <w:tcW w:w="2070" w:type="dxa"/>
            <w:vAlign w:val="bottom"/>
          </w:tcPr>
          <w:p w:rsidR="00F7128E" w:rsidRPr="00C003FA" w:rsidRDefault="00F7128E" w:rsidP="00F7128E">
            <w:pPr>
              <w:ind w:left="162"/>
              <w:jc w:val="left"/>
              <w:rPr>
                <w:sz w:val="15"/>
                <w:szCs w:val="15"/>
              </w:rPr>
            </w:pPr>
            <w:r w:rsidRPr="00C003FA">
              <w:rPr>
                <w:sz w:val="15"/>
                <w:szCs w:val="15"/>
              </w:rPr>
              <w:t>Sales Tax</w:t>
            </w:r>
            <w:r w:rsidRPr="00C003FA">
              <w:rPr>
                <w:sz w:val="15"/>
                <w:szCs w:val="15"/>
                <w:vertAlign w:val="superscript"/>
              </w:rPr>
              <w:t>1</w:t>
            </w:r>
          </w:p>
        </w:tc>
        <w:tc>
          <w:tcPr>
            <w:tcW w:w="900" w:type="dxa"/>
            <w:vAlign w:val="bottom"/>
          </w:tcPr>
          <w:p w:rsidR="00F7128E" w:rsidRPr="00C003FA" w:rsidRDefault="00F7128E" w:rsidP="00F7128E">
            <w:pPr>
              <w:tabs>
                <w:tab w:val="decimal" w:pos="466"/>
              </w:tabs>
              <w:jc w:val="left"/>
              <w:rPr>
                <w:sz w:val="15"/>
                <w:szCs w:val="15"/>
              </w:rPr>
            </w:pPr>
            <w:r w:rsidRPr="00C003FA">
              <w:rPr>
                <w:sz w:val="15"/>
                <w:szCs w:val="15"/>
              </w:rPr>
              <w:t>$2,652.6</w:t>
            </w:r>
          </w:p>
        </w:tc>
        <w:tc>
          <w:tcPr>
            <w:tcW w:w="853" w:type="dxa"/>
            <w:vAlign w:val="bottom"/>
          </w:tcPr>
          <w:p w:rsidR="00F7128E" w:rsidRPr="00C003FA" w:rsidRDefault="00F7128E" w:rsidP="00F7128E">
            <w:pPr>
              <w:tabs>
                <w:tab w:val="decimal" w:pos="256"/>
              </w:tabs>
              <w:jc w:val="left"/>
              <w:rPr>
                <w:sz w:val="15"/>
                <w:szCs w:val="15"/>
              </w:rPr>
            </w:pPr>
            <w:r w:rsidRPr="00C003FA">
              <w:rPr>
                <w:sz w:val="15"/>
                <w:szCs w:val="15"/>
              </w:rPr>
              <w:t>1.3%</w:t>
            </w:r>
          </w:p>
        </w:tc>
        <w:tc>
          <w:tcPr>
            <w:tcW w:w="852" w:type="dxa"/>
            <w:vAlign w:val="bottom"/>
          </w:tcPr>
          <w:p w:rsidR="00F7128E" w:rsidRPr="00C003FA" w:rsidRDefault="00F7128E" w:rsidP="00F7128E">
            <w:pPr>
              <w:tabs>
                <w:tab w:val="decimal" w:pos="525"/>
              </w:tabs>
              <w:jc w:val="left"/>
              <w:rPr>
                <w:sz w:val="15"/>
                <w:szCs w:val="15"/>
              </w:rPr>
            </w:pPr>
            <w:r w:rsidRPr="00C003FA">
              <w:rPr>
                <w:sz w:val="15"/>
                <w:szCs w:val="15"/>
              </w:rPr>
              <w:t>$2,826.1</w:t>
            </w:r>
          </w:p>
        </w:tc>
        <w:tc>
          <w:tcPr>
            <w:tcW w:w="840" w:type="dxa"/>
            <w:vAlign w:val="bottom"/>
          </w:tcPr>
          <w:p w:rsidR="00F7128E" w:rsidRPr="00C003FA" w:rsidRDefault="00F7128E" w:rsidP="00F7128E">
            <w:pPr>
              <w:tabs>
                <w:tab w:val="decimal" w:pos="315"/>
              </w:tabs>
              <w:jc w:val="left"/>
              <w:rPr>
                <w:sz w:val="15"/>
                <w:szCs w:val="15"/>
              </w:rPr>
            </w:pPr>
            <w:r w:rsidRPr="00C003FA">
              <w:rPr>
                <w:sz w:val="15"/>
                <w:szCs w:val="15"/>
              </w:rPr>
              <w:t>6.5%</w:t>
            </w:r>
          </w:p>
        </w:tc>
        <w:tc>
          <w:tcPr>
            <w:tcW w:w="840" w:type="dxa"/>
            <w:vAlign w:val="bottom"/>
          </w:tcPr>
          <w:p w:rsidR="00F7128E" w:rsidRPr="00C003FA" w:rsidRDefault="00F7128E" w:rsidP="00F7128E">
            <w:pPr>
              <w:tabs>
                <w:tab w:val="decimal" w:pos="466"/>
              </w:tabs>
              <w:jc w:val="left"/>
              <w:rPr>
                <w:sz w:val="15"/>
                <w:szCs w:val="15"/>
              </w:rPr>
            </w:pPr>
            <w:r w:rsidRPr="00C003FA">
              <w:rPr>
                <w:sz w:val="15"/>
                <w:szCs w:val="15"/>
              </w:rPr>
              <w:t>$3,094.2</w:t>
            </w:r>
          </w:p>
        </w:tc>
        <w:tc>
          <w:tcPr>
            <w:tcW w:w="840" w:type="dxa"/>
            <w:vAlign w:val="bottom"/>
          </w:tcPr>
          <w:p w:rsidR="00F7128E" w:rsidRPr="00C003FA" w:rsidRDefault="00F7128E" w:rsidP="00F7128E">
            <w:pPr>
              <w:tabs>
                <w:tab w:val="decimal" w:pos="256"/>
              </w:tabs>
              <w:jc w:val="left"/>
              <w:rPr>
                <w:sz w:val="15"/>
                <w:szCs w:val="15"/>
              </w:rPr>
            </w:pPr>
            <w:r w:rsidRPr="00C003FA">
              <w:rPr>
                <w:sz w:val="15"/>
                <w:szCs w:val="15"/>
              </w:rPr>
              <w:t>9.5%</w:t>
            </w:r>
          </w:p>
        </w:tc>
        <w:tc>
          <w:tcPr>
            <w:tcW w:w="840" w:type="dxa"/>
            <w:vAlign w:val="bottom"/>
          </w:tcPr>
          <w:p w:rsidR="00F7128E" w:rsidRPr="00C003FA" w:rsidRDefault="00F7128E" w:rsidP="00F7128E">
            <w:pPr>
              <w:tabs>
                <w:tab w:val="decimal" w:pos="496"/>
              </w:tabs>
              <w:jc w:val="left"/>
              <w:rPr>
                <w:sz w:val="15"/>
                <w:szCs w:val="15"/>
              </w:rPr>
            </w:pPr>
            <w:r w:rsidRPr="00C003FA">
              <w:rPr>
                <w:sz w:val="15"/>
                <w:szCs w:val="15"/>
              </w:rPr>
              <w:t>$3,246.6</w:t>
            </w:r>
          </w:p>
        </w:tc>
        <w:tc>
          <w:tcPr>
            <w:tcW w:w="839" w:type="dxa"/>
            <w:vAlign w:val="bottom"/>
          </w:tcPr>
          <w:p w:rsidR="00F7128E" w:rsidRPr="00C003FA" w:rsidRDefault="00F7128E" w:rsidP="00F7128E">
            <w:pPr>
              <w:tabs>
                <w:tab w:val="decimal" w:pos="286"/>
              </w:tabs>
              <w:jc w:val="left"/>
              <w:rPr>
                <w:sz w:val="15"/>
                <w:szCs w:val="15"/>
              </w:rPr>
            </w:pPr>
            <w:r w:rsidRPr="00C003FA">
              <w:rPr>
                <w:sz w:val="15"/>
                <w:szCs w:val="15"/>
              </w:rPr>
              <w:t>4.9%</w:t>
            </w:r>
          </w:p>
        </w:tc>
        <w:tc>
          <w:tcPr>
            <w:tcW w:w="840" w:type="dxa"/>
            <w:vAlign w:val="bottom"/>
          </w:tcPr>
          <w:p w:rsidR="00F7128E" w:rsidRPr="00C003FA" w:rsidRDefault="00F7128E" w:rsidP="00F7128E">
            <w:pPr>
              <w:tabs>
                <w:tab w:val="decimal" w:pos="526"/>
              </w:tabs>
              <w:jc w:val="left"/>
              <w:rPr>
                <w:sz w:val="15"/>
                <w:szCs w:val="15"/>
              </w:rPr>
            </w:pPr>
            <w:r w:rsidRPr="00C003FA">
              <w:rPr>
                <w:sz w:val="15"/>
                <w:szCs w:val="15"/>
              </w:rPr>
              <w:t>$3,196.0</w:t>
            </w:r>
          </w:p>
        </w:tc>
        <w:tc>
          <w:tcPr>
            <w:tcW w:w="842" w:type="dxa"/>
            <w:tcBorders>
              <w:right w:val="single" w:sz="4" w:space="0" w:color="auto"/>
            </w:tcBorders>
            <w:vAlign w:val="bottom"/>
          </w:tcPr>
          <w:p w:rsidR="00F7128E" w:rsidRPr="00C003FA" w:rsidRDefault="00F7128E" w:rsidP="00F7128E">
            <w:pPr>
              <w:tabs>
                <w:tab w:val="decimal" w:pos="316"/>
              </w:tabs>
              <w:jc w:val="left"/>
              <w:rPr>
                <w:sz w:val="15"/>
                <w:szCs w:val="15"/>
              </w:rPr>
            </w:pPr>
            <w:r w:rsidRPr="00C003FA">
              <w:rPr>
                <w:sz w:val="15"/>
                <w:szCs w:val="15"/>
              </w:rPr>
              <w:t>4.7%</w:t>
            </w:r>
          </w:p>
        </w:tc>
        <w:tc>
          <w:tcPr>
            <w:tcW w:w="840" w:type="dxa"/>
            <w:tcBorders>
              <w:left w:val="single" w:sz="4" w:space="0" w:color="auto"/>
            </w:tcBorders>
          </w:tcPr>
          <w:p w:rsidR="00F7128E" w:rsidRPr="00C003FA" w:rsidRDefault="00F7128E" w:rsidP="00F7128E">
            <w:pPr>
              <w:tabs>
                <w:tab w:val="decimal" w:pos="526"/>
              </w:tabs>
              <w:jc w:val="left"/>
              <w:rPr>
                <w:sz w:val="15"/>
                <w:szCs w:val="15"/>
              </w:rPr>
            </w:pPr>
            <w:r w:rsidRPr="00C003FA">
              <w:rPr>
                <w:sz w:val="15"/>
                <w:szCs w:val="15"/>
              </w:rPr>
              <w:t>$3,404.2</w:t>
            </w:r>
          </w:p>
        </w:tc>
        <w:tc>
          <w:tcPr>
            <w:tcW w:w="840" w:type="dxa"/>
          </w:tcPr>
          <w:p w:rsidR="00F7128E" w:rsidRPr="00C003FA" w:rsidRDefault="00F7128E" w:rsidP="00F7128E">
            <w:pPr>
              <w:tabs>
                <w:tab w:val="decimal" w:pos="324"/>
              </w:tabs>
              <w:jc w:val="left"/>
              <w:rPr>
                <w:sz w:val="15"/>
                <w:szCs w:val="15"/>
              </w:rPr>
            </w:pPr>
            <w:r w:rsidRPr="00C003FA">
              <w:rPr>
                <w:sz w:val="15"/>
                <w:szCs w:val="15"/>
              </w:rPr>
              <w:t>6.5%</w:t>
            </w:r>
          </w:p>
        </w:tc>
        <w:tc>
          <w:tcPr>
            <w:tcW w:w="840" w:type="dxa"/>
          </w:tcPr>
          <w:p w:rsidR="00F7128E" w:rsidRPr="00C003FA" w:rsidRDefault="00D06746" w:rsidP="00F7128E">
            <w:pPr>
              <w:tabs>
                <w:tab w:val="decimal" w:pos="526"/>
              </w:tabs>
              <w:jc w:val="left"/>
              <w:rPr>
                <w:sz w:val="15"/>
                <w:szCs w:val="15"/>
              </w:rPr>
            </w:pPr>
            <w:r>
              <w:rPr>
                <w:sz w:val="15"/>
                <w:szCs w:val="15"/>
              </w:rPr>
              <w:t>$3,562.9</w:t>
            </w:r>
          </w:p>
        </w:tc>
        <w:tc>
          <w:tcPr>
            <w:tcW w:w="842" w:type="dxa"/>
          </w:tcPr>
          <w:p w:rsidR="00F7128E" w:rsidRPr="00C003FA" w:rsidRDefault="00D06746" w:rsidP="00F7128E">
            <w:pPr>
              <w:tabs>
                <w:tab w:val="decimal" w:pos="324"/>
              </w:tabs>
              <w:jc w:val="left"/>
              <w:rPr>
                <w:sz w:val="15"/>
                <w:szCs w:val="15"/>
              </w:rPr>
            </w:pPr>
            <w:r>
              <w:rPr>
                <w:sz w:val="15"/>
                <w:szCs w:val="15"/>
              </w:rPr>
              <w:t>4.7%</w:t>
            </w:r>
          </w:p>
        </w:tc>
      </w:tr>
      <w:tr w:rsidR="00F7128E" w:rsidRPr="00C003FA" w:rsidTr="00804D3C">
        <w:trPr>
          <w:jc w:val="center"/>
        </w:trPr>
        <w:tc>
          <w:tcPr>
            <w:tcW w:w="2070" w:type="dxa"/>
            <w:vAlign w:val="bottom"/>
          </w:tcPr>
          <w:p w:rsidR="00F7128E" w:rsidRPr="00C003FA" w:rsidRDefault="002729D7" w:rsidP="00F7128E">
            <w:pPr>
              <w:ind w:left="162"/>
              <w:jc w:val="left"/>
              <w:rPr>
                <w:sz w:val="15"/>
                <w:szCs w:val="15"/>
              </w:rPr>
            </w:pPr>
            <w:r>
              <w:rPr>
                <w:sz w:val="15"/>
                <w:szCs w:val="15"/>
              </w:rPr>
              <w:t>Use Tax</w:t>
            </w:r>
          </w:p>
        </w:tc>
        <w:tc>
          <w:tcPr>
            <w:tcW w:w="900" w:type="dxa"/>
            <w:vAlign w:val="bottom"/>
          </w:tcPr>
          <w:p w:rsidR="00F7128E" w:rsidRPr="00C003FA" w:rsidRDefault="00F7128E" w:rsidP="00F7128E">
            <w:pPr>
              <w:tabs>
                <w:tab w:val="decimal" w:pos="466"/>
              </w:tabs>
              <w:jc w:val="left"/>
              <w:rPr>
                <w:sz w:val="15"/>
                <w:szCs w:val="15"/>
              </w:rPr>
            </w:pPr>
            <w:r w:rsidRPr="00C003FA">
              <w:rPr>
                <w:sz w:val="15"/>
                <w:szCs w:val="15"/>
              </w:rPr>
              <w:t>241.2</w:t>
            </w:r>
          </w:p>
        </w:tc>
        <w:tc>
          <w:tcPr>
            <w:tcW w:w="853" w:type="dxa"/>
            <w:vAlign w:val="bottom"/>
          </w:tcPr>
          <w:p w:rsidR="00F7128E" w:rsidRPr="00C003FA" w:rsidRDefault="00F7128E" w:rsidP="00F7128E">
            <w:pPr>
              <w:tabs>
                <w:tab w:val="decimal" w:pos="256"/>
              </w:tabs>
              <w:jc w:val="left"/>
              <w:rPr>
                <w:sz w:val="15"/>
                <w:szCs w:val="15"/>
              </w:rPr>
            </w:pPr>
            <w:r w:rsidRPr="00C003FA">
              <w:rPr>
                <w:sz w:val="15"/>
                <w:szCs w:val="15"/>
              </w:rPr>
              <w:t>(7.3)</w:t>
            </w:r>
          </w:p>
        </w:tc>
        <w:tc>
          <w:tcPr>
            <w:tcW w:w="852" w:type="dxa"/>
            <w:vAlign w:val="bottom"/>
          </w:tcPr>
          <w:p w:rsidR="00F7128E" w:rsidRPr="00C003FA" w:rsidRDefault="00F7128E" w:rsidP="00F7128E">
            <w:pPr>
              <w:tabs>
                <w:tab w:val="decimal" w:pos="525"/>
              </w:tabs>
              <w:jc w:val="left"/>
              <w:rPr>
                <w:sz w:val="15"/>
                <w:szCs w:val="15"/>
              </w:rPr>
            </w:pPr>
            <w:r w:rsidRPr="00C003FA">
              <w:rPr>
                <w:sz w:val="15"/>
                <w:szCs w:val="15"/>
              </w:rPr>
              <w:t>259.5</w:t>
            </w:r>
          </w:p>
        </w:tc>
        <w:tc>
          <w:tcPr>
            <w:tcW w:w="840" w:type="dxa"/>
            <w:vAlign w:val="bottom"/>
          </w:tcPr>
          <w:p w:rsidR="00F7128E" w:rsidRPr="00C003FA" w:rsidRDefault="00F7128E" w:rsidP="00F7128E">
            <w:pPr>
              <w:tabs>
                <w:tab w:val="decimal" w:pos="315"/>
              </w:tabs>
              <w:jc w:val="left"/>
              <w:rPr>
                <w:sz w:val="15"/>
                <w:szCs w:val="15"/>
              </w:rPr>
            </w:pPr>
            <w:r w:rsidRPr="00C003FA">
              <w:rPr>
                <w:sz w:val="15"/>
                <w:szCs w:val="15"/>
              </w:rPr>
              <w:t>7.6</w:t>
            </w:r>
          </w:p>
        </w:tc>
        <w:tc>
          <w:tcPr>
            <w:tcW w:w="840" w:type="dxa"/>
            <w:vAlign w:val="bottom"/>
          </w:tcPr>
          <w:p w:rsidR="00F7128E" w:rsidRPr="00C003FA" w:rsidRDefault="00F7128E" w:rsidP="00F7128E">
            <w:pPr>
              <w:tabs>
                <w:tab w:val="decimal" w:pos="466"/>
              </w:tabs>
              <w:jc w:val="left"/>
              <w:rPr>
                <w:sz w:val="15"/>
                <w:szCs w:val="15"/>
              </w:rPr>
            </w:pPr>
            <w:r w:rsidRPr="00C003FA">
              <w:rPr>
                <w:sz w:val="15"/>
                <w:szCs w:val="15"/>
              </w:rPr>
              <w:t>309.9</w:t>
            </w:r>
          </w:p>
        </w:tc>
        <w:tc>
          <w:tcPr>
            <w:tcW w:w="840" w:type="dxa"/>
            <w:vAlign w:val="bottom"/>
          </w:tcPr>
          <w:p w:rsidR="00F7128E" w:rsidRPr="00C003FA" w:rsidRDefault="00F7128E" w:rsidP="00F7128E">
            <w:pPr>
              <w:tabs>
                <w:tab w:val="decimal" w:pos="256"/>
              </w:tabs>
              <w:jc w:val="left"/>
              <w:rPr>
                <w:sz w:val="15"/>
                <w:szCs w:val="15"/>
              </w:rPr>
            </w:pPr>
            <w:r w:rsidRPr="00C003FA">
              <w:rPr>
                <w:sz w:val="15"/>
                <w:szCs w:val="15"/>
              </w:rPr>
              <w:t>19.4</w:t>
            </w:r>
          </w:p>
        </w:tc>
        <w:tc>
          <w:tcPr>
            <w:tcW w:w="840" w:type="dxa"/>
            <w:vAlign w:val="bottom"/>
          </w:tcPr>
          <w:p w:rsidR="00F7128E" w:rsidRPr="00C003FA" w:rsidRDefault="00F7128E" w:rsidP="00F7128E">
            <w:pPr>
              <w:tabs>
                <w:tab w:val="decimal" w:pos="496"/>
              </w:tabs>
              <w:jc w:val="left"/>
              <w:rPr>
                <w:sz w:val="15"/>
                <w:szCs w:val="15"/>
              </w:rPr>
            </w:pPr>
            <w:r w:rsidRPr="00C003FA">
              <w:rPr>
                <w:sz w:val="15"/>
                <w:szCs w:val="15"/>
              </w:rPr>
              <w:t>345.5</w:t>
            </w:r>
          </w:p>
        </w:tc>
        <w:tc>
          <w:tcPr>
            <w:tcW w:w="839" w:type="dxa"/>
            <w:vAlign w:val="bottom"/>
          </w:tcPr>
          <w:p w:rsidR="00F7128E" w:rsidRPr="00C003FA" w:rsidRDefault="00F7128E" w:rsidP="00F7128E">
            <w:pPr>
              <w:tabs>
                <w:tab w:val="decimal" w:pos="286"/>
              </w:tabs>
              <w:jc w:val="left"/>
              <w:rPr>
                <w:sz w:val="15"/>
                <w:szCs w:val="15"/>
              </w:rPr>
            </w:pPr>
            <w:r w:rsidRPr="00C003FA">
              <w:rPr>
                <w:sz w:val="15"/>
                <w:szCs w:val="15"/>
              </w:rPr>
              <w:t>11.5</w:t>
            </w:r>
          </w:p>
        </w:tc>
        <w:tc>
          <w:tcPr>
            <w:tcW w:w="840" w:type="dxa"/>
            <w:vAlign w:val="bottom"/>
          </w:tcPr>
          <w:p w:rsidR="00F7128E" w:rsidRPr="00C003FA" w:rsidRDefault="00F7128E" w:rsidP="00F7128E">
            <w:pPr>
              <w:tabs>
                <w:tab w:val="decimal" w:pos="526"/>
              </w:tabs>
              <w:jc w:val="left"/>
              <w:rPr>
                <w:sz w:val="15"/>
                <w:szCs w:val="15"/>
              </w:rPr>
            </w:pPr>
            <w:r w:rsidRPr="00C003FA">
              <w:rPr>
                <w:sz w:val="15"/>
                <w:szCs w:val="15"/>
              </w:rPr>
              <w:t>210.5</w:t>
            </w:r>
          </w:p>
        </w:tc>
        <w:tc>
          <w:tcPr>
            <w:tcW w:w="842" w:type="dxa"/>
            <w:tcBorders>
              <w:right w:val="single" w:sz="4" w:space="0" w:color="auto"/>
            </w:tcBorders>
            <w:vAlign w:val="bottom"/>
          </w:tcPr>
          <w:p w:rsidR="00F7128E" w:rsidRPr="00C003FA" w:rsidRDefault="00F7128E" w:rsidP="00F7128E">
            <w:pPr>
              <w:tabs>
                <w:tab w:val="decimal" w:pos="316"/>
              </w:tabs>
              <w:jc w:val="left"/>
              <w:rPr>
                <w:sz w:val="15"/>
                <w:szCs w:val="15"/>
              </w:rPr>
            </w:pPr>
            <w:r w:rsidRPr="00C003FA">
              <w:rPr>
                <w:sz w:val="15"/>
                <w:szCs w:val="15"/>
              </w:rPr>
              <w:t>(39.1)</w:t>
            </w:r>
            <w:r w:rsidRPr="005C081D">
              <w:rPr>
                <w:sz w:val="15"/>
                <w:szCs w:val="15"/>
                <w:vertAlign w:val="superscript"/>
              </w:rPr>
              <w:t>2</w:t>
            </w:r>
          </w:p>
        </w:tc>
        <w:tc>
          <w:tcPr>
            <w:tcW w:w="840" w:type="dxa"/>
            <w:tcBorders>
              <w:left w:val="single" w:sz="4" w:space="0" w:color="auto"/>
            </w:tcBorders>
          </w:tcPr>
          <w:p w:rsidR="00F7128E" w:rsidRPr="00C003FA" w:rsidRDefault="00F7128E" w:rsidP="00F7128E">
            <w:pPr>
              <w:tabs>
                <w:tab w:val="decimal" w:pos="526"/>
              </w:tabs>
              <w:jc w:val="left"/>
              <w:rPr>
                <w:sz w:val="15"/>
                <w:szCs w:val="15"/>
              </w:rPr>
            </w:pPr>
            <w:r w:rsidRPr="00C003FA">
              <w:rPr>
                <w:sz w:val="15"/>
                <w:szCs w:val="15"/>
              </w:rPr>
              <w:t>191.7</w:t>
            </w:r>
          </w:p>
        </w:tc>
        <w:tc>
          <w:tcPr>
            <w:tcW w:w="840" w:type="dxa"/>
          </w:tcPr>
          <w:p w:rsidR="00F7128E" w:rsidRPr="00C003FA" w:rsidRDefault="00F7128E" w:rsidP="00F7128E">
            <w:pPr>
              <w:tabs>
                <w:tab w:val="decimal" w:pos="324"/>
              </w:tabs>
              <w:jc w:val="left"/>
              <w:rPr>
                <w:sz w:val="15"/>
                <w:szCs w:val="15"/>
              </w:rPr>
            </w:pPr>
            <w:r w:rsidRPr="00C003FA">
              <w:rPr>
                <w:sz w:val="15"/>
                <w:szCs w:val="15"/>
              </w:rPr>
              <w:t>(8.9)</w:t>
            </w:r>
          </w:p>
        </w:tc>
        <w:tc>
          <w:tcPr>
            <w:tcW w:w="840" w:type="dxa"/>
          </w:tcPr>
          <w:p w:rsidR="00F7128E" w:rsidRPr="00C003FA" w:rsidRDefault="00D06746" w:rsidP="00F7128E">
            <w:pPr>
              <w:tabs>
                <w:tab w:val="decimal" w:pos="526"/>
              </w:tabs>
              <w:jc w:val="left"/>
              <w:rPr>
                <w:sz w:val="15"/>
                <w:szCs w:val="15"/>
              </w:rPr>
            </w:pPr>
            <w:r>
              <w:rPr>
                <w:sz w:val="15"/>
                <w:szCs w:val="15"/>
              </w:rPr>
              <w:t>186.5</w:t>
            </w:r>
          </w:p>
        </w:tc>
        <w:tc>
          <w:tcPr>
            <w:tcW w:w="842" w:type="dxa"/>
          </w:tcPr>
          <w:p w:rsidR="00F7128E" w:rsidRPr="00C003FA" w:rsidRDefault="00D06746" w:rsidP="00F7128E">
            <w:pPr>
              <w:tabs>
                <w:tab w:val="decimal" w:pos="324"/>
              </w:tabs>
              <w:jc w:val="left"/>
              <w:rPr>
                <w:sz w:val="15"/>
                <w:szCs w:val="15"/>
              </w:rPr>
            </w:pPr>
            <w:r>
              <w:rPr>
                <w:sz w:val="15"/>
                <w:szCs w:val="15"/>
              </w:rPr>
              <w:t>(2.7)</w:t>
            </w:r>
          </w:p>
        </w:tc>
      </w:tr>
      <w:tr w:rsidR="00F7128E" w:rsidRPr="00C003FA" w:rsidTr="00804D3C">
        <w:trPr>
          <w:jc w:val="center"/>
        </w:trPr>
        <w:tc>
          <w:tcPr>
            <w:tcW w:w="2070" w:type="dxa"/>
            <w:vAlign w:val="bottom"/>
          </w:tcPr>
          <w:p w:rsidR="00F7128E" w:rsidRPr="00C003FA" w:rsidRDefault="00F7128E" w:rsidP="00F7128E">
            <w:pPr>
              <w:ind w:left="162"/>
              <w:jc w:val="left"/>
              <w:rPr>
                <w:sz w:val="15"/>
                <w:szCs w:val="15"/>
              </w:rPr>
            </w:pPr>
            <w:r w:rsidRPr="00C003FA">
              <w:rPr>
                <w:sz w:val="15"/>
                <w:szCs w:val="15"/>
              </w:rPr>
              <w:t>Retail Marijuana Sales –</w:t>
            </w:r>
          </w:p>
          <w:p w:rsidR="00F7128E" w:rsidRPr="00C003FA" w:rsidRDefault="00F7128E" w:rsidP="00F7128E">
            <w:pPr>
              <w:ind w:left="162"/>
              <w:jc w:val="left"/>
              <w:rPr>
                <w:sz w:val="15"/>
                <w:szCs w:val="15"/>
              </w:rPr>
            </w:pPr>
            <w:r w:rsidRPr="00C003FA">
              <w:rPr>
                <w:sz w:val="15"/>
                <w:szCs w:val="15"/>
              </w:rPr>
              <w:t xml:space="preserve">    Special Sales Tax</w:t>
            </w:r>
            <w:r w:rsidRPr="00C003FA">
              <w:rPr>
                <w:sz w:val="15"/>
                <w:szCs w:val="15"/>
                <w:vertAlign w:val="superscript"/>
              </w:rPr>
              <w:t>1</w:t>
            </w:r>
          </w:p>
        </w:tc>
        <w:tc>
          <w:tcPr>
            <w:tcW w:w="900" w:type="dxa"/>
            <w:vAlign w:val="bottom"/>
          </w:tcPr>
          <w:p w:rsidR="00F7128E" w:rsidRPr="00C003FA" w:rsidRDefault="00F7128E" w:rsidP="00F7128E">
            <w:pPr>
              <w:tabs>
                <w:tab w:val="decimal" w:pos="569"/>
              </w:tabs>
              <w:jc w:val="left"/>
              <w:rPr>
                <w:sz w:val="15"/>
                <w:szCs w:val="15"/>
              </w:rPr>
            </w:pPr>
            <w:r w:rsidRPr="00C003FA">
              <w:rPr>
                <w:sz w:val="15"/>
                <w:szCs w:val="15"/>
              </w:rPr>
              <w:t>–</w:t>
            </w:r>
          </w:p>
        </w:tc>
        <w:tc>
          <w:tcPr>
            <w:tcW w:w="853" w:type="dxa"/>
            <w:vAlign w:val="bottom"/>
          </w:tcPr>
          <w:p w:rsidR="00F7128E" w:rsidRPr="00C003FA" w:rsidRDefault="00F7128E" w:rsidP="00F7128E">
            <w:pPr>
              <w:tabs>
                <w:tab w:val="decimal" w:pos="351"/>
              </w:tabs>
              <w:jc w:val="left"/>
              <w:rPr>
                <w:sz w:val="15"/>
                <w:szCs w:val="15"/>
              </w:rPr>
            </w:pPr>
            <w:r w:rsidRPr="00C003FA">
              <w:rPr>
                <w:sz w:val="15"/>
                <w:szCs w:val="15"/>
              </w:rPr>
              <w:t>–</w:t>
            </w:r>
          </w:p>
        </w:tc>
        <w:tc>
          <w:tcPr>
            <w:tcW w:w="852" w:type="dxa"/>
            <w:vAlign w:val="bottom"/>
          </w:tcPr>
          <w:p w:rsidR="00F7128E" w:rsidRPr="00C003FA" w:rsidRDefault="00F7128E" w:rsidP="00F7128E">
            <w:pPr>
              <w:tabs>
                <w:tab w:val="decimal" w:pos="591"/>
              </w:tabs>
              <w:jc w:val="left"/>
              <w:rPr>
                <w:sz w:val="15"/>
                <w:szCs w:val="15"/>
              </w:rPr>
            </w:pPr>
            <w:r w:rsidRPr="00C003FA">
              <w:rPr>
                <w:sz w:val="15"/>
                <w:szCs w:val="15"/>
              </w:rPr>
              <w:t>–</w:t>
            </w:r>
          </w:p>
        </w:tc>
        <w:tc>
          <w:tcPr>
            <w:tcW w:w="840" w:type="dxa"/>
            <w:vAlign w:val="bottom"/>
          </w:tcPr>
          <w:p w:rsidR="00F7128E" w:rsidRPr="00C003FA" w:rsidRDefault="00F7128E" w:rsidP="00F7128E">
            <w:pPr>
              <w:tabs>
                <w:tab w:val="decimal" w:pos="406"/>
              </w:tabs>
              <w:jc w:val="left"/>
              <w:rPr>
                <w:sz w:val="15"/>
                <w:szCs w:val="15"/>
              </w:rPr>
            </w:pPr>
            <w:r w:rsidRPr="00C003FA">
              <w:rPr>
                <w:sz w:val="15"/>
                <w:szCs w:val="15"/>
              </w:rPr>
              <w:t>–</w:t>
            </w:r>
          </w:p>
        </w:tc>
        <w:tc>
          <w:tcPr>
            <w:tcW w:w="840" w:type="dxa"/>
            <w:vAlign w:val="bottom"/>
          </w:tcPr>
          <w:p w:rsidR="00F7128E" w:rsidRPr="00C003FA" w:rsidRDefault="00F7128E" w:rsidP="00F7128E">
            <w:pPr>
              <w:tabs>
                <w:tab w:val="decimal" w:pos="614"/>
              </w:tabs>
              <w:jc w:val="left"/>
              <w:rPr>
                <w:sz w:val="15"/>
                <w:szCs w:val="15"/>
              </w:rPr>
            </w:pPr>
            <w:r w:rsidRPr="00C003FA">
              <w:rPr>
                <w:sz w:val="15"/>
                <w:szCs w:val="15"/>
              </w:rPr>
              <w:t>–</w:t>
            </w:r>
            <w:r>
              <w:rPr>
                <w:sz w:val="15"/>
                <w:szCs w:val="15"/>
                <w:vertAlign w:val="superscript"/>
              </w:rPr>
              <w:t>3</w:t>
            </w:r>
          </w:p>
        </w:tc>
        <w:tc>
          <w:tcPr>
            <w:tcW w:w="840" w:type="dxa"/>
            <w:vAlign w:val="bottom"/>
          </w:tcPr>
          <w:p w:rsidR="00F7128E" w:rsidRPr="00C003FA" w:rsidRDefault="00F7128E" w:rsidP="00F7128E">
            <w:pPr>
              <w:tabs>
                <w:tab w:val="decimal" w:pos="405"/>
              </w:tabs>
              <w:jc w:val="left"/>
              <w:rPr>
                <w:sz w:val="15"/>
                <w:szCs w:val="15"/>
              </w:rPr>
            </w:pPr>
            <w:r w:rsidRPr="00C003FA">
              <w:rPr>
                <w:sz w:val="15"/>
                <w:szCs w:val="15"/>
              </w:rPr>
              <w:t>–</w:t>
            </w:r>
            <w:r>
              <w:rPr>
                <w:sz w:val="15"/>
                <w:szCs w:val="15"/>
                <w:vertAlign w:val="superscript"/>
              </w:rPr>
              <w:t>3</w:t>
            </w:r>
          </w:p>
        </w:tc>
        <w:tc>
          <w:tcPr>
            <w:tcW w:w="840" w:type="dxa"/>
            <w:vAlign w:val="bottom"/>
          </w:tcPr>
          <w:p w:rsidR="00F7128E" w:rsidRPr="00C003FA" w:rsidRDefault="00F7128E" w:rsidP="00F7128E">
            <w:pPr>
              <w:tabs>
                <w:tab w:val="decimal" w:pos="618"/>
              </w:tabs>
              <w:jc w:val="left"/>
              <w:rPr>
                <w:sz w:val="15"/>
                <w:szCs w:val="15"/>
              </w:rPr>
            </w:pPr>
            <w:r w:rsidRPr="00C003FA">
              <w:rPr>
                <w:sz w:val="15"/>
                <w:szCs w:val="15"/>
              </w:rPr>
              <w:t>–</w:t>
            </w:r>
            <w:r>
              <w:rPr>
                <w:sz w:val="15"/>
                <w:szCs w:val="15"/>
                <w:vertAlign w:val="superscript"/>
              </w:rPr>
              <w:t>3</w:t>
            </w:r>
          </w:p>
        </w:tc>
        <w:tc>
          <w:tcPr>
            <w:tcW w:w="839" w:type="dxa"/>
            <w:vAlign w:val="bottom"/>
          </w:tcPr>
          <w:p w:rsidR="00F7128E" w:rsidRPr="00C003FA" w:rsidRDefault="00F7128E" w:rsidP="00F7128E">
            <w:pPr>
              <w:tabs>
                <w:tab w:val="decimal" w:pos="436"/>
              </w:tabs>
              <w:jc w:val="left"/>
              <w:rPr>
                <w:sz w:val="15"/>
                <w:szCs w:val="15"/>
              </w:rPr>
            </w:pPr>
            <w:r w:rsidRPr="00C003FA">
              <w:rPr>
                <w:sz w:val="15"/>
                <w:szCs w:val="15"/>
              </w:rPr>
              <w:t>–</w:t>
            </w:r>
            <w:r>
              <w:rPr>
                <w:sz w:val="15"/>
                <w:szCs w:val="15"/>
                <w:vertAlign w:val="superscript"/>
              </w:rPr>
              <w:t>3</w:t>
            </w:r>
          </w:p>
        </w:tc>
        <w:tc>
          <w:tcPr>
            <w:tcW w:w="840" w:type="dxa"/>
            <w:vAlign w:val="bottom"/>
          </w:tcPr>
          <w:p w:rsidR="00F7128E" w:rsidRPr="00C003FA" w:rsidRDefault="00F7128E" w:rsidP="00F7128E">
            <w:pPr>
              <w:tabs>
                <w:tab w:val="decimal" w:pos="526"/>
              </w:tabs>
              <w:jc w:val="left"/>
              <w:rPr>
                <w:sz w:val="15"/>
                <w:szCs w:val="15"/>
              </w:rPr>
            </w:pPr>
            <w:r w:rsidRPr="00C003FA">
              <w:rPr>
                <w:sz w:val="15"/>
                <w:szCs w:val="15"/>
              </w:rPr>
              <w:t>245.5</w:t>
            </w:r>
          </w:p>
        </w:tc>
        <w:tc>
          <w:tcPr>
            <w:tcW w:w="842" w:type="dxa"/>
            <w:tcBorders>
              <w:right w:val="single" w:sz="4" w:space="0" w:color="auto"/>
            </w:tcBorders>
            <w:vAlign w:val="bottom"/>
          </w:tcPr>
          <w:p w:rsidR="00F7128E" w:rsidRPr="00C003FA" w:rsidRDefault="00F7128E" w:rsidP="00F7128E">
            <w:pPr>
              <w:tabs>
                <w:tab w:val="decimal" w:pos="316"/>
              </w:tabs>
              <w:jc w:val="left"/>
              <w:rPr>
                <w:sz w:val="15"/>
                <w:szCs w:val="15"/>
              </w:rPr>
            </w:pPr>
            <w:r w:rsidRPr="00C003FA">
              <w:rPr>
                <w:sz w:val="15"/>
                <w:szCs w:val="15"/>
              </w:rPr>
              <w:t>27.4</w:t>
            </w:r>
          </w:p>
        </w:tc>
        <w:tc>
          <w:tcPr>
            <w:tcW w:w="840" w:type="dxa"/>
            <w:tcBorders>
              <w:left w:val="single" w:sz="4" w:space="0" w:color="auto"/>
            </w:tcBorders>
          </w:tcPr>
          <w:p w:rsidR="00F7128E" w:rsidRPr="00C003FA" w:rsidRDefault="00F7128E" w:rsidP="00F7128E">
            <w:pPr>
              <w:tabs>
                <w:tab w:val="decimal" w:pos="526"/>
              </w:tabs>
              <w:jc w:val="left"/>
              <w:rPr>
                <w:sz w:val="15"/>
                <w:szCs w:val="15"/>
              </w:rPr>
            </w:pPr>
            <w:r w:rsidRPr="00C003FA">
              <w:rPr>
                <w:sz w:val="15"/>
                <w:szCs w:val="15"/>
              </w:rPr>
              <w:br/>
              <w:t>265.1</w:t>
            </w:r>
          </w:p>
        </w:tc>
        <w:tc>
          <w:tcPr>
            <w:tcW w:w="840" w:type="dxa"/>
          </w:tcPr>
          <w:p w:rsidR="00F7128E" w:rsidRPr="00C003FA" w:rsidRDefault="00F7128E" w:rsidP="00F7128E">
            <w:pPr>
              <w:tabs>
                <w:tab w:val="decimal" w:pos="324"/>
              </w:tabs>
              <w:jc w:val="left"/>
              <w:rPr>
                <w:sz w:val="15"/>
                <w:szCs w:val="15"/>
              </w:rPr>
            </w:pPr>
            <w:r w:rsidRPr="00C003FA">
              <w:rPr>
                <w:sz w:val="15"/>
                <w:szCs w:val="15"/>
              </w:rPr>
              <w:br/>
              <w:t>8.0</w:t>
            </w:r>
          </w:p>
        </w:tc>
        <w:tc>
          <w:tcPr>
            <w:tcW w:w="840" w:type="dxa"/>
          </w:tcPr>
          <w:p w:rsidR="00F7128E" w:rsidRPr="00C003FA" w:rsidRDefault="00D06746" w:rsidP="00F7128E">
            <w:pPr>
              <w:tabs>
                <w:tab w:val="decimal" w:pos="526"/>
              </w:tabs>
              <w:jc w:val="left"/>
              <w:rPr>
                <w:sz w:val="15"/>
                <w:szCs w:val="15"/>
              </w:rPr>
            </w:pPr>
            <w:r>
              <w:rPr>
                <w:sz w:val="15"/>
                <w:szCs w:val="15"/>
              </w:rPr>
              <w:br/>
              <w:t>286.3</w:t>
            </w:r>
          </w:p>
        </w:tc>
        <w:tc>
          <w:tcPr>
            <w:tcW w:w="842" w:type="dxa"/>
          </w:tcPr>
          <w:p w:rsidR="00F7128E" w:rsidRPr="00C003FA" w:rsidRDefault="00D06746" w:rsidP="00F7128E">
            <w:pPr>
              <w:tabs>
                <w:tab w:val="decimal" w:pos="324"/>
              </w:tabs>
              <w:jc w:val="left"/>
              <w:rPr>
                <w:sz w:val="15"/>
                <w:szCs w:val="15"/>
              </w:rPr>
            </w:pPr>
            <w:r>
              <w:rPr>
                <w:sz w:val="15"/>
                <w:szCs w:val="15"/>
              </w:rPr>
              <w:br/>
              <w:t>8.0</w:t>
            </w:r>
          </w:p>
        </w:tc>
      </w:tr>
      <w:tr w:rsidR="00F7128E" w:rsidRPr="00C003FA" w:rsidTr="00804D3C">
        <w:trPr>
          <w:jc w:val="center"/>
        </w:trPr>
        <w:tc>
          <w:tcPr>
            <w:tcW w:w="2070" w:type="dxa"/>
            <w:vAlign w:val="bottom"/>
          </w:tcPr>
          <w:p w:rsidR="00F7128E" w:rsidRPr="00C003FA" w:rsidRDefault="00F7128E" w:rsidP="00F7128E">
            <w:pPr>
              <w:ind w:left="162"/>
              <w:jc w:val="left"/>
              <w:rPr>
                <w:sz w:val="15"/>
                <w:szCs w:val="15"/>
              </w:rPr>
            </w:pPr>
            <w:r w:rsidRPr="00C003FA">
              <w:rPr>
                <w:sz w:val="15"/>
                <w:szCs w:val="15"/>
              </w:rPr>
              <w:t>Cigarette Tax</w:t>
            </w:r>
          </w:p>
        </w:tc>
        <w:tc>
          <w:tcPr>
            <w:tcW w:w="900" w:type="dxa"/>
            <w:vAlign w:val="bottom"/>
          </w:tcPr>
          <w:p w:rsidR="00F7128E" w:rsidRPr="00C003FA" w:rsidRDefault="00F7128E" w:rsidP="00F7128E">
            <w:pPr>
              <w:tabs>
                <w:tab w:val="decimal" w:pos="466"/>
              </w:tabs>
              <w:jc w:val="left"/>
              <w:rPr>
                <w:sz w:val="15"/>
                <w:szCs w:val="15"/>
              </w:rPr>
            </w:pPr>
            <w:r w:rsidRPr="00C003FA">
              <w:rPr>
                <w:sz w:val="15"/>
                <w:szCs w:val="15"/>
              </w:rPr>
              <w:t>37.2</w:t>
            </w:r>
          </w:p>
        </w:tc>
        <w:tc>
          <w:tcPr>
            <w:tcW w:w="853" w:type="dxa"/>
            <w:vAlign w:val="bottom"/>
          </w:tcPr>
          <w:p w:rsidR="00F7128E" w:rsidRPr="00C003FA" w:rsidRDefault="00F7128E" w:rsidP="00F7128E">
            <w:pPr>
              <w:tabs>
                <w:tab w:val="decimal" w:pos="256"/>
              </w:tabs>
              <w:jc w:val="left"/>
              <w:rPr>
                <w:sz w:val="15"/>
                <w:szCs w:val="15"/>
              </w:rPr>
            </w:pPr>
            <w:r w:rsidRPr="00C003FA">
              <w:rPr>
                <w:sz w:val="15"/>
                <w:szCs w:val="15"/>
              </w:rPr>
              <w:t>(1.8)</w:t>
            </w:r>
          </w:p>
        </w:tc>
        <w:tc>
          <w:tcPr>
            <w:tcW w:w="852" w:type="dxa"/>
            <w:vAlign w:val="bottom"/>
          </w:tcPr>
          <w:p w:rsidR="00F7128E" w:rsidRPr="00C003FA" w:rsidRDefault="00F7128E" w:rsidP="00F7128E">
            <w:pPr>
              <w:tabs>
                <w:tab w:val="decimal" w:pos="525"/>
              </w:tabs>
              <w:jc w:val="left"/>
              <w:rPr>
                <w:sz w:val="15"/>
                <w:szCs w:val="15"/>
              </w:rPr>
            </w:pPr>
            <w:r w:rsidRPr="00C003FA">
              <w:rPr>
                <w:sz w:val="15"/>
                <w:szCs w:val="15"/>
              </w:rPr>
              <w:t>36.6</w:t>
            </w:r>
          </w:p>
        </w:tc>
        <w:tc>
          <w:tcPr>
            <w:tcW w:w="840" w:type="dxa"/>
            <w:vAlign w:val="bottom"/>
          </w:tcPr>
          <w:p w:rsidR="00F7128E" w:rsidRPr="00C003FA" w:rsidRDefault="00F7128E" w:rsidP="00F7128E">
            <w:pPr>
              <w:tabs>
                <w:tab w:val="decimal" w:pos="315"/>
              </w:tabs>
              <w:jc w:val="left"/>
              <w:rPr>
                <w:sz w:val="15"/>
                <w:szCs w:val="15"/>
              </w:rPr>
            </w:pPr>
            <w:r w:rsidRPr="00C003FA">
              <w:rPr>
                <w:sz w:val="15"/>
                <w:szCs w:val="15"/>
              </w:rPr>
              <w:t>(1.7)</w:t>
            </w:r>
          </w:p>
        </w:tc>
        <w:tc>
          <w:tcPr>
            <w:tcW w:w="840" w:type="dxa"/>
            <w:vAlign w:val="bottom"/>
          </w:tcPr>
          <w:p w:rsidR="00F7128E" w:rsidRPr="00C003FA" w:rsidRDefault="00F7128E" w:rsidP="00F7128E">
            <w:pPr>
              <w:tabs>
                <w:tab w:val="decimal" w:pos="466"/>
              </w:tabs>
              <w:jc w:val="left"/>
              <w:rPr>
                <w:sz w:val="15"/>
                <w:szCs w:val="15"/>
              </w:rPr>
            </w:pPr>
            <w:r w:rsidRPr="00C003FA">
              <w:rPr>
                <w:sz w:val="15"/>
                <w:szCs w:val="15"/>
              </w:rPr>
              <w:t>34.6</w:t>
            </w:r>
          </w:p>
        </w:tc>
        <w:tc>
          <w:tcPr>
            <w:tcW w:w="840" w:type="dxa"/>
            <w:vAlign w:val="bottom"/>
          </w:tcPr>
          <w:p w:rsidR="00F7128E" w:rsidRPr="00C003FA" w:rsidRDefault="00F7128E" w:rsidP="00F7128E">
            <w:pPr>
              <w:tabs>
                <w:tab w:val="decimal" w:pos="256"/>
              </w:tabs>
              <w:jc w:val="left"/>
              <w:rPr>
                <w:sz w:val="15"/>
                <w:szCs w:val="15"/>
              </w:rPr>
            </w:pPr>
            <w:r w:rsidRPr="00C003FA">
              <w:rPr>
                <w:sz w:val="15"/>
                <w:szCs w:val="15"/>
              </w:rPr>
              <w:t>(5.5)</w:t>
            </w:r>
          </w:p>
        </w:tc>
        <w:tc>
          <w:tcPr>
            <w:tcW w:w="840" w:type="dxa"/>
            <w:vAlign w:val="bottom"/>
          </w:tcPr>
          <w:p w:rsidR="00F7128E" w:rsidRPr="00C003FA" w:rsidRDefault="00F7128E" w:rsidP="00F7128E">
            <w:pPr>
              <w:tabs>
                <w:tab w:val="decimal" w:pos="496"/>
              </w:tabs>
              <w:jc w:val="left"/>
              <w:rPr>
                <w:sz w:val="15"/>
                <w:szCs w:val="15"/>
              </w:rPr>
            </w:pPr>
            <w:r w:rsidRPr="00C003FA">
              <w:rPr>
                <w:sz w:val="15"/>
                <w:szCs w:val="15"/>
              </w:rPr>
              <w:t>32.6</w:t>
            </w:r>
          </w:p>
        </w:tc>
        <w:tc>
          <w:tcPr>
            <w:tcW w:w="839" w:type="dxa"/>
            <w:vAlign w:val="bottom"/>
          </w:tcPr>
          <w:p w:rsidR="00F7128E" w:rsidRPr="00C003FA" w:rsidRDefault="00F7128E" w:rsidP="00F7128E">
            <w:pPr>
              <w:tabs>
                <w:tab w:val="decimal" w:pos="286"/>
              </w:tabs>
              <w:jc w:val="left"/>
              <w:rPr>
                <w:sz w:val="15"/>
                <w:szCs w:val="15"/>
              </w:rPr>
            </w:pPr>
            <w:r w:rsidRPr="00C003FA">
              <w:rPr>
                <w:sz w:val="15"/>
                <w:szCs w:val="15"/>
              </w:rPr>
              <w:t>(5.8)</w:t>
            </w:r>
          </w:p>
        </w:tc>
        <w:tc>
          <w:tcPr>
            <w:tcW w:w="840" w:type="dxa"/>
            <w:vAlign w:val="bottom"/>
          </w:tcPr>
          <w:p w:rsidR="00F7128E" w:rsidRPr="00C003FA" w:rsidRDefault="00F7128E" w:rsidP="00F7128E">
            <w:pPr>
              <w:tabs>
                <w:tab w:val="decimal" w:pos="526"/>
              </w:tabs>
              <w:jc w:val="left"/>
              <w:rPr>
                <w:sz w:val="15"/>
                <w:szCs w:val="15"/>
              </w:rPr>
            </w:pPr>
            <w:r w:rsidRPr="00C003FA">
              <w:rPr>
                <w:sz w:val="15"/>
                <w:szCs w:val="15"/>
              </w:rPr>
              <w:t>32.5</w:t>
            </w:r>
          </w:p>
        </w:tc>
        <w:tc>
          <w:tcPr>
            <w:tcW w:w="842" w:type="dxa"/>
            <w:tcBorders>
              <w:right w:val="single" w:sz="4" w:space="0" w:color="auto"/>
            </w:tcBorders>
            <w:vAlign w:val="bottom"/>
          </w:tcPr>
          <w:p w:rsidR="00F7128E" w:rsidRPr="00C003FA" w:rsidRDefault="00F7128E" w:rsidP="00F7128E">
            <w:pPr>
              <w:tabs>
                <w:tab w:val="decimal" w:pos="316"/>
              </w:tabs>
              <w:jc w:val="left"/>
              <w:rPr>
                <w:sz w:val="15"/>
                <w:szCs w:val="15"/>
              </w:rPr>
            </w:pPr>
            <w:r w:rsidRPr="00C003FA">
              <w:rPr>
                <w:sz w:val="15"/>
                <w:szCs w:val="15"/>
              </w:rPr>
              <w:t>(0.1)</w:t>
            </w:r>
          </w:p>
        </w:tc>
        <w:tc>
          <w:tcPr>
            <w:tcW w:w="840" w:type="dxa"/>
            <w:tcBorders>
              <w:left w:val="single" w:sz="4" w:space="0" w:color="auto"/>
            </w:tcBorders>
          </w:tcPr>
          <w:p w:rsidR="00F7128E" w:rsidRPr="00C003FA" w:rsidRDefault="00F7128E" w:rsidP="00F7128E">
            <w:pPr>
              <w:tabs>
                <w:tab w:val="decimal" w:pos="526"/>
              </w:tabs>
              <w:jc w:val="left"/>
              <w:rPr>
                <w:sz w:val="15"/>
                <w:szCs w:val="15"/>
              </w:rPr>
            </w:pPr>
            <w:r w:rsidRPr="00C003FA">
              <w:rPr>
                <w:sz w:val="15"/>
                <w:szCs w:val="15"/>
              </w:rPr>
              <w:t>31.8</w:t>
            </w:r>
          </w:p>
        </w:tc>
        <w:tc>
          <w:tcPr>
            <w:tcW w:w="840" w:type="dxa"/>
          </w:tcPr>
          <w:p w:rsidR="00F7128E" w:rsidRPr="00C003FA" w:rsidRDefault="00F7128E" w:rsidP="00F7128E">
            <w:pPr>
              <w:tabs>
                <w:tab w:val="decimal" w:pos="324"/>
              </w:tabs>
              <w:jc w:val="left"/>
              <w:rPr>
                <w:sz w:val="15"/>
                <w:szCs w:val="15"/>
              </w:rPr>
            </w:pPr>
            <w:r w:rsidRPr="00C003FA">
              <w:rPr>
                <w:sz w:val="15"/>
                <w:szCs w:val="15"/>
              </w:rPr>
              <w:t>(2.4)</w:t>
            </w:r>
          </w:p>
        </w:tc>
        <w:tc>
          <w:tcPr>
            <w:tcW w:w="840" w:type="dxa"/>
          </w:tcPr>
          <w:p w:rsidR="00F7128E" w:rsidRPr="00C003FA" w:rsidRDefault="00D06746" w:rsidP="00F7128E">
            <w:pPr>
              <w:tabs>
                <w:tab w:val="decimal" w:pos="526"/>
              </w:tabs>
              <w:jc w:val="left"/>
              <w:rPr>
                <w:sz w:val="15"/>
                <w:szCs w:val="15"/>
              </w:rPr>
            </w:pPr>
            <w:r>
              <w:rPr>
                <w:sz w:val="15"/>
                <w:szCs w:val="15"/>
              </w:rPr>
              <w:t>30.9</w:t>
            </w:r>
          </w:p>
        </w:tc>
        <w:tc>
          <w:tcPr>
            <w:tcW w:w="842" w:type="dxa"/>
          </w:tcPr>
          <w:p w:rsidR="00F7128E" w:rsidRPr="00C003FA" w:rsidRDefault="00D06746" w:rsidP="00F7128E">
            <w:pPr>
              <w:tabs>
                <w:tab w:val="decimal" w:pos="324"/>
              </w:tabs>
              <w:jc w:val="left"/>
              <w:rPr>
                <w:sz w:val="15"/>
                <w:szCs w:val="15"/>
              </w:rPr>
            </w:pPr>
            <w:r>
              <w:rPr>
                <w:sz w:val="15"/>
                <w:szCs w:val="15"/>
              </w:rPr>
              <w:t>(2.8)</w:t>
            </w:r>
          </w:p>
        </w:tc>
      </w:tr>
      <w:tr w:rsidR="00F7128E" w:rsidRPr="00C003FA" w:rsidTr="00804D3C">
        <w:trPr>
          <w:jc w:val="center"/>
        </w:trPr>
        <w:tc>
          <w:tcPr>
            <w:tcW w:w="2070" w:type="dxa"/>
            <w:vAlign w:val="bottom"/>
          </w:tcPr>
          <w:p w:rsidR="00F7128E" w:rsidRPr="00C003FA" w:rsidRDefault="00F7128E" w:rsidP="00F7128E">
            <w:pPr>
              <w:ind w:left="162"/>
              <w:jc w:val="left"/>
              <w:rPr>
                <w:sz w:val="15"/>
                <w:szCs w:val="15"/>
              </w:rPr>
            </w:pPr>
            <w:r w:rsidRPr="00C003FA">
              <w:rPr>
                <w:sz w:val="15"/>
                <w:szCs w:val="15"/>
              </w:rPr>
              <w:t>Tobacco Products</w:t>
            </w:r>
          </w:p>
        </w:tc>
        <w:tc>
          <w:tcPr>
            <w:tcW w:w="900" w:type="dxa"/>
            <w:vAlign w:val="bottom"/>
          </w:tcPr>
          <w:p w:rsidR="00F7128E" w:rsidRPr="00C003FA" w:rsidRDefault="00F7128E" w:rsidP="00F7128E">
            <w:pPr>
              <w:tabs>
                <w:tab w:val="decimal" w:pos="466"/>
              </w:tabs>
              <w:jc w:val="left"/>
              <w:rPr>
                <w:sz w:val="15"/>
                <w:szCs w:val="15"/>
              </w:rPr>
            </w:pPr>
            <w:r w:rsidRPr="00C003FA">
              <w:rPr>
                <w:sz w:val="15"/>
                <w:szCs w:val="15"/>
              </w:rPr>
              <w:t>21.1</w:t>
            </w:r>
          </w:p>
        </w:tc>
        <w:tc>
          <w:tcPr>
            <w:tcW w:w="853" w:type="dxa"/>
            <w:vAlign w:val="bottom"/>
          </w:tcPr>
          <w:p w:rsidR="00F7128E" w:rsidRPr="00C003FA" w:rsidRDefault="00F7128E" w:rsidP="00F7128E">
            <w:pPr>
              <w:tabs>
                <w:tab w:val="decimal" w:pos="256"/>
              </w:tabs>
              <w:jc w:val="left"/>
              <w:rPr>
                <w:sz w:val="15"/>
                <w:szCs w:val="15"/>
              </w:rPr>
            </w:pPr>
            <w:r w:rsidRPr="00C003FA">
              <w:rPr>
                <w:sz w:val="15"/>
                <w:szCs w:val="15"/>
              </w:rPr>
              <w:t>18.5</w:t>
            </w:r>
          </w:p>
        </w:tc>
        <w:tc>
          <w:tcPr>
            <w:tcW w:w="852" w:type="dxa"/>
            <w:vAlign w:val="bottom"/>
          </w:tcPr>
          <w:p w:rsidR="00F7128E" w:rsidRPr="00C003FA" w:rsidRDefault="00F7128E" w:rsidP="00F7128E">
            <w:pPr>
              <w:tabs>
                <w:tab w:val="decimal" w:pos="525"/>
              </w:tabs>
              <w:jc w:val="left"/>
              <w:rPr>
                <w:sz w:val="15"/>
                <w:szCs w:val="15"/>
              </w:rPr>
            </w:pPr>
            <w:r w:rsidRPr="00C003FA">
              <w:rPr>
                <w:sz w:val="15"/>
                <w:szCs w:val="15"/>
              </w:rPr>
              <w:t>21.2</w:t>
            </w:r>
          </w:p>
        </w:tc>
        <w:tc>
          <w:tcPr>
            <w:tcW w:w="840" w:type="dxa"/>
            <w:vAlign w:val="bottom"/>
          </w:tcPr>
          <w:p w:rsidR="00F7128E" w:rsidRPr="00C003FA" w:rsidRDefault="00F7128E" w:rsidP="00F7128E">
            <w:pPr>
              <w:tabs>
                <w:tab w:val="decimal" w:pos="315"/>
              </w:tabs>
              <w:jc w:val="left"/>
              <w:rPr>
                <w:sz w:val="15"/>
                <w:szCs w:val="15"/>
              </w:rPr>
            </w:pPr>
            <w:r w:rsidRPr="00C003FA">
              <w:rPr>
                <w:sz w:val="15"/>
                <w:szCs w:val="15"/>
              </w:rPr>
              <w:t>0.6</w:t>
            </w:r>
          </w:p>
        </w:tc>
        <w:tc>
          <w:tcPr>
            <w:tcW w:w="840" w:type="dxa"/>
            <w:vAlign w:val="bottom"/>
          </w:tcPr>
          <w:p w:rsidR="00F7128E" w:rsidRPr="00C003FA" w:rsidRDefault="00F7128E" w:rsidP="00F7128E">
            <w:pPr>
              <w:tabs>
                <w:tab w:val="decimal" w:pos="466"/>
              </w:tabs>
              <w:jc w:val="left"/>
              <w:rPr>
                <w:sz w:val="15"/>
                <w:szCs w:val="15"/>
              </w:rPr>
            </w:pPr>
            <w:r w:rsidRPr="00C003FA">
              <w:rPr>
                <w:sz w:val="15"/>
                <w:szCs w:val="15"/>
              </w:rPr>
              <w:t>16.4</w:t>
            </w:r>
          </w:p>
        </w:tc>
        <w:tc>
          <w:tcPr>
            <w:tcW w:w="840" w:type="dxa"/>
            <w:vAlign w:val="bottom"/>
          </w:tcPr>
          <w:p w:rsidR="00F7128E" w:rsidRPr="00C003FA" w:rsidRDefault="00F7128E" w:rsidP="00F7128E">
            <w:pPr>
              <w:tabs>
                <w:tab w:val="decimal" w:pos="256"/>
              </w:tabs>
              <w:jc w:val="left"/>
              <w:rPr>
                <w:sz w:val="15"/>
                <w:szCs w:val="15"/>
              </w:rPr>
            </w:pPr>
            <w:r w:rsidRPr="00C003FA">
              <w:rPr>
                <w:sz w:val="15"/>
                <w:szCs w:val="15"/>
              </w:rPr>
              <w:t>(22.7)</w:t>
            </w:r>
          </w:p>
        </w:tc>
        <w:tc>
          <w:tcPr>
            <w:tcW w:w="840" w:type="dxa"/>
            <w:vAlign w:val="bottom"/>
          </w:tcPr>
          <w:p w:rsidR="00F7128E" w:rsidRPr="00C003FA" w:rsidRDefault="00F7128E" w:rsidP="00F7128E">
            <w:pPr>
              <w:tabs>
                <w:tab w:val="decimal" w:pos="496"/>
              </w:tabs>
              <w:jc w:val="left"/>
              <w:rPr>
                <w:sz w:val="15"/>
                <w:szCs w:val="15"/>
              </w:rPr>
            </w:pPr>
            <w:r w:rsidRPr="00C003FA">
              <w:rPr>
                <w:sz w:val="15"/>
                <w:szCs w:val="15"/>
              </w:rPr>
              <w:t>22.3</w:t>
            </w:r>
          </w:p>
        </w:tc>
        <w:tc>
          <w:tcPr>
            <w:tcW w:w="839" w:type="dxa"/>
            <w:vAlign w:val="bottom"/>
          </w:tcPr>
          <w:p w:rsidR="00F7128E" w:rsidRPr="00C003FA" w:rsidRDefault="00F7128E" w:rsidP="00F7128E">
            <w:pPr>
              <w:tabs>
                <w:tab w:val="decimal" w:pos="286"/>
              </w:tabs>
              <w:jc w:val="left"/>
              <w:rPr>
                <w:sz w:val="15"/>
                <w:szCs w:val="15"/>
              </w:rPr>
            </w:pPr>
            <w:r w:rsidRPr="00C003FA">
              <w:rPr>
                <w:sz w:val="15"/>
                <w:szCs w:val="15"/>
              </w:rPr>
              <w:t>35.8</w:t>
            </w:r>
          </w:p>
        </w:tc>
        <w:tc>
          <w:tcPr>
            <w:tcW w:w="840" w:type="dxa"/>
            <w:vAlign w:val="bottom"/>
          </w:tcPr>
          <w:p w:rsidR="00F7128E" w:rsidRPr="00C003FA" w:rsidRDefault="00F7128E" w:rsidP="00F7128E">
            <w:pPr>
              <w:tabs>
                <w:tab w:val="decimal" w:pos="526"/>
              </w:tabs>
              <w:jc w:val="left"/>
              <w:rPr>
                <w:sz w:val="15"/>
                <w:szCs w:val="15"/>
              </w:rPr>
            </w:pPr>
            <w:r w:rsidRPr="00C003FA">
              <w:rPr>
                <w:sz w:val="15"/>
                <w:szCs w:val="15"/>
              </w:rPr>
              <w:t>24.4</w:t>
            </w:r>
          </w:p>
        </w:tc>
        <w:tc>
          <w:tcPr>
            <w:tcW w:w="842" w:type="dxa"/>
            <w:tcBorders>
              <w:right w:val="single" w:sz="4" w:space="0" w:color="auto"/>
            </w:tcBorders>
            <w:vAlign w:val="bottom"/>
          </w:tcPr>
          <w:p w:rsidR="00F7128E" w:rsidRPr="00C003FA" w:rsidRDefault="00F7128E" w:rsidP="00F7128E">
            <w:pPr>
              <w:tabs>
                <w:tab w:val="decimal" w:pos="316"/>
              </w:tabs>
              <w:jc w:val="left"/>
              <w:rPr>
                <w:sz w:val="15"/>
                <w:szCs w:val="15"/>
              </w:rPr>
            </w:pPr>
            <w:r w:rsidRPr="00C003FA">
              <w:rPr>
                <w:sz w:val="15"/>
                <w:szCs w:val="15"/>
              </w:rPr>
              <w:t>9.5</w:t>
            </w:r>
          </w:p>
        </w:tc>
        <w:tc>
          <w:tcPr>
            <w:tcW w:w="840" w:type="dxa"/>
            <w:tcBorders>
              <w:left w:val="single" w:sz="4" w:space="0" w:color="auto"/>
            </w:tcBorders>
          </w:tcPr>
          <w:p w:rsidR="00F7128E" w:rsidRPr="00C003FA" w:rsidRDefault="00F7128E" w:rsidP="00F7128E">
            <w:pPr>
              <w:tabs>
                <w:tab w:val="decimal" w:pos="526"/>
              </w:tabs>
              <w:jc w:val="left"/>
              <w:rPr>
                <w:sz w:val="15"/>
                <w:szCs w:val="15"/>
              </w:rPr>
            </w:pPr>
            <w:r w:rsidRPr="00C003FA">
              <w:rPr>
                <w:sz w:val="15"/>
                <w:szCs w:val="15"/>
              </w:rPr>
              <w:t>30.3</w:t>
            </w:r>
          </w:p>
        </w:tc>
        <w:tc>
          <w:tcPr>
            <w:tcW w:w="840" w:type="dxa"/>
          </w:tcPr>
          <w:p w:rsidR="00F7128E" w:rsidRPr="00C003FA" w:rsidRDefault="00F7128E" w:rsidP="00F7128E">
            <w:pPr>
              <w:tabs>
                <w:tab w:val="decimal" w:pos="324"/>
              </w:tabs>
              <w:jc w:val="left"/>
              <w:rPr>
                <w:sz w:val="15"/>
                <w:szCs w:val="15"/>
              </w:rPr>
            </w:pPr>
            <w:r w:rsidRPr="00C003FA">
              <w:rPr>
                <w:sz w:val="15"/>
                <w:szCs w:val="15"/>
              </w:rPr>
              <w:t>24.4</w:t>
            </w:r>
          </w:p>
        </w:tc>
        <w:tc>
          <w:tcPr>
            <w:tcW w:w="840" w:type="dxa"/>
          </w:tcPr>
          <w:p w:rsidR="00F7128E" w:rsidRPr="00C003FA" w:rsidRDefault="00D06746" w:rsidP="00F7128E">
            <w:pPr>
              <w:tabs>
                <w:tab w:val="decimal" w:pos="526"/>
              </w:tabs>
              <w:jc w:val="left"/>
              <w:rPr>
                <w:sz w:val="15"/>
                <w:szCs w:val="15"/>
              </w:rPr>
            </w:pPr>
            <w:r>
              <w:rPr>
                <w:sz w:val="15"/>
                <w:szCs w:val="15"/>
              </w:rPr>
              <w:t>26.2</w:t>
            </w:r>
          </w:p>
        </w:tc>
        <w:tc>
          <w:tcPr>
            <w:tcW w:w="842" w:type="dxa"/>
          </w:tcPr>
          <w:p w:rsidR="00F7128E" w:rsidRPr="00C003FA" w:rsidRDefault="00D06746" w:rsidP="00F7128E">
            <w:pPr>
              <w:tabs>
                <w:tab w:val="decimal" w:pos="324"/>
              </w:tabs>
              <w:jc w:val="left"/>
              <w:rPr>
                <w:sz w:val="15"/>
                <w:szCs w:val="15"/>
              </w:rPr>
            </w:pPr>
            <w:r>
              <w:rPr>
                <w:sz w:val="15"/>
                <w:szCs w:val="15"/>
              </w:rPr>
              <w:t>(13.5)</w:t>
            </w:r>
          </w:p>
        </w:tc>
      </w:tr>
      <w:tr w:rsidR="00F7128E" w:rsidRPr="00C003FA" w:rsidTr="00804D3C">
        <w:trPr>
          <w:jc w:val="center"/>
        </w:trPr>
        <w:tc>
          <w:tcPr>
            <w:tcW w:w="2070" w:type="dxa"/>
            <w:vAlign w:val="bottom"/>
          </w:tcPr>
          <w:p w:rsidR="00F7128E" w:rsidRPr="00C003FA" w:rsidRDefault="00F7128E" w:rsidP="00F7128E">
            <w:pPr>
              <w:ind w:left="162"/>
              <w:jc w:val="left"/>
              <w:rPr>
                <w:sz w:val="15"/>
                <w:szCs w:val="15"/>
              </w:rPr>
            </w:pPr>
            <w:r w:rsidRPr="00C003FA">
              <w:rPr>
                <w:sz w:val="15"/>
                <w:szCs w:val="15"/>
              </w:rPr>
              <w:t>Liquor Tax</w:t>
            </w:r>
          </w:p>
        </w:tc>
        <w:tc>
          <w:tcPr>
            <w:tcW w:w="900" w:type="dxa"/>
            <w:vAlign w:val="bottom"/>
          </w:tcPr>
          <w:p w:rsidR="00F7128E" w:rsidRPr="00C003FA" w:rsidRDefault="00F7128E" w:rsidP="00F7128E">
            <w:pPr>
              <w:tabs>
                <w:tab w:val="decimal" w:pos="466"/>
              </w:tabs>
              <w:jc w:val="left"/>
              <w:rPr>
                <w:sz w:val="15"/>
                <w:szCs w:val="15"/>
                <w:u w:val="single"/>
              </w:rPr>
            </w:pPr>
            <w:r w:rsidRPr="00C003FA">
              <w:rPr>
                <w:sz w:val="15"/>
                <w:szCs w:val="15"/>
                <w:u w:val="single"/>
              </w:rPr>
              <w:t xml:space="preserve">     43.6</w:t>
            </w:r>
          </w:p>
        </w:tc>
        <w:tc>
          <w:tcPr>
            <w:tcW w:w="853" w:type="dxa"/>
            <w:vAlign w:val="bottom"/>
          </w:tcPr>
          <w:p w:rsidR="00F7128E" w:rsidRPr="00C003FA" w:rsidRDefault="00F7128E" w:rsidP="00F7128E">
            <w:pPr>
              <w:tabs>
                <w:tab w:val="decimal" w:pos="256"/>
              </w:tabs>
              <w:jc w:val="left"/>
              <w:rPr>
                <w:sz w:val="15"/>
                <w:szCs w:val="15"/>
                <w:u w:val="single"/>
              </w:rPr>
            </w:pPr>
            <w:r w:rsidRPr="00C003FA">
              <w:rPr>
                <w:sz w:val="15"/>
                <w:szCs w:val="15"/>
                <w:u w:val="single"/>
              </w:rPr>
              <w:t>5.0</w:t>
            </w:r>
          </w:p>
        </w:tc>
        <w:tc>
          <w:tcPr>
            <w:tcW w:w="852" w:type="dxa"/>
            <w:vAlign w:val="bottom"/>
          </w:tcPr>
          <w:p w:rsidR="00F7128E" w:rsidRPr="00C003FA" w:rsidRDefault="00F7128E" w:rsidP="00F7128E">
            <w:pPr>
              <w:tabs>
                <w:tab w:val="decimal" w:pos="525"/>
              </w:tabs>
              <w:jc w:val="left"/>
              <w:rPr>
                <w:sz w:val="15"/>
                <w:szCs w:val="15"/>
                <w:u w:val="single"/>
              </w:rPr>
            </w:pPr>
            <w:r w:rsidRPr="00C003FA">
              <w:rPr>
                <w:sz w:val="15"/>
                <w:szCs w:val="15"/>
                <w:u w:val="single"/>
              </w:rPr>
              <w:t xml:space="preserve">     45.0</w:t>
            </w:r>
          </w:p>
        </w:tc>
        <w:tc>
          <w:tcPr>
            <w:tcW w:w="840" w:type="dxa"/>
            <w:vAlign w:val="bottom"/>
          </w:tcPr>
          <w:p w:rsidR="00F7128E" w:rsidRPr="00C003FA" w:rsidRDefault="00F7128E" w:rsidP="00F7128E">
            <w:pPr>
              <w:tabs>
                <w:tab w:val="decimal" w:pos="315"/>
              </w:tabs>
              <w:jc w:val="left"/>
              <w:rPr>
                <w:sz w:val="15"/>
                <w:szCs w:val="15"/>
                <w:u w:val="single"/>
              </w:rPr>
            </w:pPr>
            <w:r w:rsidRPr="00C003FA">
              <w:rPr>
                <w:sz w:val="15"/>
                <w:szCs w:val="15"/>
                <w:u w:val="single"/>
              </w:rPr>
              <w:t>3.0</w:t>
            </w:r>
          </w:p>
        </w:tc>
        <w:tc>
          <w:tcPr>
            <w:tcW w:w="840" w:type="dxa"/>
            <w:vAlign w:val="bottom"/>
          </w:tcPr>
          <w:p w:rsidR="00F7128E" w:rsidRPr="00C003FA" w:rsidRDefault="00F7128E" w:rsidP="00F7128E">
            <w:pPr>
              <w:tabs>
                <w:tab w:val="decimal" w:pos="466"/>
              </w:tabs>
              <w:jc w:val="left"/>
              <w:rPr>
                <w:sz w:val="15"/>
                <w:szCs w:val="15"/>
                <w:u w:val="single"/>
              </w:rPr>
            </w:pPr>
            <w:r w:rsidRPr="00C003FA">
              <w:rPr>
                <w:sz w:val="15"/>
                <w:szCs w:val="15"/>
                <w:u w:val="single"/>
              </w:rPr>
              <w:t xml:space="preserve">     46.5</w:t>
            </w:r>
          </w:p>
        </w:tc>
        <w:tc>
          <w:tcPr>
            <w:tcW w:w="840" w:type="dxa"/>
            <w:vAlign w:val="bottom"/>
          </w:tcPr>
          <w:p w:rsidR="00F7128E" w:rsidRPr="00C003FA" w:rsidRDefault="00F7128E" w:rsidP="00F7128E">
            <w:pPr>
              <w:tabs>
                <w:tab w:val="decimal" w:pos="256"/>
              </w:tabs>
              <w:jc w:val="left"/>
              <w:rPr>
                <w:sz w:val="15"/>
                <w:szCs w:val="15"/>
                <w:u w:val="single"/>
              </w:rPr>
            </w:pPr>
            <w:r w:rsidRPr="00C003FA">
              <w:rPr>
                <w:sz w:val="15"/>
                <w:szCs w:val="15"/>
                <w:u w:val="single"/>
              </w:rPr>
              <w:t>3.3</w:t>
            </w:r>
          </w:p>
        </w:tc>
        <w:tc>
          <w:tcPr>
            <w:tcW w:w="840" w:type="dxa"/>
            <w:vAlign w:val="bottom"/>
          </w:tcPr>
          <w:p w:rsidR="00F7128E" w:rsidRPr="00C003FA" w:rsidRDefault="00F7128E" w:rsidP="00F7128E">
            <w:pPr>
              <w:tabs>
                <w:tab w:val="decimal" w:pos="496"/>
              </w:tabs>
              <w:jc w:val="left"/>
              <w:rPr>
                <w:sz w:val="15"/>
                <w:szCs w:val="15"/>
                <w:u w:val="single"/>
              </w:rPr>
            </w:pPr>
            <w:r w:rsidRPr="00C003FA">
              <w:rPr>
                <w:sz w:val="15"/>
                <w:szCs w:val="15"/>
                <w:u w:val="single"/>
              </w:rPr>
              <w:t xml:space="preserve">     48.3</w:t>
            </w:r>
          </w:p>
        </w:tc>
        <w:tc>
          <w:tcPr>
            <w:tcW w:w="839" w:type="dxa"/>
            <w:vAlign w:val="bottom"/>
          </w:tcPr>
          <w:p w:rsidR="00F7128E" w:rsidRPr="00C003FA" w:rsidRDefault="00F7128E" w:rsidP="00F7128E">
            <w:pPr>
              <w:tabs>
                <w:tab w:val="decimal" w:pos="286"/>
              </w:tabs>
              <w:jc w:val="left"/>
              <w:rPr>
                <w:sz w:val="15"/>
                <w:szCs w:val="15"/>
                <w:u w:val="single"/>
              </w:rPr>
            </w:pPr>
            <w:r w:rsidRPr="00C003FA">
              <w:rPr>
                <w:sz w:val="15"/>
                <w:szCs w:val="15"/>
                <w:u w:val="single"/>
              </w:rPr>
              <w:t>3.9</w:t>
            </w:r>
          </w:p>
        </w:tc>
        <w:tc>
          <w:tcPr>
            <w:tcW w:w="840" w:type="dxa"/>
            <w:vAlign w:val="bottom"/>
          </w:tcPr>
          <w:p w:rsidR="00F7128E" w:rsidRPr="00C003FA" w:rsidRDefault="00F7128E" w:rsidP="00F7128E">
            <w:pPr>
              <w:tabs>
                <w:tab w:val="decimal" w:pos="526"/>
              </w:tabs>
              <w:jc w:val="left"/>
              <w:rPr>
                <w:sz w:val="15"/>
                <w:szCs w:val="15"/>
                <w:u w:val="single"/>
              </w:rPr>
            </w:pPr>
            <w:r w:rsidRPr="00C003FA">
              <w:rPr>
                <w:sz w:val="15"/>
                <w:szCs w:val="15"/>
                <w:u w:val="single"/>
              </w:rPr>
              <w:t xml:space="preserve">     50.1</w:t>
            </w:r>
          </w:p>
        </w:tc>
        <w:tc>
          <w:tcPr>
            <w:tcW w:w="842" w:type="dxa"/>
            <w:tcBorders>
              <w:right w:val="single" w:sz="4" w:space="0" w:color="auto"/>
            </w:tcBorders>
            <w:vAlign w:val="bottom"/>
          </w:tcPr>
          <w:p w:rsidR="00F7128E" w:rsidRPr="00C003FA" w:rsidRDefault="00F7128E" w:rsidP="00F7128E">
            <w:pPr>
              <w:tabs>
                <w:tab w:val="decimal" w:pos="316"/>
              </w:tabs>
              <w:jc w:val="left"/>
              <w:rPr>
                <w:sz w:val="15"/>
                <w:szCs w:val="15"/>
                <w:u w:val="single"/>
              </w:rPr>
            </w:pPr>
            <w:r w:rsidRPr="00C003FA">
              <w:rPr>
                <w:sz w:val="15"/>
                <w:szCs w:val="15"/>
                <w:u w:val="single"/>
              </w:rPr>
              <w:t>3.7</w:t>
            </w:r>
          </w:p>
        </w:tc>
        <w:tc>
          <w:tcPr>
            <w:tcW w:w="840" w:type="dxa"/>
            <w:tcBorders>
              <w:left w:val="single" w:sz="4" w:space="0" w:color="auto"/>
            </w:tcBorders>
          </w:tcPr>
          <w:p w:rsidR="00F7128E" w:rsidRPr="00C003FA" w:rsidRDefault="00F7128E" w:rsidP="00F7128E">
            <w:pPr>
              <w:tabs>
                <w:tab w:val="decimal" w:pos="526"/>
              </w:tabs>
              <w:jc w:val="left"/>
              <w:rPr>
                <w:sz w:val="15"/>
                <w:szCs w:val="15"/>
                <w:u w:val="single"/>
              </w:rPr>
            </w:pPr>
            <w:r w:rsidRPr="00C003FA">
              <w:rPr>
                <w:sz w:val="15"/>
                <w:szCs w:val="15"/>
                <w:u w:val="single"/>
              </w:rPr>
              <w:t xml:space="preserve">     51.7</w:t>
            </w:r>
          </w:p>
        </w:tc>
        <w:tc>
          <w:tcPr>
            <w:tcW w:w="840" w:type="dxa"/>
          </w:tcPr>
          <w:p w:rsidR="00F7128E" w:rsidRPr="00C003FA" w:rsidRDefault="00F7128E" w:rsidP="00F7128E">
            <w:pPr>
              <w:tabs>
                <w:tab w:val="decimal" w:pos="324"/>
              </w:tabs>
              <w:jc w:val="left"/>
              <w:rPr>
                <w:sz w:val="15"/>
                <w:szCs w:val="15"/>
                <w:u w:val="single"/>
              </w:rPr>
            </w:pPr>
            <w:r w:rsidRPr="00C003FA">
              <w:rPr>
                <w:sz w:val="15"/>
                <w:szCs w:val="15"/>
                <w:u w:val="single"/>
              </w:rPr>
              <w:t>3.2</w:t>
            </w:r>
          </w:p>
        </w:tc>
        <w:tc>
          <w:tcPr>
            <w:tcW w:w="840" w:type="dxa"/>
          </w:tcPr>
          <w:p w:rsidR="00F7128E" w:rsidRPr="00C003FA" w:rsidRDefault="00D06746" w:rsidP="00D06746">
            <w:pPr>
              <w:tabs>
                <w:tab w:val="decimal" w:pos="526"/>
              </w:tabs>
              <w:jc w:val="left"/>
              <w:rPr>
                <w:sz w:val="15"/>
                <w:szCs w:val="15"/>
                <w:u w:val="single"/>
              </w:rPr>
            </w:pPr>
            <w:r>
              <w:rPr>
                <w:sz w:val="15"/>
                <w:szCs w:val="15"/>
                <w:u w:val="single"/>
              </w:rPr>
              <w:t xml:space="preserve">     52.8</w:t>
            </w:r>
          </w:p>
        </w:tc>
        <w:tc>
          <w:tcPr>
            <w:tcW w:w="842" w:type="dxa"/>
          </w:tcPr>
          <w:p w:rsidR="00F7128E" w:rsidRPr="00C003FA" w:rsidRDefault="00D06746" w:rsidP="00F7128E">
            <w:pPr>
              <w:tabs>
                <w:tab w:val="decimal" w:pos="324"/>
              </w:tabs>
              <w:jc w:val="left"/>
              <w:rPr>
                <w:sz w:val="15"/>
                <w:szCs w:val="15"/>
                <w:u w:val="single"/>
              </w:rPr>
            </w:pPr>
            <w:r>
              <w:rPr>
                <w:sz w:val="15"/>
                <w:szCs w:val="15"/>
                <w:u w:val="single"/>
              </w:rPr>
              <w:t>2.2</w:t>
            </w:r>
          </w:p>
        </w:tc>
      </w:tr>
      <w:tr w:rsidR="00F7128E" w:rsidRPr="00C003FA" w:rsidTr="00804D3C">
        <w:trPr>
          <w:jc w:val="center"/>
        </w:trPr>
        <w:tc>
          <w:tcPr>
            <w:tcW w:w="2070" w:type="dxa"/>
            <w:vAlign w:val="bottom"/>
          </w:tcPr>
          <w:p w:rsidR="00F7128E" w:rsidRPr="00C003FA" w:rsidRDefault="00F7128E" w:rsidP="00F7128E">
            <w:pPr>
              <w:ind w:left="342"/>
              <w:jc w:val="left"/>
              <w:rPr>
                <w:sz w:val="15"/>
                <w:szCs w:val="15"/>
              </w:rPr>
            </w:pPr>
            <w:r w:rsidRPr="00C003FA">
              <w:rPr>
                <w:sz w:val="15"/>
                <w:szCs w:val="15"/>
              </w:rPr>
              <w:t>Total Excise Taxes</w:t>
            </w:r>
          </w:p>
        </w:tc>
        <w:tc>
          <w:tcPr>
            <w:tcW w:w="900" w:type="dxa"/>
            <w:vAlign w:val="bottom"/>
          </w:tcPr>
          <w:p w:rsidR="00F7128E" w:rsidRPr="00C003FA" w:rsidRDefault="00F7128E" w:rsidP="00F7128E">
            <w:pPr>
              <w:tabs>
                <w:tab w:val="decimal" w:pos="466"/>
              </w:tabs>
              <w:jc w:val="left"/>
              <w:rPr>
                <w:sz w:val="15"/>
                <w:szCs w:val="15"/>
              </w:rPr>
            </w:pPr>
            <w:r w:rsidRPr="00C003FA">
              <w:rPr>
                <w:sz w:val="15"/>
                <w:szCs w:val="15"/>
              </w:rPr>
              <w:t>$</w:t>
            </w:r>
            <w:r w:rsidRPr="00C003FA">
              <w:rPr>
                <w:sz w:val="15"/>
                <w:szCs w:val="15"/>
                <w:u w:val="single"/>
              </w:rPr>
              <w:t>2,995.7</w:t>
            </w:r>
          </w:p>
        </w:tc>
        <w:tc>
          <w:tcPr>
            <w:tcW w:w="853" w:type="dxa"/>
            <w:vAlign w:val="bottom"/>
          </w:tcPr>
          <w:p w:rsidR="00F7128E" w:rsidRPr="00C003FA" w:rsidRDefault="00F7128E" w:rsidP="00F7128E">
            <w:pPr>
              <w:tabs>
                <w:tab w:val="decimal" w:pos="256"/>
              </w:tabs>
              <w:jc w:val="left"/>
              <w:rPr>
                <w:sz w:val="15"/>
                <w:szCs w:val="15"/>
              </w:rPr>
            </w:pPr>
            <w:r w:rsidRPr="00C003FA">
              <w:rPr>
                <w:sz w:val="15"/>
                <w:szCs w:val="15"/>
                <w:u w:val="single"/>
              </w:rPr>
              <w:t xml:space="preserve">  0.6</w:t>
            </w:r>
            <w:r w:rsidRPr="00C003FA">
              <w:rPr>
                <w:sz w:val="15"/>
                <w:szCs w:val="15"/>
              </w:rPr>
              <w:t>%</w:t>
            </w:r>
          </w:p>
        </w:tc>
        <w:tc>
          <w:tcPr>
            <w:tcW w:w="852" w:type="dxa"/>
            <w:vAlign w:val="bottom"/>
          </w:tcPr>
          <w:p w:rsidR="00F7128E" w:rsidRPr="00C003FA" w:rsidRDefault="00F7128E" w:rsidP="00F7128E">
            <w:pPr>
              <w:tabs>
                <w:tab w:val="decimal" w:pos="525"/>
              </w:tabs>
              <w:jc w:val="left"/>
              <w:rPr>
                <w:sz w:val="15"/>
                <w:szCs w:val="15"/>
              </w:rPr>
            </w:pPr>
            <w:r w:rsidRPr="00C003FA">
              <w:rPr>
                <w:sz w:val="15"/>
                <w:szCs w:val="15"/>
              </w:rPr>
              <w:t>$</w:t>
            </w:r>
            <w:r w:rsidRPr="00C003FA">
              <w:rPr>
                <w:sz w:val="15"/>
                <w:szCs w:val="15"/>
                <w:u w:val="single"/>
              </w:rPr>
              <w:t>3,188.4</w:t>
            </w:r>
          </w:p>
        </w:tc>
        <w:tc>
          <w:tcPr>
            <w:tcW w:w="840" w:type="dxa"/>
            <w:vAlign w:val="bottom"/>
          </w:tcPr>
          <w:p w:rsidR="00F7128E" w:rsidRPr="00C003FA" w:rsidRDefault="00F7128E" w:rsidP="00F7128E">
            <w:pPr>
              <w:tabs>
                <w:tab w:val="decimal" w:pos="315"/>
              </w:tabs>
              <w:jc w:val="left"/>
              <w:rPr>
                <w:sz w:val="15"/>
                <w:szCs w:val="15"/>
              </w:rPr>
            </w:pPr>
            <w:r w:rsidRPr="00C003FA">
              <w:rPr>
                <w:sz w:val="15"/>
                <w:szCs w:val="15"/>
                <w:u w:val="double"/>
              </w:rPr>
              <w:t>6.4</w:t>
            </w:r>
            <w:r w:rsidRPr="00C003FA">
              <w:rPr>
                <w:sz w:val="15"/>
                <w:szCs w:val="15"/>
              </w:rPr>
              <w:t>%</w:t>
            </w:r>
          </w:p>
        </w:tc>
        <w:tc>
          <w:tcPr>
            <w:tcW w:w="840" w:type="dxa"/>
            <w:vAlign w:val="bottom"/>
          </w:tcPr>
          <w:p w:rsidR="00F7128E" w:rsidRPr="00C003FA" w:rsidRDefault="00F7128E" w:rsidP="00F7128E">
            <w:pPr>
              <w:tabs>
                <w:tab w:val="decimal" w:pos="466"/>
              </w:tabs>
              <w:jc w:val="left"/>
              <w:rPr>
                <w:sz w:val="15"/>
                <w:szCs w:val="15"/>
              </w:rPr>
            </w:pPr>
            <w:r w:rsidRPr="00C003FA">
              <w:rPr>
                <w:sz w:val="15"/>
                <w:szCs w:val="15"/>
              </w:rPr>
              <w:t>$</w:t>
            </w:r>
            <w:r w:rsidRPr="00C003FA">
              <w:rPr>
                <w:sz w:val="15"/>
                <w:szCs w:val="15"/>
                <w:u w:val="single"/>
              </w:rPr>
              <w:t>3,501.6</w:t>
            </w:r>
          </w:p>
        </w:tc>
        <w:tc>
          <w:tcPr>
            <w:tcW w:w="840" w:type="dxa"/>
            <w:vAlign w:val="bottom"/>
          </w:tcPr>
          <w:p w:rsidR="00F7128E" w:rsidRPr="00C003FA" w:rsidRDefault="00F7128E" w:rsidP="00F7128E">
            <w:pPr>
              <w:tabs>
                <w:tab w:val="decimal" w:pos="256"/>
              </w:tabs>
              <w:jc w:val="left"/>
              <w:rPr>
                <w:sz w:val="15"/>
                <w:szCs w:val="15"/>
              </w:rPr>
            </w:pPr>
            <w:r w:rsidRPr="00C003FA">
              <w:rPr>
                <w:sz w:val="15"/>
                <w:szCs w:val="15"/>
                <w:u w:val="single"/>
              </w:rPr>
              <w:t>9.8</w:t>
            </w:r>
            <w:r w:rsidRPr="00C003FA">
              <w:rPr>
                <w:sz w:val="15"/>
                <w:szCs w:val="15"/>
              </w:rPr>
              <w:t>%</w:t>
            </w:r>
          </w:p>
        </w:tc>
        <w:tc>
          <w:tcPr>
            <w:tcW w:w="840" w:type="dxa"/>
            <w:vAlign w:val="bottom"/>
          </w:tcPr>
          <w:p w:rsidR="00F7128E" w:rsidRPr="00C003FA" w:rsidRDefault="00F7128E" w:rsidP="00F7128E">
            <w:pPr>
              <w:tabs>
                <w:tab w:val="decimal" w:pos="496"/>
              </w:tabs>
              <w:jc w:val="left"/>
              <w:rPr>
                <w:sz w:val="15"/>
                <w:szCs w:val="15"/>
                <w:u w:val="single"/>
              </w:rPr>
            </w:pPr>
            <w:r w:rsidRPr="00C003FA">
              <w:rPr>
                <w:sz w:val="15"/>
                <w:szCs w:val="15"/>
              </w:rPr>
              <w:t>$</w:t>
            </w:r>
            <w:r w:rsidRPr="00C003FA">
              <w:rPr>
                <w:sz w:val="15"/>
                <w:szCs w:val="15"/>
                <w:u w:val="single"/>
              </w:rPr>
              <w:t>3,695.3</w:t>
            </w:r>
          </w:p>
        </w:tc>
        <w:tc>
          <w:tcPr>
            <w:tcW w:w="839" w:type="dxa"/>
            <w:vAlign w:val="bottom"/>
          </w:tcPr>
          <w:p w:rsidR="00F7128E" w:rsidRPr="00C003FA" w:rsidRDefault="00F7128E" w:rsidP="00F7128E">
            <w:pPr>
              <w:tabs>
                <w:tab w:val="decimal" w:pos="286"/>
              </w:tabs>
              <w:jc w:val="left"/>
              <w:rPr>
                <w:sz w:val="15"/>
                <w:szCs w:val="15"/>
                <w:u w:val="single"/>
              </w:rPr>
            </w:pPr>
            <w:r w:rsidRPr="00C003FA">
              <w:rPr>
                <w:sz w:val="15"/>
                <w:szCs w:val="15"/>
                <w:u w:val="single"/>
              </w:rPr>
              <w:t>5.5</w:t>
            </w:r>
            <w:r w:rsidRPr="00C003FA">
              <w:rPr>
                <w:sz w:val="15"/>
                <w:szCs w:val="15"/>
              </w:rPr>
              <w:t>%</w:t>
            </w:r>
          </w:p>
        </w:tc>
        <w:tc>
          <w:tcPr>
            <w:tcW w:w="840" w:type="dxa"/>
            <w:vAlign w:val="bottom"/>
          </w:tcPr>
          <w:p w:rsidR="00F7128E" w:rsidRPr="00C003FA" w:rsidRDefault="00F7128E" w:rsidP="00F7128E">
            <w:pPr>
              <w:tabs>
                <w:tab w:val="decimal" w:pos="526"/>
              </w:tabs>
              <w:jc w:val="left"/>
              <w:rPr>
                <w:sz w:val="15"/>
                <w:szCs w:val="15"/>
                <w:u w:val="single"/>
              </w:rPr>
            </w:pPr>
            <w:r w:rsidRPr="00C003FA">
              <w:rPr>
                <w:sz w:val="15"/>
                <w:szCs w:val="15"/>
              </w:rPr>
              <w:t>$</w:t>
            </w:r>
            <w:r w:rsidRPr="00C003FA">
              <w:rPr>
                <w:sz w:val="15"/>
                <w:szCs w:val="15"/>
                <w:u w:val="single"/>
              </w:rPr>
              <w:t>3,759.0</w:t>
            </w:r>
          </w:p>
        </w:tc>
        <w:tc>
          <w:tcPr>
            <w:tcW w:w="842" w:type="dxa"/>
            <w:tcBorders>
              <w:right w:val="single" w:sz="4" w:space="0" w:color="auto"/>
            </w:tcBorders>
            <w:vAlign w:val="bottom"/>
          </w:tcPr>
          <w:p w:rsidR="00F7128E" w:rsidRPr="00C003FA" w:rsidRDefault="00F7128E" w:rsidP="00F7128E">
            <w:pPr>
              <w:tabs>
                <w:tab w:val="decimal" w:pos="316"/>
              </w:tabs>
              <w:jc w:val="left"/>
              <w:rPr>
                <w:sz w:val="15"/>
                <w:szCs w:val="15"/>
                <w:u w:val="single"/>
              </w:rPr>
            </w:pPr>
            <w:r w:rsidRPr="00C003FA">
              <w:rPr>
                <w:sz w:val="15"/>
                <w:szCs w:val="15"/>
                <w:u w:val="single"/>
              </w:rPr>
              <w:t>1.7</w:t>
            </w:r>
            <w:r w:rsidRPr="00C003FA">
              <w:rPr>
                <w:sz w:val="15"/>
                <w:szCs w:val="15"/>
              </w:rPr>
              <w:t>%</w:t>
            </w:r>
          </w:p>
        </w:tc>
        <w:tc>
          <w:tcPr>
            <w:tcW w:w="840" w:type="dxa"/>
            <w:tcBorders>
              <w:left w:val="single" w:sz="4" w:space="0" w:color="auto"/>
            </w:tcBorders>
          </w:tcPr>
          <w:p w:rsidR="00F7128E" w:rsidRPr="00C003FA" w:rsidRDefault="00F7128E" w:rsidP="00F7128E">
            <w:pPr>
              <w:tabs>
                <w:tab w:val="decimal" w:pos="526"/>
              </w:tabs>
              <w:jc w:val="left"/>
              <w:rPr>
                <w:sz w:val="15"/>
                <w:szCs w:val="15"/>
                <w:u w:val="single"/>
              </w:rPr>
            </w:pPr>
            <w:r w:rsidRPr="00C003FA">
              <w:rPr>
                <w:sz w:val="15"/>
                <w:szCs w:val="15"/>
              </w:rPr>
              <w:t>$</w:t>
            </w:r>
            <w:r w:rsidRPr="00C003FA">
              <w:rPr>
                <w:sz w:val="15"/>
                <w:szCs w:val="15"/>
                <w:u w:val="single"/>
              </w:rPr>
              <w:t>3,974.8</w:t>
            </w:r>
          </w:p>
        </w:tc>
        <w:tc>
          <w:tcPr>
            <w:tcW w:w="840" w:type="dxa"/>
          </w:tcPr>
          <w:p w:rsidR="00F7128E" w:rsidRPr="00C003FA" w:rsidRDefault="00F7128E" w:rsidP="00F7128E">
            <w:pPr>
              <w:tabs>
                <w:tab w:val="decimal" w:pos="324"/>
              </w:tabs>
              <w:jc w:val="left"/>
              <w:rPr>
                <w:sz w:val="15"/>
                <w:szCs w:val="15"/>
                <w:u w:val="single"/>
              </w:rPr>
            </w:pPr>
            <w:r w:rsidRPr="00C003FA">
              <w:rPr>
                <w:sz w:val="15"/>
                <w:szCs w:val="15"/>
                <w:u w:val="single"/>
              </w:rPr>
              <w:t>5.7</w:t>
            </w:r>
            <w:r w:rsidRPr="00C003FA">
              <w:rPr>
                <w:sz w:val="15"/>
                <w:szCs w:val="15"/>
              </w:rPr>
              <w:t>%</w:t>
            </w:r>
          </w:p>
        </w:tc>
        <w:tc>
          <w:tcPr>
            <w:tcW w:w="840" w:type="dxa"/>
          </w:tcPr>
          <w:p w:rsidR="00F7128E" w:rsidRPr="00C003FA" w:rsidRDefault="00D06746" w:rsidP="00F7128E">
            <w:pPr>
              <w:tabs>
                <w:tab w:val="decimal" w:pos="526"/>
              </w:tabs>
              <w:jc w:val="left"/>
              <w:rPr>
                <w:sz w:val="15"/>
                <w:szCs w:val="15"/>
                <w:u w:val="single"/>
              </w:rPr>
            </w:pPr>
            <w:r w:rsidRPr="00D06746">
              <w:rPr>
                <w:sz w:val="15"/>
                <w:szCs w:val="15"/>
              </w:rPr>
              <w:t>$</w:t>
            </w:r>
            <w:r>
              <w:rPr>
                <w:sz w:val="15"/>
                <w:szCs w:val="15"/>
                <w:u w:val="single"/>
              </w:rPr>
              <w:t>4,145.7</w:t>
            </w:r>
          </w:p>
        </w:tc>
        <w:tc>
          <w:tcPr>
            <w:tcW w:w="842" w:type="dxa"/>
          </w:tcPr>
          <w:p w:rsidR="00F7128E" w:rsidRPr="00C003FA" w:rsidRDefault="00D06746" w:rsidP="00F7128E">
            <w:pPr>
              <w:tabs>
                <w:tab w:val="decimal" w:pos="324"/>
              </w:tabs>
              <w:jc w:val="left"/>
              <w:rPr>
                <w:sz w:val="15"/>
                <w:szCs w:val="15"/>
                <w:u w:val="single"/>
              </w:rPr>
            </w:pPr>
            <w:r>
              <w:rPr>
                <w:sz w:val="15"/>
                <w:szCs w:val="15"/>
                <w:u w:val="single"/>
              </w:rPr>
              <w:t>4.3</w:t>
            </w:r>
            <w:r w:rsidRPr="00D06746">
              <w:rPr>
                <w:sz w:val="15"/>
                <w:szCs w:val="15"/>
              </w:rPr>
              <w:t>%</w:t>
            </w:r>
          </w:p>
        </w:tc>
      </w:tr>
      <w:tr w:rsidR="00F7128E" w:rsidRPr="00C003FA" w:rsidTr="00804D3C">
        <w:trPr>
          <w:jc w:val="center"/>
        </w:trPr>
        <w:tc>
          <w:tcPr>
            <w:tcW w:w="2070" w:type="dxa"/>
            <w:vAlign w:val="bottom"/>
          </w:tcPr>
          <w:p w:rsidR="00F7128E" w:rsidRPr="00C003FA" w:rsidRDefault="00F7128E" w:rsidP="00F7128E">
            <w:pPr>
              <w:jc w:val="left"/>
              <w:rPr>
                <w:sz w:val="15"/>
                <w:szCs w:val="15"/>
              </w:rPr>
            </w:pPr>
          </w:p>
        </w:tc>
        <w:tc>
          <w:tcPr>
            <w:tcW w:w="900" w:type="dxa"/>
            <w:vAlign w:val="bottom"/>
          </w:tcPr>
          <w:p w:rsidR="00F7128E" w:rsidRPr="00C003FA" w:rsidRDefault="00F7128E" w:rsidP="00F7128E">
            <w:pPr>
              <w:tabs>
                <w:tab w:val="decimal" w:pos="466"/>
              </w:tabs>
              <w:jc w:val="left"/>
              <w:rPr>
                <w:sz w:val="15"/>
                <w:szCs w:val="15"/>
              </w:rPr>
            </w:pPr>
          </w:p>
        </w:tc>
        <w:tc>
          <w:tcPr>
            <w:tcW w:w="853" w:type="dxa"/>
            <w:vAlign w:val="bottom"/>
          </w:tcPr>
          <w:p w:rsidR="00F7128E" w:rsidRPr="00C003FA" w:rsidRDefault="00F7128E" w:rsidP="00F7128E">
            <w:pPr>
              <w:tabs>
                <w:tab w:val="decimal" w:pos="256"/>
              </w:tabs>
              <w:jc w:val="left"/>
              <w:rPr>
                <w:sz w:val="15"/>
                <w:szCs w:val="15"/>
                <w:u w:val="single"/>
              </w:rPr>
            </w:pPr>
          </w:p>
        </w:tc>
        <w:tc>
          <w:tcPr>
            <w:tcW w:w="852" w:type="dxa"/>
            <w:vAlign w:val="bottom"/>
          </w:tcPr>
          <w:p w:rsidR="00F7128E" w:rsidRPr="00C003FA" w:rsidRDefault="00F7128E" w:rsidP="00F7128E">
            <w:pPr>
              <w:tabs>
                <w:tab w:val="decimal" w:pos="525"/>
              </w:tabs>
              <w:jc w:val="left"/>
              <w:rPr>
                <w:sz w:val="15"/>
                <w:szCs w:val="15"/>
              </w:rPr>
            </w:pPr>
          </w:p>
        </w:tc>
        <w:tc>
          <w:tcPr>
            <w:tcW w:w="840" w:type="dxa"/>
            <w:vAlign w:val="bottom"/>
          </w:tcPr>
          <w:p w:rsidR="00F7128E" w:rsidRPr="00C003FA" w:rsidRDefault="00F7128E" w:rsidP="00F7128E">
            <w:pPr>
              <w:tabs>
                <w:tab w:val="decimal" w:pos="315"/>
              </w:tabs>
              <w:jc w:val="left"/>
              <w:rPr>
                <w:sz w:val="15"/>
                <w:szCs w:val="15"/>
                <w:u w:val="single"/>
              </w:rPr>
            </w:pPr>
          </w:p>
        </w:tc>
        <w:tc>
          <w:tcPr>
            <w:tcW w:w="840" w:type="dxa"/>
            <w:vAlign w:val="bottom"/>
          </w:tcPr>
          <w:p w:rsidR="00F7128E" w:rsidRPr="00C003FA" w:rsidRDefault="00F7128E" w:rsidP="00F7128E">
            <w:pPr>
              <w:tabs>
                <w:tab w:val="decimal" w:pos="466"/>
              </w:tabs>
              <w:jc w:val="left"/>
              <w:rPr>
                <w:sz w:val="15"/>
                <w:szCs w:val="15"/>
              </w:rPr>
            </w:pPr>
          </w:p>
        </w:tc>
        <w:tc>
          <w:tcPr>
            <w:tcW w:w="840" w:type="dxa"/>
            <w:vAlign w:val="bottom"/>
          </w:tcPr>
          <w:p w:rsidR="00F7128E" w:rsidRPr="00C003FA" w:rsidRDefault="00F7128E" w:rsidP="00F7128E">
            <w:pPr>
              <w:tabs>
                <w:tab w:val="decimal" w:pos="256"/>
              </w:tabs>
              <w:jc w:val="left"/>
              <w:rPr>
                <w:sz w:val="15"/>
                <w:szCs w:val="15"/>
                <w:u w:val="single"/>
              </w:rPr>
            </w:pPr>
          </w:p>
        </w:tc>
        <w:tc>
          <w:tcPr>
            <w:tcW w:w="840" w:type="dxa"/>
            <w:vAlign w:val="bottom"/>
          </w:tcPr>
          <w:p w:rsidR="00F7128E" w:rsidRPr="00C003FA" w:rsidRDefault="00F7128E" w:rsidP="00F7128E">
            <w:pPr>
              <w:tabs>
                <w:tab w:val="decimal" w:pos="496"/>
              </w:tabs>
              <w:jc w:val="left"/>
              <w:rPr>
                <w:sz w:val="15"/>
                <w:szCs w:val="15"/>
              </w:rPr>
            </w:pPr>
          </w:p>
        </w:tc>
        <w:tc>
          <w:tcPr>
            <w:tcW w:w="839" w:type="dxa"/>
            <w:vAlign w:val="bottom"/>
          </w:tcPr>
          <w:p w:rsidR="00F7128E" w:rsidRPr="00C003FA" w:rsidRDefault="00F7128E" w:rsidP="00F7128E">
            <w:pPr>
              <w:tabs>
                <w:tab w:val="decimal" w:pos="286"/>
              </w:tabs>
              <w:jc w:val="left"/>
              <w:rPr>
                <w:sz w:val="15"/>
                <w:szCs w:val="15"/>
                <w:u w:val="single"/>
              </w:rPr>
            </w:pPr>
          </w:p>
        </w:tc>
        <w:tc>
          <w:tcPr>
            <w:tcW w:w="840" w:type="dxa"/>
            <w:vAlign w:val="bottom"/>
          </w:tcPr>
          <w:p w:rsidR="00F7128E" w:rsidRPr="00C003FA" w:rsidRDefault="00F7128E" w:rsidP="00F7128E">
            <w:pPr>
              <w:tabs>
                <w:tab w:val="decimal" w:pos="526"/>
              </w:tabs>
              <w:jc w:val="left"/>
              <w:rPr>
                <w:sz w:val="15"/>
                <w:szCs w:val="15"/>
              </w:rPr>
            </w:pPr>
          </w:p>
        </w:tc>
        <w:tc>
          <w:tcPr>
            <w:tcW w:w="842" w:type="dxa"/>
            <w:tcBorders>
              <w:right w:val="single" w:sz="4" w:space="0" w:color="auto"/>
            </w:tcBorders>
            <w:vAlign w:val="bottom"/>
          </w:tcPr>
          <w:p w:rsidR="00F7128E" w:rsidRPr="00C003FA" w:rsidRDefault="00F7128E" w:rsidP="00F7128E">
            <w:pPr>
              <w:tabs>
                <w:tab w:val="decimal" w:pos="316"/>
              </w:tabs>
              <w:jc w:val="left"/>
              <w:rPr>
                <w:sz w:val="15"/>
                <w:szCs w:val="15"/>
                <w:u w:val="single"/>
              </w:rPr>
            </w:pPr>
          </w:p>
        </w:tc>
        <w:tc>
          <w:tcPr>
            <w:tcW w:w="840" w:type="dxa"/>
            <w:tcBorders>
              <w:left w:val="single" w:sz="4" w:space="0" w:color="auto"/>
            </w:tcBorders>
          </w:tcPr>
          <w:p w:rsidR="00F7128E" w:rsidRPr="00C003FA" w:rsidRDefault="00F7128E" w:rsidP="00F7128E">
            <w:pPr>
              <w:tabs>
                <w:tab w:val="decimal" w:pos="526"/>
              </w:tabs>
              <w:jc w:val="left"/>
              <w:rPr>
                <w:sz w:val="15"/>
                <w:szCs w:val="15"/>
              </w:rPr>
            </w:pPr>
          </w:p>
        </w:tc>
        <w:tc>
          <w:tcPr>
            <w:tcW w:w="840" w:type="dxa"/>
          </w:tcPr>
          <w:p w:rsidR="00F7128E" w:rsidRPr="00C003FA" w:rsidRDefault="00F7128E" w:rsidP="00F7128E">
            <w:pPr>
              <w:tabs>
                <w:tab w:val="decimal" w:pos="324"/>
              </w:tabs>
              <w:jc w:val="left"/>
              <w:rPr>
                <w:sz w:val="15"/>
                <w:szCs w:val="15"/>
              </w:rPr>
            </w:pPr>
          </w:p>
        </w:tc>
        <w:tc>
          <w:tcPr>
            <w:tcW w:w="840" w:type="dxa"/>
          </w:tcPr>
          <w:p w:rsidR="00F7128E" w:rsidRPr="00C003FA" w:rsidRDefault="00F7128E" w:rsidP="00F7128E">
            <w:pPr>
              <w:tabs>
                <w:tab w:val="decimal" w:pos="526"/>
              </w:tabs>
              <w:jc w:val="left"/>
              <w:rPr>
                <w:sz w:val="15"/>
                <w:szCs w:val="15"/>
              </w:rPr>
            </w:pPr>
          </w:p>
        </w:tc>
        <w:tc>
          <w:tcPr>
            <w:tcW w:w="842" w:type="dxa"/>
          </w:tcPr>
          <w:p w:rsidR="00F7128E" w:rsidRPr="00C003FA" w:rsidRDefault="00F7128E" w:rsidP="00F7128E">
            <w:pPr>
              <w:tabs>
                <w:tab w:val="decimal" w:pos="324"/>
              </w:tabs>
              <w:jc w:val="left"/>
              <w:rPr>
                <w:sz w:val="15"/>
                <w:szCs w:val="15"/>
              </w:rPr>
            </w:pPr>
          </w:p>
        </w:tc>
      </w:tr>
      <w:tr w:rsidR="00F7128E" w:rsidRPr="00C003FA" w:rsidTr="00804D3C">
        <w:trPr>
          <w:jc w:val="center"/>
        </w:trPr>
        <w:tc>
          <w:tcPr>
            <w:tcW w:w="2070" w:type="dxa"/>
            <w:vAlign w:val="bottom"/>
          </w:tcPr>
          <w:p w:rsidR="00F7128E" w:rsidRPr="00C003FA" w:rsidRDefault="00F7128E" w:rsidP="00F7128E">
            <w:pPr>
              <w:jc w:val="left"/>
              <w:rPr>
                <w:sz w:val="15"/>
                <w:szCs w:val="15"/>
              </w:rPr>
            </w:pPr>
            <w:r w:rsidRPr="00C003FA">
              <w:rPr>
                <w:sz w:val="15"/>
                <w:szCs w:val="15"/>
              </w:rPr>
              <w:t>Income Taxes:</w:t>
            </w:r>
          </w:p>
        </w:tc>
        <w:tc>
          <w:tcPr>
            <w:tcW w:w="900" w:type="dxa"/>
            <w:vAlign w:val="bottom"/>
          </w:tcPr>
          <w:p w:rsidR="00F7128E" w:rsidRPr="00C003FA" w:rsidRDefault="00F7128E" w:rsidP="00F7128E">
            <w:pPr>
              <w:tabs>
                <w:tab w:val="decimal" w:pos="466"/>
              </w:tabs>
              <w:jc w:val="left"/>
              <w:rPr>
                <w:sz w:val="15"/>
                <w:szCs w:val="15"/>
              </w:rPr>
            </w:pPr>
          </w:p>
        </w:tc>
        <w:tc>
          <w:tcPr>
            <w:tcW w:w="853" w:type="dxa"/>
            <w:vAlign w:val="bottom"/>
          </w:tcPr>
          <w:p w:rsidR="00F7128E" w:rsidRPr="00C003FA" w:rsidRDefault="00F7128E" w:rsidP="00F7128E">
            <w:pPr>
              <w:tabs>
                <w:tab w:val="decimal" w:pos="256"/>
              </w:tabs>
              <w:jc w:val="left"/>
              <w:rPr>
                <w:sz w:val="15"/>
                <w:szCs w:val="15"/>
                <w:u w:val="single"/>
              </w:rPr>
            </w:pPr>
          </w:p>
        </w:tc>
        <w:tc>
          <w:tcPr>
            <w:tcW w:w="852" w:type="dxa"/>
            <w:vAlign w:val="bottom"/>
          </w:tcPr>
          <w:p w:rsidR="00F7128E" w:rsidRPr="00C003FA" w:rsidRDefault="00F7128E" w:rsidP="00F7128E">
            <w:pPr>
              <w:tabs>
                <w:tab w:val="decimal" w:pos="525"/>
              </w:tabs>
              <w:jc w:val="left"/>
              <w:rPr>
                <w:sz w:val="15"/>
                <w:szCs w:val="15"/>
              </w:rPr>
            </w:pPr>
          </w:p>
        </w:tc>
        <w:tc>
          <w:tcPr>
            <w:tcW w:w="840" w:type="dxa"/>
            <w:vAlign w:val="bottom"/>
          </w:tcPr>
          <w:p w:rsidR="00F7128E" w:rsidRPr="00C003FA" w:rsidRDefault="00F7128E" w:rsidP="00F7128E">
            <w:pPr>
              <w:tabs>
                <w:tab w:val="decimal" w:pos="315"/>
              </w:tabs>
              <w:jc w:val="left"/>
              <w:rPr>
                <w:sz w:val="15"/>
                <w:szCs w:val="15"/>
                <w:u w:val="single"/>
              </w:rPr>
            </w:pPr>
          </w:p>
        </w:tc>
        <w:tc>
          <w:tcPr>
            <w:tcW w:w="840" w:type="dxa"/>
            <w:vAlign w:val="bottom"/>
          </w:tcPr>
          <w:p w:rsidR="00F7128E" w:rsidRPr="00C003FA" w:rsidRDefault="00F7128E" w:rsidP="00F7128E">
            <w:pPr>
              <w:tabs>
                <w:tab w:val="decimal" w:pos="466"/>
              </w:tabs>
              <w:jc w:val="left"/>
              <w:rPr>
                <w:sz w:val="15"/>
                <w:szCs w:val="15"/>
              </w:rPr>
            </w:pPr>
          </w:p>
        </w:tc>
        <w:tc>
          <w:tcPr>
            <w:tcW w:w="840" w:type="dxa"/>
            <w:vAlign w:val="bottom"/>
          </w:tcPr>
          <w:p w:rsidR="00F7128E" w:rsidRPr="00C003FA" w:rsidRDefault="00F7128E" w:rsidP="00F7128E">
            <w:pPr>
              <w:tabs>
                <w:tab w:val="decimal" w:pos="256"/>
              </w:tabs>
              <w:jc w:val="left"/>
              <w:rPr>
                <w:sz w:val="15"/>
                <w:szCs w:val="15"/>
                <w:u w:val="single"/>
              </w:rPr>
            </w:pPr>
          </w:p>
        </w:tc>
        <w:tc>
          <w:tcPr>
            <w:tcW w:w="840" w:type="dxa"/>
            <w:vAlign w:val="bottom"/>
          </w:tcPr>
          <w:p w:rsidR="00F7128E" w:rsidRPr="00C003FA" w:rsidRDefault="00F7128E" w:rsidP="00F7128E">
            <w:pPr>
              <w:tabs>
                <w:tab w:val="decimal" w:pos="496"/>
              </w:tabs>
              <w:jc w:val="left"/>
              <w:rPr>
                <w:sz w:val="15"/>
                <w:szCs w:val="15"/>
              </w:rPr>
            </w:pPr>
          </w:p>
        </w:tc>
        <w:tc>
          <w:tcPr>
            <w:tcW w:w="839" w:type="dxa"/>
            <w:vAlign w:val="bottom"/>
          </w:tcPr>
          <w:p w:rsidR="00F7128E" w:rsidRPr="00C003FA" w:rsidRDefault="00F7128E" w:rsidP="00F7128E">
            <w:pPr>
              <w:tabs>
                <w:tab w:val="decimal" w:pos="286"/>
              </w:tabs>
              <w:jc w:val="left"/>
              <w:rPr>
                <w:sz w:val="15"/>
                <w:szCs w:val="15"/>
                <w:u w:val="single"/>
              </w:rPr>
            </w:pPr>
          </w:p>
        </w:tc>
        <w:tc>
          <w:tcPr>
            <w:tcW w:w="840" w:type="dxa"/>
            <w:vAlign w:val="bottom"/>
          </w:tcPr>
          <w:p w:rsidR="00F7128E" w:rsidRPr="00C003FA" w:rsidRDefault="00F7128E" w:rsidP="00F7128E">
            <w:pPr>
              <w:tabs>
                <w:tab w:val="decimal" w:pos="526"/>
              </w:tabs>
              <w:jc w:val="left"/>
              <w:rPr>
                <w:sz w:val="15"/>
                <w:szCs w:val="15"/>
              </w:rPr>
            </w:pPr>
          </w:p>
        </w:tc>
        <w:tc>
          <w:tcPr>
            <w:tcW w:w="842" w:type="dxa"/>
            <w:tcBorders>
              <w:right w:val="single" w:sz="4" w:space="0" w:color="auto"/>
            </w:tcBorders>
            <w:vAlign w:val="bottom"/>
          </w:tcPr>
          <w:p w:rsidR="00F7128E" w:rsidRPr="00C003FA" w:rsidRDefault="00F7128E" w:rsidP="00F7128E">
            <w:pPr>
              <w:tabs>
                <w:tab w:val="decimal" w:pos="316"/>
              </w:tabs>
              <w:jc w:val="left"/>
              <w:rPr>
                <w:sz w:val="15"/>
                <w:szCs w:val="15"/>
                <w:u w:val="single"/>
              </w:rPr>
            </w:pPr>
          </w:p>
        </w:tc>
        <w:tc>
          <w:tcPr>
            <w:tcW w:w="840" w:type="dxa"/>
            <w:tcBorders>
              <w:left w:val="single" w:sz="4" w:space="0" w:color="auto"/>
            </w:tcBorders>
          </w:tcPr>
          <w:p w:rsidR="00F7128E" w:rsidRPr="00C003FA" w:rsidRDefault="00F7128E" w:rsidP="00F7128E">
            <w:pPr>
              <w:tabs>
                <w:tab w:val="decimal" w:pos="526"/>
              </w:tabs>
              <w:jc w:val="left"/>
              <w:rPr>
                <w:sz w:val="15"/>
                <w:szCs w:val="15"/>
              </w:rPr>
            </w:pPr>
          </w:p>
        </w:tc>
        <w:tc>
          <w:tcPr>
            <w:tcW w:w="840" w:type="dxa"/>
          </w:tcPr>
          <w:p w:rsidR="00F7128E" w:rsidRPr="00C003FA" w:rsidRDefault="00F7128E" w:rsidP="00F7128E">
            <w:pPr>
              <w:tabs>
                <w:tab w:val="decimal" w:pos="324"/>
              </w:tabs>
              <w:jc w:val="left"/>
              <w:rPr>
                <w:sz w:val="15"/>
                <w:szCs w:val="15"/>
              </w:rPr>
            </w:pPr>
          </w:p>
        </w:tc>
        <w:tc>
          <w:tcPr>
            <w:tcW w:w="840" w:type="dxa"/>
          </w:tcPr>
          <w:p w:rsidR="00F7128E" w:rsidRPr="00C003FA" w:rsidRDefault="00F7128E" w:rsidP="00F7128E">
            <w:pPr>
              <w:tabs>
                <w:tab w:val="decimal" w:pos="526"/>
              </w:tabs>
              <w:jc w:val="left"/>
              <w:rPr>
                <w:sz w:val="15"/>
                <w:szCs w:val="15"/>
              </w:rPr>
            </w:pPr>
          </w:p>
        </w:tc>
        <w:tc>
          <w:tcPr>
            <w:tcW w:w="842" w:type="dxa"/>
          </w:tcPr>
          <w:p w:rsidR="00F7128E" w:rsidRPr="00C003FA" w:rsidRDefault="00F7128E" w:rsidP="00F7128E">
            <w:pPr>
              <w:tabs>
                <w:tab w:val="decimal" w:pos="324"/>
              </w:tabs>
              <w:jc w:val="left"/>
              <w:rPr>
                <w:sz w:val="15"/>
                <w:szCs w:val="15"/>
              </w:rPr>
            </w:pPr>
          </w:p>
        </w:tc>
      </w:tr>
      <w:tr w:rsidR="00F7128E" w:rsidRPr="00C003FA" w:rsidTr="00804D3C">
        <w:trPr>
          <w:jc w:val="center"/>
        </w:trPr>
        <w:tc>
          <w:tcPr>
            <w:tcW w:w="2070" w:type="dxa"/>
            <w:vAlign w:val="bottom"/>
          </w:tcPr>
          <w:p w:rsidR="00F7128E" w:rsidRPr="00C003FA" w:rsidRDefault="00F7128E" w:rsidP="00F7128E">
            <w:pPr>
              <w:ind w:left="252" w:hanging="90"/>
              <w:jc w:val="left"/>
              <w:rPr>
                <w:sz w:val="15"/>
                <w:szCs w:val="15"/>
              </w:rPr>
            </w:pPr>
            <w:r w:rsidRPr="00C003FA">
              <w:rPr>
                <w:sz w:val="15"/>
                <w:szCs w:val="15"/>
              </w:rPr>
              <w:t>Net Individual Income Tax</w:t>
            </w:r>
          </w:p>
        </w:tc>
        <w:tc>
          <w:tcPr>
            <w:tcW w:w="900" w:type="dxa"/>
            <w:vAlign w:val="bottom"/>
          </w:tcPr>
          <w:p w:rsidR="00F7128E" w:rsidRPr="00C003FA" w:rsidRDefault="00F7128E" w:rsidP="00F7128E">
            <w:pPr>
              <w:tabs>
                <w:tab w:val="decimal" w:pos="466"/>
              </w:tabs>
              <w:jc w:val="left"/>
              <w:rPr>
                <w:sz w:val="15"/>
                <w:szCs w:val="15"/>
              </w:rPr>
            </w:pPr>
            <w:r w:rsidRPr="00C003FA">
              <w:rPr>
                <w:sz w:val="15"/>
                <w:szCs w:val="15"/>
              </w:rPr>
              <w:t>$6,526.5</w:t>
            </w:r>
          </w:p>
        </w:tc>
        <w:tc>
          <w:tcPr>
            <w:tcW w:w="853" w:type="dxa"/>
            <w:vAlign w:val="bottom"/>
          </w:tcPr>
          <w:p w:rsidR="00F7128E" w:rsidRPr="00C003FA" w:rsidRDefault="00F7128E" w:rsidP="00F7128E">
            <w:pPr>
              <w:tabs>
                <w:tab w:val="decimal" w:pos="256"/>
              </w:tabs>
              <w:jc w:val="left"/>
              <w:rPr>
                <w:sz w:val="15"/>
                <w:szCs w:val="15"/>
              </w:rPr>
            </w:pPr>
            <w:r w:rsidRPr="00C003FA">
              <w:rPr>
                <w:sz w:val="15"/>
                <w:szCs w:val="15"/>
              </w:rPr>
              <w:t>2.8%</w:t>
            </w:r>
          </w:p>
        </w:tc>
        <w:tc>
          <w:tcPr>
            <w:tcW w:w="852" w:type="dxa"/>
            <w:vAlign w:val="bottom"/>
          </w:tcPr>
          <w:p w:rsidR="00F7128E" w:rsidRPr="00C003FA" w:rsidRDefault="00F7128E" w:rsidP="00F7128E">
            <w:pPr>
              <w:tabs>
                <w:tab w:val="decimal" w:pos="525"/>
              </w:tabs>
              <w:jc w:val="left"/>
              <w:rPr>
                <w:sz w:val="15"/>
                <w:szCs w:val="15"/>
              </w:rPr>
            </w:pPr>
            <w:r w:rsidRPr="00C003FA">
              <w:rPr>
                <w:sz w:val="15"/>
                <w:szCs w:val="15"/>
              </w:rPr>
              <w:t>$6,760.9</w:t>
            </w:r>
          </w:p>
        </w:tc>
        <w:tc>
          <w:tcPr>
            <w:tcW w:w="840" w:type="dxa"/>
            <w:vAlign w:val="bottom"/>
          </w:tcPr>
          <w:p w:rsidR="00F7128E" w:rsidRPr="00C003FA" w:rsidRDefault="00F7128E" w:rsidP="00F7128E">
            <w:pPr>
              <w:tabs>
                <w:tab w:val="decimal" w:pos="315"/>
              </w:tabs>
              <w:jc w:val="left"/>
              <w:rPr>
                <w:sz w:val="15"/>
                <w:szCs w:val="15"/>
              </w:rPr>
            </w:pPr>
            <w:r w:rsidRPr="00C003FA">
              <w:rPr>
                <w:sz w:val="15"/>
                <w:szCs w:val="15"/>
              </w:rPr>
              <w:t>3.6%</w:t>
            </w:r>
          </w:p>
        </w:tc>
        <w:tc>
          <w:tcPr>
            <w:tcW w:w="840" w:type="dxa"/>
            <w:vAlign w:val="bottom"/>
          </w:tcPr>
          <w:p w:rsidR="00F7128E" w:rsidRPr="00C003FA" w:rsidRDefault="00F7128E" w:rsidP="00F7128E">
            <w:pPr>
              <w:tabs>
                <w:tab w:val="decimal" w:pos="466"/>
              </w:tabs>
              <w:jc w:val="left"/>
              <w:rPr>
                <w:sz w:val="15"/>
                <w:szCs w:val="15"/>
              </w:rPr>
            </w:pPr>
            <w:r w:rsidRPr="00C003FA">
              <w:rPr>
                <w:sz w:val="15"/>
                <w:szCs w:val="15"/>
              </w:rPr>
              <w:t>$7,577.2</w:t>
            </w:r>
          </w:p>
        </w:tc>
        <w:tc>
          <w:tcPr>
            <w:tcW w:w="840" w:type="dxa"/>
            <w:vAlign w:val="bottom"/>
          </w:tcPr>
          <w:p w:rsidR="00F7128E" w:rsidRPr="00C003FA" w:rsidRDefault="00F7128E" w:rsidP="00F7128E">
            <w:pPr>
              <w:tabs>
                <w:tab w:val="decimal" w:pos="256"/>
              </w:tabs>
              <w:jc w:val="left"/>
              <w:rPr>
                <w:sz w:val="15"/>
                <w:szCs w:val="15"/>
              </w:rPr>
            </w:pPr>
            <w:r w:rsidRPr="00C003FA">
              <w:rPr>
                <w:sz w:val="15"/>
                <w:szCs w:val="15"/>
              </w:rPr>
              <w:t>12.1%</w:t>
            </w:r>
          </w:p>
        </w:tc>
        <w:tc>
          <w:tcPr>
            <w:tcW w:w="840" w:type="dxa"/>
            <w:vAlign w:val="bottom"/>
          </w:tcPr>
          <w:p w:rsidR="00F7128E" w:rsidRPr="00C003FA" w:rsidRDefault="00F7128E" w:rsidP="00F7128E">
            <w:pPr>
              <w:tabs>
                <w:tab w:val="decimal" w:pos="496"/>
              </w:tabs>
              <w:jc w:val="left"/>
              <w:rPr>
                <w:sz w:val="15"/>
                <w:szCs w:val="15"/>
              </w:rPr>
            </w:pPr>
            <w:r w:rsidRPr="00C003FA">
              <w:rPr>
                <w:sz w:val="15"/>
                <w:szCs w:val="15"/>
              </w:rPr>
              <w:t>$8,247.0</w:t>
            </w:r>
          </w:p>
        </w:tc>
        <w:tc>
          <w:tcPr>
            <w:tcW w:w="839" w:type="dxa"/>
            <w:vAlign w:val="bottom"/>
          </w:tcPr>
          <w:p w:rsidR="00F7128E" w:rsidRPr="00C003FA" w:rsidRDefault="00F7128E" w:rsidP="00F7128E">
            <w:pPr>
              <w:tabs>
                <w:tab w:val="decimal" w:pos="286"/>
              </w:tabs>
              <w:jc w:val="left"/>
              <w:rPr>
                <w:sz w:val="15"/>
                <w:szCs w:val="15"/>
              </w:rPr>
            </w:pPr>
            <w:r w:rsidRPr="00C003FA">
              <w:rPr>
                <w:sz w:val="15"/>
                <w:szCs w:val="15"/>
              </w:rPr>
              <w:t>8.8%</w:t>
            </w:r>
          </w:p>
        </w:tc>
        <w:tc>
          <w:tcPr>
            <w:tcW w:w="840" w:type="dxa"/>
            <w:vAlign w:val="bottom"/>
          </w:tcPr>
          <w:p w:rsidR="00F7128E" w:rsidRPr="00C003FA" w:rsidRDefault="00F7128E" w:rsidP="00F7128E">
            <w:pPr>
              <w:tabs>
                <w:tab w:val="decimal" w:pos="526"/>
              </w:tabs>
              <w:jc w:val="left"/>
              <w:rPr>
                <w:sz w:val="15"/>
                <w:szCs w:val="15"/>
              </w:rPr>
            </w:pPr>
            <w:r w:rsidRPr="00C003FA">
              <w:rPr>
                <w:sz w:val="15"/>
                <w:szCs w:val="15"/>
              </w:rPr>
              <w:t>$8,645.5</w:t>
            </w:r>
          </w:p>
        </w:tc>
        <w:tc>
          <w:tcPr>
            <w:tcW w:w="842" w:type="dxa"/>
            <w:tcBorders>
              <w:right w:val="single" w:sz="4" w:space="0" w:color="auto"/>
            </w:tcBorders>
            <w:vAlign w:val="bottom"/>
          </w:tcPr>
          <w:p w:rsidR="00F7128E" w:rsidRPr="00C003FA" w:rsidRDefault="00F7128E" w:rsidP="00F7128E">
            <w:pPr>
              <w:tabs>
                <w:tab w:val="decimal" w:pos="316"/>
              </w:tabs>
              <w:jc w:val="left"/>
              <w:rPr>
                <w:sz w:val="15"/>
                <w:szCs w:val="15"/>
              </w:rPr>
            </w:pPr>
            <w:r w:rsidRPr="00C003FA">
              <w:rPr>
                <w:sz w:val="15"/>
                <w:szCs w:val="15"/>
              </w:rPr>
              <w:t>4.8%</w:t>
            </w:r>
          </w:p>
        </w:tc>
        <w:tc>
          <w:tcPr>
            <w:tcW w:w="840" w:type="dxa"/>
            <w:tcBorders>
              <w:left w:val="single" w:sz="4" w:space="0" w:color="auto"/>
            </w:tcBorders>
          </w:tcPr>
          <w:p w:rsidR="00F7128E" w:rsidRPr="00C003FA" w:rsidRDefault="00F7128E" w:rsidP="00F7128E">
            <w:pPr>
              <w:tabs>
                <w:tab w:val="decimal" w:pos="526"/>
              </w:tabs>
              <w:jc w:val="left"/>
              <w:rPr>
                <w:sz w:val="15"/>
                <w:szCs w:val="15"/>
              </w:rPr>
            </w:pPr>
            <w:r w:rsidRPr="00C003FA">
              <w:rPr>
                <w:sz w:val="15"/>
                <w:szCs w:val="15"/>
              </w:rPr>
              <w:t>$7,942.4</w:t>
            </w:r>
          </w:p>
        </w:tc>
        <w:tc>
          <w:tcPr>
            <w:tcW w:w="840" w:type="dxa"/>
          </w:tcPr>
          <w:p w:rsidR="00F7128E" w:rsidRPr="00C003FA" w:rsidRDefault="00F7128E" w:rsidP="00F7128E">
            <w:pPr>
              <w:tabs>
                <w:tab w:val="decimal" w:pos="324"/>
              </w:tabs>
              <w:jc w:val="left"/>
              <w:rPr>
                <w:sz w:val="15"/>
                <w:szCs w:val="15"/>
              </w:rPr>
            </w:pPr>
            <w:r w:rsidRPr="00C003FA">
              <w:rPr>
                <w:sz w:val="15"/>
                <w:szCs w:val="15"/>
              </w:rPr>
              <w:t>(8.1)%</w:t>
            </w:r>
          </w:p>
        </w:tc>
        <w:tc>
          <w:tcPr>
            <w:tcW w:w="840" w:type="dxa"/>
          </w:tcPr>
          <w:p w:rsidR="00F7128E" w:rsidRPr="00C003FA" w:rsidRDefault="00D06746" w:rsidP="00F7128E">
            <w:pPr>
              <w:tabs>
                <w:tab w:val="decimal" w:pos="526"/>
              </w:tabs>
              <w:jc w:val="left"/>
              <w:rPr>
                <w:sz w:val="15"/>
                <w:szCs w:val="15"/>
              </w:rPr>
            </w:pPr>
            <w:r>
              <w:rPr>
                <w:sz w:val="15"/>
                <w:szCs w:val="15"/>
              </w:rPr>
              <w:t>$8,208.8</w:t>
            </w:r>
          </w:p>
        </w:tc>
        <w:tc>
          <w:tcPr>
            <w:tcW w:w="842" w:type="dxa"/>
          </w:tcPr>
          <w:p w:rsidR="00F7128E" w:rsidRPr="00C003FA" w:rsidRDefault="00D06746" w:rsidP="00F7128E">
            <w:pPr>
              <w:tabs>
                <w:tab w:val="decimal" w:pos="324"/>
              </w:tabs>
              <w:jc w:val="left"/>
              <w:rPr>
                <w:sz w:val="15"/>
                <w:szCs w:val="15"/>
              </w:rPr>
            </w:pPr>
            <w:r>
              <w:rPr>
                <w:sz w:val="15"/>
                <w:szCs w:val="15"/>
              </w:rPr>
              <w:t>3.4%</w:t>
            </w:r>
          </w:p>
        </w:tc>
      </w:tr>
      <w:tr w:rsidR="00F7128E" w:rsidRPr="00C003FA" w:rsidTr="00804D3C">
        <w:trPr>
          <w:jc w:val="center"/>
        </w:trPr>
        <w:tc>
          <w:tcPr>
            <w:tcW w:w="2070" w:type="dxa"/>
            <w:vAlign w:val="bottom"/>
          </w:tcPr>
          <w:p w:rsidR="00F7128E" w:rsidRPr="00C003FA" w:rsidRDefault="00F7128E" w:rsidP="00F7128E">
            <w:pPr>
              <w:ind w:left="252" w:hanging="90"/>
              <w:jc w:val="left"/>
              <w:rPr>
                <w:sz w:val="15"/>
                <w:szCs w:val="15"/>
              </w:rPr>
            </w:pPr>
            <w:r w:rsidRPr="00C003FA">
              <w:rPr>
                <w:sz w:val="15"/>
                <w:szCs w:val="15"/>
              </w:rPr>
              <w:t>Net Corporate Income Tax</w:t>
            </w:r>
          </w:p>
        </w:tc>
        <w:tc>
          <w:tcPr>
            <w:tcW w:w="900" w:type="dxa"/>
            <w:vAlign w:val="bottom"/>
          </w:tcPr>
          <w:p w:rsidR="00F7128E" w:rsidRPr="00C003FA" w:rsidRDefault="00F7128E" w:rsidP="00F7128E">
            <w:pPr>
              <w:tabs>
                <w:tab w:val="decimal" w:pos="466"/>
              </w:tabs>
              <w:jc w:val="left"/>
              <w:rPr>
                <w:sz w:val="15"/>
                <w:szCs w:val="15"/>
                <w:u w:val="single"/>
              </w:rPr>
            </w:pPr>
            <w:r w:rsidRPr="00C003FA">
              <w:rPr>
                <w:sz w:val="15"/>
                <w:szCs w:val="15"/>
                <w:u w:val="single"/>
              </w:rPr>
              <w:t xml:space="preserve">   652.3</w:t>
            </w:r>
          </w:p>
        </w:tc>
        <w:tc>
          <w:tcPr>
            <w:tcW w:w="853" w:type="dxa"/>
            <w:vAlign w:val="bottom"/>
          </w:tcPr>
          <w:p w:rsidR="00F7128E" w:rsidRPr="00C003FA" w:rsidRDefault="00F7128E" w:rsidP="00F7128E">
            <w:pPr>
              <w:tabs>
                <w:tab w:val="decimal" w:pos="256"/>
              </w:tabs>
              <w:jc w:val="left"/>
              <w:rPr>
                <w:sz w:val="15"/>
                <w:szCs w:val="15"/>
                <w:u w:val="single"/>
              </w:rPr>
            </w:pPr>
            <w:r w:rsidRPr="00C003FA">
              <w:rPr>
                <w:sz w:val="15"/>
                <w:szCs w:val="15"/>
                <w:u w:val="single"/>
              </w:rPr>
              <w:t xml:space="preserve"> (5.8)</w:t>
            </w:r>
          </w:p>
        </w:tc>
        <w:tc>
          <w:tcPr>
            <w:tcW w:w="852" w:type="dxa"/>
            <w:vAlign w:val="bottom"/>
          </w:tcPr>
          <w:p w:rsidR="00F7128E" w:rsidRPr="00C003FA" w:rsidRDefault="00F7128E" w:rsidP="00F7128E">
            <w:pPr>
              <w:tabs>
                <w:tab w:val="decimal" w:pos="525"/>
              </w:tabs>
              <w:jc w:val="left"/>
              <w:rPr>
                <w:sz w:val="15"/>
                <w:szCs w:val="15"/>
                <w:u w:val="single"/>
              </w:rPr>
            </w:pPr>
            <w:r w:rsidRPr="00C003FA">
              <w:rPr>
                <w:sz w:val="15"/>
                <w:szCs w:val="15"/>
                <w:u w:val="single"/>
              </w:rPr>
              <w:t xml:space="preserve">   509.3</w:t>
            </w:r>
          </w:p>
        </w:tc>
        <w:tc>
          <w:tcPr>
            <w:tcW w:w="840" w:type="dxa"/>
            <w:vAlign w:val="bottom"/>
          </w:tcPr>
          <w:p w:rsidR="00F7128E" w:rsidRPr="00C003FA" w:rsidRDefault="00F7128E" w:rsidP="00F7128E">
            <w:pPr>
              <w:tabs>
                <w:tab w:val="decimal" w:pos="315"/>
              </w:tabs>
              <w:jc w:val="left"/>
              <w:rPr>
                <w:sz w:val="15"/>
                <w:szCs w:val="15"/>
                <w:u w:val="single"/>
              </w:rPr>
            </w:pPr>
            <w:r w:rsidRPr="00C003FA">
              <w:rPr>
                <w:sz w:val="15"/>
                <w:szCs w:val="15"/>
                <w:u w:val="single"/>
              </w:rPr>
              <w:t>(21.9)</w:t>
            </w:r>
          </w:p>
        </w:tc>
        <w:tc>
          <w:tcPr>
            <w:tcW w:w="840" w:type="dxa"/>
            <w:vAlign w:val="bottom"/>
          </w:tcPr>
          <w:p w:rsidR="00F7128E" w:rsidRPr="00C003FA" w:rsidRDefault="00F7128E" w:rsidP="00F7128E">
            <w:pPr>
              <w:tabs>
                <w:tab w:val="decimal" w:pos="466"/>
              </w:tabs>
              <w:jc w:val="left"/>
              <w:rPr>
                <w:sz w:val="15"/>
                <w:szCs w:val="15"/>
                <w:u w:val="single"/>
              </w:rPr>
            </w:pPr>
            <w:r w:rsidRPr="00C003FA">
              <w:rPr>
                <w:sz w:val="15"/>
                <w:szCs w:val="15"/>
                <w:u w:val="single"/>
              </w:rPr>
              <w:t xml:space="preserve">  781.9</w:t>
            </w:r>
          </w:p>
        </w:tc>
        <w:tc>
          <w:tcPr>
            <w:tcW w:w="840" w:type="dxa"/>
            <w:vAlign w:val="bottom"/>
          </w:tcPr>
          <w:p w:rsidR="00F7128E" w:rsidRPr="00C003FA" w:rsidRDefault="00F7128E" w:rsidP="00F7128E">
            <w:pPr>
              <w:tabs>
                <w:tab w:val="decimal" w:pos="256"/>
              </w:tabs>
              <w:jc w:val="left"/>
              <w:rPr>
                <w:sz w:val="15"/>
                <w:szCs w:val="15"/>
                <w:u w:val="single"/>
              </w:rPr>
            </w:pPr>
            <w:r w:rsidRPr="00C003FA">
              <w:rPr>
                <w:sz w:val="15"/>
                <w:szCs w:val="15"/>
                <w:u w:val="single"/>
              </w:rPr>
              <w:t>53.5</w:t>
            </w:r>
          </w:p>
        </w:tc>
        <w:tc>
          <w:tcPr>
            <w:tcW w:w="840" w:type="dxa"/>
            <w:vAlign w:val="bottom"/>
          </w:tcPr>
          <w:p w:rsidR="00F7128E" w:rsidRPr="00C003FA" w:rsidRDefault="00F7128E" w:rsidP="00F7128E">
            <w:pPr>
              <w:tabs>
                <w:tab w:val="decimal" w:pos="496"/>
              </w:tabs>
              <w:jc w:val="left"/>
              <w:rPr>
                <w:sz w:val="15"/>
                <w:szCs w:val="15"/>
                <w:u w:val="single"/>
              </w:rPr>
            </w:pPr>
            <w:r w:rsidRPr="00C003FA">
              <w:rPr>
                <w:sz w:val="15"/>
                <w:szCs w:val="15"/>
                <w:u w:val="single"/>
              </w:rPr>
              <w:t>919.8</w:t>
            </w:r>
          </w:p>
        </w:tc>
        <w:tc>
          <w:tcPr>
            <w:tcW w:w="839" w:type="dxa"/>
            <w:vAlign w:val="bottom"/>
          </w:tcPr>
          <w:p w:rsidR="00F7128E" w:rsidRPr="00C003FA" w:rsidRDefault="00F7128E" w:rsidP="00F7128E">
            <w:pPr>
              <w:tabs>
                <w:tab w:val="decimal" w:pos="286"/>
              </w:tabs>
              <w:jc w:val="left"/>
              <w:rPr>
                <w:sz w:val="15"/>
                <w:szCs w:val="15"/>
                <w:u w:val="single"/>
              </w:rPr>
            </w:pPr>
            <w:r w:rsidRPr="00C003FA">
              <w:rPr>
                <w:sz w:val="15"/>
                <w:szCs w:val="15"/>
                <w:u w:val="single"/>
              </w:rPr>
              <w:t>17.6</w:t>
            </w:r>
          </w:p>
        </w:tc>
        <w:tc>
          <w:tcPr>
            <w:tcW w:w="840" w:type="dxa"/>
            <w:vAlign w:val="bottom"/>
          </w:tcPr>
          <w:p w:rsidR="00F7128E" w:rsidRPr="00C003FA" w:rsidRDefault="00F7128E" w:rsidP="00F7128E">
            <w:pPr>
              <w:tabs>
                <w:tab w:val="decimal" w:pos="526"/>
              </w:tabs>
              <w:jc w:val="left"/>
              <w:rPr>
                <w:sz w:val="15"/>
                <w:szCs w:val="15"/>
                <w:u w:val="single"/>
              </w:rPr>
            </w:pPr>
            <w:r w:rsidRPr="00C003FA">
              <w:rPr>
                <w:sz w:val="15"/>
                <w:szCs w:val="15"/>
                <w:u w:val="single"/>
              </w:rPr>
              <w:t xml:space="preserve">   728.3</w:t>
            </w:r>
          </w:p>
        </w:tc>
        <w:tc>
          <w:tcPr>
            <w:tcW w:w="842" w:type="dxa"/>
            <w:tcBorders>
              <w:right w:val="single" w:sz="4" w:space="0" w:color="auto"/>
            </w:tcBorders>
            <w:vAlign w:val="bottom"/>
          </w:tcPr>
          <w:p w:rsidR="00F7128E" w:rsidRPr="00C003FA" w:rsidRDefault="00F7128E" w:rsidP="00F7128E">
            <w:pPr>
              <w:tabs>
                <w:tab w:val="decimal" w:pos="316"/>
              </w:tabs>
              <w:jc w:val="left"/>
              <w:rPr>
                <w:sz w:val="15"/>
                <w:szCs w:val="15"/>
                <w:u w:val="single"/>
              </w:rPr>
            </w:pPr>
            <w:r w:rsidRPr="00C003FA">
              <w:rPr>
                <w:sz w:val="15"/>
                <w:szCs w:val="15"/>
                <w:u w:val="single"/>
              </w:rPr>
              <w:t>(20.8)</w:t>
            </w:r>
          </w:p>
        </w:tc>
        <w:tc>
          <w:tcPr>
            <w:tcW w:w="840" w:type="dxa"/>
            <w:tcBorders>
              <w:left w:val="single" w:sz="4" w:space="0" w:color="auto"/>
            </w:tcBorders>
            <w:vAlign w:val="bottom"/>
          </w:tcPr>
          <w:p w:rsidR="00F7128E" w:rsidRPr="00C003FA" w:rsidRDefault="00F7128E" w:rsidP="00F7128E">
            <w:pPr>
              <w:tabs>
                <w:tab w:val="decimal" w:pos="526"/>
              </w:tabs>
              <w:jc w:val="left"/>
              <w:rPr>
                <w:sz w:val="15"/>
                <w:szCs w:val="15"/>
                <w:u w:val="single"/>
              </w:rPr>
            </w:pPr>
            <w:r w:rsidRPr="00C003FA">
              <w:rPr>
                <w:sz w:val="15"/>
                <w:szCs w:val="15"/>
                <w:u w:val="single"/>
              </w:rPr>
              <w:t xml:space="preserve">   655.1</w:t>
            </w:r>
          </w:p>
        </w:tc>
        <w:tc>
          <w:tcPr>
            <w:tcW w:w="840" w:type="dxa"/>
            <w:vAlign w:val="bottom"/>
          </w:tcPr>
          <w:p w:rsidR="00F7128E" w:rsidRPr="00C003FA" w:rsidRDefault="00F7128E" w:rsidP="00F7128E">
            <w:pPr>
              <w:tabs>
                <w:tab w:val="decimal" w:pos="324"/>
              </w:tabs>
              <w:jc w:val="left"/>
              <w:rPr>
                <w:sz w:val="15"/>
                <w:szCs w:val="15"/>
                <w:u w:val="single"/>
              </w:rPr>
            </w:pPr>
            <w:r w:rsidRPr="00C003FA">
              <w:rPr>
                <w:sz w:val="15"/>
                <w:szCs w:val="15"/>
                <w:u w:val="single"/>
              </w:rPr>
              <w:t>(10.0)</w:t>
            </w:r>
          </w:p>
        </w:tc>
        <w:tc>
          <w:tcPr>
            <w:tcW w:w="840" w:type="dxa"/>
            <w:vAlign w:val="bottom"/>
          </w:tcPr>
          <w:p w:rsidR="00F7128E" w:rsidRPr="00C003FA" w:rsidRDefault="00D06746" w:rsidP="00D06746">
            <w:pPr>
              <w:tabs>
                <w:tab w:val="decimal" w:pos="526"/>
              </w:tabs>
              <w:jc w:val="left"/>
              <w:rPr>
                <w:sz w:val="15"/>
                <w:szCs w:val="15"/>
                <w:u w:val="single"/>
              </w:rPr>
            </w:pPr>
            <w:r>
              <w:rPr>
                <w:sz w:val="15"/>
                <w:szCs w:val="15"/>
                <w:u w:val="single"/>
              </w:rPr>
              <w:t xml:space="preserve">   755.9</w:t>
            </w:r>
          </w:p>
        </w:tc>
        <w:tc>
          <w:tcPr>
            <w:tcW w:w="842" w:type="dxa"/>
            <w:vAlign w:val="bottom"/>
          </w:tcPr>
          <w:p w:rsidR="00F7128E" w:rsidRPr="00C003FA" w:rsidRDefault="00D06746" w:rsidP="00F7128E">
            <w:pPr>
              <w:tabs>
                <w:tab w:val="decimal" w:pos="324"/>
              </w:tabs>
              <w:jc w:val="left"/>
              <w:rPr>
                <w:sz w:val="15"/>
                <w:szCs w:val="15"/>
                <w:u w:val="single"/>
              </w:rPr>
            </w:pPr>
            <w:r>
              <w:rPr>
                <w:sz w:val="15"/>
                <w:szCs w:val="15"/>
                <w:u w:val="single"/>
              </w:rPr>
              <w:t>15.4</w:t>
            </w:r>
          </w:p>
        </w:tc>
      </w:tr>
      <w:tr w:rsidR="00F7128E" w:rsidRPr="00C003FA" w:rsidTr="00804D3C">
        <w:trPr>
          <w:jc w:val="center"/>
        </w:trPr>
        <w:tc>
          <w:tcPr>
            <w:tcW w:w="2070" w:type="dxa"/>
            <w:vAlign w:val="bottom"/>
          </w:tcPr>
          <w:p w:rsidR="00F7128E" w:rsidRPr="00C003FA" w:rsidRDefault="00F7128E" w:rsidP="00F7128E">
            <w:pPr>
              <w:ind w:left="342"/>
              <w:jc w:val="left"/>
              <w:rPr>
                <w:sz w:val="15"/>
                <w:szCs w:val="15"/>
              </w:rPr>
            </w:pPr>
            <w:r w:rsidRPr="00C003FA">
              <w:rPr>
                <w:sz w:val="15"/>
                <w:szCs w:val="15"/>
              </w:rPr>
              <w:t>Total Income Taxes</w:t>
            </w:r>
          </w:p>
        </w:tc>
        <w:tc>
          <w:tcPr>
            <w:tcW w:w="900" w:type="dxa"/>
            <w:vAlign w:val="bottom"/>
          </w:tcPr>
          <w:p w:rsidR="00F7128E" w:rsidRPr="00C003FA" w:rsidRDefault="00F7128E" w:rsidP="00F7128E">
            <w:pPr>
              <w:tabs>
                <w:tab w:val="decimal" w:pos="466"/>
              </w:tabs>
              <w:jc w:val="left"/>
              <w:rPr>
                <w:sz w:val="15"/>
                <w:szCs w:val="15"/>
              </w:rPr>
            </w:pPr>
            <w:r w:rsidRPr="00C003FA">
              <w:rPr>
                <w:sz w:val="15"/>
                <w:szCs w:val="15"/>
              </w:rPr>
              <w:t>$</w:t>
            </w:r>
            <w:r w:rsidRPr="00C003FA">
              <w:rPr>
                <w:sz w:val="15"/>
                <w:szCs w:val="15"/>
                <w:u w:val="single"/>
              </w:rPr>
              <w:t>7,178.8</w:t>
            </w:r>
          </w:p>
        </w:tc>
        <w:tc>
          <w:tcPr>
            <w:tcW w:w="853" w:type="dxa"/>
            <w:vAlign w:val="bottom"/>
          </w:tcPr>
          <w:p w:rsidR="00F7128E" w:rsidRPr="00C003FA" w:rsidRDefault="00F7128E" w:rsidP="00F7128E">
            <w:pPr>
              <w:tabs>
                <w:tab w:val="decimal" w:pos="256"/>
              </w:tabs>
              <w:jc w:val="left"/>
              <w:rPr>
                <w:sz w:val="15"/>
                <w:szCs w:val="15"/>
                <w:u w:val="single"/>
              </w:rPr>
            </w:pPr>
            <w:r w:rsidRPr="00C003FA">
              <w:rPr>
                <w:sz w:val="15"/>
                <w:szCs w:val="15"/>
                <w:u w:val="single"/>
              </w:rPr>
              <w:t xml:space="preserve">  1.9</w:t>
            </w:r>
            <w:r w:rsidRPr="00C003FA">
              <w:rPr>
                <w:sz w:val="15"/>
                <w:szCs w:val="15"/>
              </w:rPr>
              <w:t>%</w:t>
            </w:r>
          </w:p>
        </w:tc>
        <w:tc>
          <w:tcPr>
            <w:tcW w:w="852" w:type="dxa"/>
            <w:vAlign w:val="bottom"/>
          </w:tcPr>
          <w:p w:rsidR="00F7128E" w:rsidRPr="00C003FA" w:rsidRDefault="00F7128E" w:rsidP="00F7128E">
            <w:pPr>
              <w:tabs>
                <w:tab w:val="decimal" w:pos="525"/>
              </w:tabs>
              <w:jc w:val="left"/>
              <w:rPr>
                <w:sz w:val="15"/>
                <w:szCs w:val="15"/>
              </w:rPr>
            </w:pPr>
            <w:r w:rsidRPr="00C003FA">
              <w:rPr>
                <w:sz w:val="15"/>
                <w:szCs w:val="15"/>
              </w:rPr>
              <w:t>$</w:t>
            </w:r>
            <w:r w:rsidRPr="00C003FA">
              <w:rPr>
                <w:sz w:val="15"/>
                <w:szCs w:val="15"/>
                <w:u w:val="single"/>
              </w:rPr>
              <w:t>7,270.2</w:t>
            </w:r>
          </w:p>
        </w:tc>
        <w:tc>
          <w:tcPr>
            <w:tcW w:w="840" w:type="dxa"/>
            <w:vAlign w:val="bottom"/>
          </w:tcPr>
          <w:p w:rsidR="00F7128E" w:rsidRPr="00C003FA" w:rsidRDefault="00F7128E" w:rsidP="00F7128E">
            <w:pPr>
              <w:tabs>
                <w:tab w:val="decimal" w:pos="315"/>
              </w:tabs>
              <w:jc w:val="left"/>
              <w:rPr>
                <w:sz w:val="15"/>
                <w:szCs w:val="15"/>
              </w:rPr>
            </w:pPr>
            <w:r w:rsidRPr="00C003FA">
              <w:rPr>
                <w:sz w:val="15"/>
                <w:szCs w:val="15"/>
                <w:u w:val="single"/>
              </w:rPr>
              <w:t>1.3</w:t>
            </w:r>
            <w:r w:rsidRPr="00C003FA">
              <w:rPr>
                <w:sz w:val="15"/>
                <w:szCs w:val="15"/>
              </w:rPr>
              <w:t>%</w:t>
            </w:r>
          </w:p>
        </w:tc>
        <w:tc>
          <w:tcPr>
            <w:tcW w:w="840" w:type="dxa"/>
            <w:vAlign w:val="bottom"/>
          </w:tcPr>
          <w:p w:rsidR="00F7128E" w:rsidRPr="00C003FA" w:rsidRDefault="00F7128E" w:rsidP="00F7128E">
            <w:pPr>
              <w:tabs>
                <w:tab w:val="decimal" w:pos="466"/>
              </w:tabs>
              <w:jc w:val="left"/>
              <w:rPr>
                <w:sz w:val="15"/>
                <w:szCs w:val="15"/>
              </w:rPr>
            </w:pPr>
            <w:r w:rsidRPr="00C003FA">
              <w:rPr>
                <w:sz w:val="15"/>
                <w:szCs w:val="15"/>
              </w:rPr>
              <w:t>$</w:t>
            </w:r>
            <w:r w:rsidRPr="00C003FA">
              <w:rPr>
                <w:sz w:val="15"/>
                <w:szCs w:val="15"/>
                <w:u w:val="single"/>
              </w:rPr>
              <w:t>8,359.1</w:t>
            </w:r>
          </w:p>
        </w:tc>
        <w:tc>
          <w:tcPr>
            <w:tcW w:w="840" w:type="dxa"/>
            <w:vAlign w:val="bottom"/>
          </w:tcPr>
          <w:p w:rsidR="00F7128E" w:rsidRPr="00C003FA" w:rsidRDefault="00F7128E" w:rsidP="00F7128E">
            <w:pPr>
              <w:tabs>
                <w:tab w:val="decimal" w:pos="256"/>
              </w:tabs>
              <w:jc w:val="left"/>
              <w:rPr>
                <w:sz w:val="15"/>
                <w:szCs w:val="15"/>
                <w:u w:val="single"/>
              </w:rPr>
            </w:pPr>
            <w:r w:rsidRPr="00C003FA">
              <w:rPr>
                <w:sz w:val="15"/>
                <w:szCs w:val="15"/>
                <w:u w:val="single"/>
              </w:rPr>
              <w:t>15.0</w:t>
            </w:r>
            <w:r w:rsidRPr="00C003FA">
              <w:rPr>
                <w:sz w:val="15"/>
                <w:szCs w:val="15"/>
              </w:rPr>
              <w:t>%</w:t>
            </w:r>
          </w:p>
        </w:tc>
        <w:tc>
          <w:tcPr>
            <w:tcW w:w="840" w:type="dxa"/>
            <w:vAlign w:val="bottom"/>
          </w:tcPr>
          <w:p w:rsidR="00F7128E" w:rsidRPr="00C003FA" w:rsidRDefault="00F7128E" w:rsidP="00F7128E">
            <w:pPr>
              <w:tabs>
                <w:tab w:val="decimal" w:pos="496"/>
              </w:tabs>
              <w:jc w:val="left"/>
              <w:rPr>
                <w:sz w:val="15"/>
                <w:szCs w:val="15"/>
                <w:u w:val="single"/>
              </w:rPr>
            </w:pPr>
            <w:r w:rsidRPr="00C003FA">
              <w:rPr>
                <w:sz w:val="15"/>
                <w:szCs w:val="15"/>
              </w:rPr>
              <w:t>$</w:t>
            </w:r>
            <w:r w:rsidRPr="00C003FA">
              <w:rPr>
                <w:sz w:val="15"/>
                <w:szCs w:val="15"/>
                <w:u w:val="single"/>
              </w:rPr>
              <w:t>9,166.8</w:t>
            </w:r>
          </w:p>
        </w:tc>
        <w:tc>
          <w:tcPr>
            <w:tcW w:w="839" w:type="dxa"/>
            <w:vAlign w:val="bottom"/>
          </w:tcPr>
          <w:p w:rsidR="00F7128E" w:rsidRPr="00C003FA" w:rsidRDefault="00F7128E" w:rsidP="00F7128E">
            <w:pPr>
              <w:tabs>
                <w:tab w:val="decimal" w:pos="286"/>
              </w:tabs>
              <w:jc w:val="left"/>
              <w:rPr>
                <w:sz w:val="15"/>
                <w:szCs w:val="15"/>
                <w:u w:val="single"/>
              </w:rPr>
            </w:pPr>
            <w:r w:rsidRPr="00C003FA">
              <w:rPr>
                <w:sz w:val="15"/>
                <w:szCs w:val="15"/>
                <w:u w:val="single"/>
              </w:rPr>
              <w:t>9.7</w:t>
            </w:r>
            <w:r w:rsidRPr="00C003FA">
              <w:rPr>
                <w:sz w:val="15"/>
                <w:szCs w:val="15"/>
              </w:rPr>
              <w:t>%</w:t>
            </w:r>
          </w:p>
        </w:tc>
        <w:tc>
          <w:tcPr>
            <w:tcW w:w="840" w:type="dxa"/>
            <w:vAlign w:val="bottom"/>
          </w:tcPr>
          <w:p w:rsidR="00F7128E" w:rsidRPr="00C003FA" w:rsidRDefault="00F7128E" w:rsidP="00F7128E">
            <w:pPr>
              <w:tabs>
                <w:tab w:val="decimal" w:pos="526"/>
              </w:tabs>
              <w:jc w:val="left"/>
              <w:rPr>
                <w:sz w:val="15"/>
                <w:szCs w:val="15"/>
                <w:u w:val="single"/>
              </w:rPr>
            </w:pPr>
            <w:r w:rsidRPr="00C003FA">
              <w:rPr>
                <w:sz w:val="15"/>
                <w:szCs w:val="15"/>
              </w:rPr>
              <w:t>$</w:t>
            </w:r>
            <w:r w:rsidRPr="00C003FA">
              <w:rPr>
                <w:sz w:val="15"/>
                <w:szCs w:val="15"/>
                <w:u w:val="single"/>
              </w:rPr>
              <w:t>9,373.8</w:t>
            </w:r>
          </w:p>
        </w:tc>
        <w:tc>
          <w:tcPr>
            <w:tcW w:w="842" w:type="dxa"/>
            <w:tcBorders>
              <w:right w:val="single" w:sz="4" w:space="0" w:color="auto"/>
            </w:tcBorders>
            <w:vAlign w:val="bottom"/>
          </w:tcPr>
          <w:p w:rsidR="00F7128E" w:rsidRPr="00C003FA" w:rsidRDefault="00F7128E" w:rsidP="00F7128E">
            <w:pPr>
              <w:tabs>
                <w:tab w:val="decimal" w:pos="316"/>
              </w:tabs>
              <w:jc w:val="left"/>
              <w:rPr>
                <w:sz w:val="15"/>
                <w:szCs w:val="15"/>
                <w:u w:val="single"/>
              </w:rPr>
            </w:pPr>
            <w:r w:rsidRPr="00C003FA">
              <w:rPr>
                <w:sz w:val="15"/>
                <w:szCs w:val="15"/>
                <w:u w:val="single"/>
              </w:rPr>
              <w:t>2.3%</w:t>
            </w:r>
          </w:p>
        </w:tc>
        <w:tc>
          <w:tcPr>
            <w:tcW w:w="840" w:type="dxa"/>
            <w:tcBorders>
              <w:left w:val="single" w:sz="4" w:space="0" w:color="auto"/>
            </w:tcBorders>
          </w:tcPr>
          <w:p w:rsidR="00F7128E" w:rsidRPr="00C003FA" w:rsidRDefault="00F7128E" w:rsidP="00F7128E">
            <w:pPr>
              <w:tabs>
                <w:tab w:val="decimal" w:pos="526"/>
              </w:tabs>
              <w:jc w:val="left"/>
              <w:rPr>
                <w:sz w:val="15"/>
                <w:szCs w:val="15"/>
                <w:u w:val="single"/>
              </w:rPr>
            </w:pPr>
            <w:r w:rsidRPr="00C003FA">
              <w:rPr>
                <w:sz w:val="15"/>
                <w:szCs w:val="15"/>
              </w:rPr>
              <w:t>$</w:t>
            </w:r>
            <w:r w:rsidRPr="00C003FA">
              <w:rPr>
                <w:sz w:val="15"/>
                <w:szCs w:val="15"/>
                <w:u w:val="single"/>
              </w:rPr>
              <w:t>8,597.5</w:t>
            </w:r>
          </w:p>
        </w:tc>
        <w:tc>
          <w:tcPr>
            <w:tcW w:w="840" w:type="dxa"/>
            <w:vAlign w:val="bottom"/>
          </w:tcPr>
          <w:p w:rsidR="00F7128E" w:rsidRPr="00C003FA" w:rsidRDefault="00F7128E" w:rsidP="00F7128E">
            <w:pPr>
              <w:tabs>
                <w:tab w:val="decimal" w:pos="324"/>
              </w:tabs>
              <w:jc w:val="left"/>
              <w:rPr>
                <w:sz w:val="15"/>
                <w:szCs w:val="15"/>
                <w:u w:val="single"/>
              </w:rPr>
            </w:pPr>
            <w:r w:rsidRPr="00C003FA">
              <w:rPr>
                <w:sz w:val="15"/>
                <w:szCs w:val="15"/>
                <w:u w:val="single"/>
              </w:rPr>
              <w:t>(8.3)</w:t>
            </w:r>
            <w:r w:rsidRPr="00C003FA">
              <w:rPr>
                <w:sz w:val="15"/>
                <w:szCs w:val="15"/>
              </w:rPr>
              <w:t>%</w:t>
            </w:r>
          </w:p>
        </w:tc>
        <w:tc>
          <w:tcPr>
            <w:tcW w:w="840" w:type="dxa"/>
          </w:tcPr>
          <w:p w:rsidR="00F7128E" w:rsidRPr="00C003FA" w:rsidRDefault="00D06746" w:rsidP="00F7128E">
            <w:pPr>
              <w:tabs>
                <w:tab w:val="decimal" w:pos="526"/>
              </w:tabs>
              <w:jc w:val="left"/>
              <w:rPr>
                <w:sz w:val="15"/>
                <w:szCs w:val="15"/>
                <w:u w:val="single"/>
              </w:rPr>
            </w:pPr>
            <w:r w:rsidRPr="00D06746">
              <w:rPr>
                <w:sz w:val="15"/>
                <w:szCs w:val="15"/>
              </w:rPr>
              <w:t>$</w:t>
            </w:r>
            <w:r>
              <w:rPr>
                <w:sz w:val="15"/>
                <w:szCs w:val="15"/>
                <w:u w:val="single"/>
              </w:rPr>
              <w:t>8,964.6</w:t>
            </w:r>
          </w:p>
        </w:tc>
        <w:tc>
          <w:tcPr>
            <w:tcW w:w="842" w:type="dxa"/>
            <w:vAlign w:val="bottom"/>
          </w:tcPr>
          <w:p w:rsidR="00F7128E" w:rsidRPr="00C003FA" w:rsidRDefault="00D06746" w:rsidP="00F7128E">
            <w:pPr>
              <w:tabs>
                <w:tab w:val="decimal" w:pos="324"/>
              </w:tabs>
              <w:jc w:val="left"/>
              <w:rPr>
                <w:sz w:val="15"/>
                <w:szCs w:val="15"/>
                <w:u w:val="single"/>
              </w:rPr>
            </w:pPr>
            <w:r>
              <w:rPr>
                <w:sz w:val="15"/>
                <w:szCs w:val="15"/>
                <w:u w:val="single"/>
              </w:rPr>
              <w:t>4.3%</w:t>
            </w:r>
          </w:p>
        </w:tc>
      </w:tr>
      <w:tr w:rsidR="00F7128E" w:rsidRPr="00C003FA" w:rsidTr="00804D3C">
        <w:trPr>
          <w:jc w:val="center"/>
        </w:trPr>
        <w:tc>
          <w:tcPr>
            <w:tcW w:w="2070" w:type="dxa"/>
            <w:vAlign w:val="bottom"/>
          </w:tcPr>
          <w:p w:rsidR="00F7128E" w:rsidRPr="00C003FA" w:rsidRDefault="00F7128E" w:rsidP="00F7128E">
            <w:pPr>
              <w:ind w:left="252" w:hanging="90"/>
              <w:jc w:val="left"/>
              <w:rPr>
                <w:sz w:val="15"/>
                <w:szCs w:val="15"/>
              </w:rPr>
            </w:pPr>
            <w:r w:rsidRPr="00C003FA">
              <w:rPr>
                <w:sz w:val="15"/>
                <w:szCs w:val="15"/>
              </w:rPr>
              <w:t>Less State Education Fund Diversion</w:t>
            </w:r>
            <w:r>
              <w:rPr>
                <w:sz w:val="15"/>
                <w:szCs w:val="15"/>
                <w:vertAlign w:val="superscript"/>
              </w:rPr>
              <w:t>4</w:t>
            </w:r>
          </w:p>
        </w:tc>
        <w:tc>
          <w:tcPr>
            <w:tcW w:w="900" w:type="dxa"/>
            <w:vAlign w:val="bottom"/>
          </w:tcPr>
          <w:p w:rsidR="00F7128E" w:rsidRPr="00C003FA" w:rsidRDefault="00F7128E" w:rsidP="00F7128E">
            <w:pPr>
              <w:tabs>
                <w:tab w:val="decimal" w:pos="466"/>
              </w:tabs>
              <w:jc w:val="left"/>
              <w:rPr>
                <w:sz w:val="15"/>
                <w:szCs w:val="15"/>
                <w:u w:val="single"/>
              </w:rPr>
            </w:pPr>
            <w:r w:rsidRPr="00C003FA">
              <w:rPr>
                <w:sz w:val="15"/>
                <w:szCs w:val="15"/>
                <w:u w:val="single"/>
              </w:rPr>
              <w:t xml:space="preserve">  (522.6)</w:t>
            </w:r>
          </w:p>
        </w:tc>
        <w:tc>
          <w:tcPr>
            <w:tcW w:w="853" w:type="dxa"/>
            <w:vAlign w:val="bottom"/>
          </w:tcPr>
          <w:p w:rsidR="00F7128E" w:rsidRPr="00C003FA" w:rsidRDefault="00F7128E" w:rsidP="00F7128E">
            <w:pPr>
              <w:tabs>
                <w:tab w:val="decimal" w:pos="256"/>
              </w:tabs>
              <w:jc w:val="left"/>
              <w:rPr>
                <w:sz w:val="15"/>
                <w:szCs w:val="15"/>
                <w:u w:val="single"/>
              </w:rPr>
            </w:pPr>
            <w:r w:rsidRPr="00C003FA">
              <w:rPr>
                <w:sz w:val="15"/>
                <w:szCs w:val="15"/>
                <w:u w:val="single"/>
              </w:rPr>
              <w:t xml:space="preserve">  0.5</w:t>
            </w:r>
          </w:p>
        </w:tc>
        <w:tc>
          <w:tcPr>
            <w:tcW w:w="852" w:type="dxa"/>
            <w:vAlign w:val="bottom"/>
          </w:tcPr>
          <w:p w:rsidR="00F7128E" w:rsidRPr="00C003FA" w:rsidRDefault="00F7128E" w:rsidP="00F7128E">
            <w:pPr>
              <w:tabs>
                <w:tab w:val="decimal" w:pos="525"/>
              </w:tabs>
              <w:jc w:val="left"/>
              <w:rPr>
                <w:sz w:val="15"/>
                <w:szCs w:val="15"/>
                <w:u w:val="single"/>
              </w:rPr>
            </w:pPr>
            <w:r w:rsidRPr="00C003FA">
              <w:rPr>
                <w:sz w:val="15"/>
                <w:szCs w:val="15"/>
                <w:u w:val="single"/>
              </w:rPr>
              <w:t>(540.0)</w:t>
            </w:r>
          </w:p>
        </w:tc>
        <w:tc>
          <w:tcPr>
            <w:tcW w:w="840" w:type="dxa"/>
            <w:vAlign w:val="bottom"/>
          </w:tcPr>
          <w:p w:rsidR="00F7128E" w:rsidRPr="00C003FA" w:rsidRDefault="00F7128E" w:rsidP="00F7128E">
            <w:pPr>
              <w:tabs>
                <w:tab w:val="decimal" w:pos="315"/>
              </w:tabs>
              <w:jc w:val="left"/>
              <w:rPr>
                <w:sz w:val="15"/>
                <w:szCs w:val="15"/>
                <w:u w:val="single"/>
              </w:rPr>
            </w:pPr>
            <w:r w:rsidRPr="00C003FA">
              <w:rPr>
                <w:sz w:val="15"/>
                <w:szCs w:val="15"/>
                <w:u w:val="single"/>
              </w:rPr>
              <w:t>(3.3)</w:t>
            </w:r>
          </w:p>
        </w:tc>
        <w:tc>
          <w:tcPr>
            <w:tcW w:w="840" w:type="dxa"/>
            <w:vAlign w:val="bottom"/>
          </w:tcPr>
          <w:p w:rsidR="00F7128E" w:rsidRPr="00C003FA" w:rsidRDefault="00F7128E" w:rsidP="00F7128E">
            <w:pPr>
              <w:tabs>
                <w:tab w:val="decimal" w:pos="466"/>
              </w:tabs>
              <w:jc w:val="left"/>
              <w:rPr>
                <w:sz w:val="15"/>
                <w:szCs w:val="15"/>
                <w:u w:val="single"/>
              </w:rPr>
            </w:pPr>
            <w:r w:rsidRPr="00C003FA">
              <w:rPr>
                <w:sz w:val="15"/>
                <w:szCs w:val="15"/>
                <w:u w:val="single"/>
              </w:rPr>
              <w:t>(617.0)</w:t>
            </w:r>
          </w:p>
        </w:tc>
        <w:tc>
          <w:tcPr>
            <w:tcW w:w="840" w:type="dxa"/>
            <w:vAlign w:val="bottom"/>
          </w:tcPr>
          <w:p w:rsidR="00F7128E" w:rsidRPr="00C003FA" w:rsidRDefault="00F7128E" w:rsidP="00F7128E">
            <w:pPr>
              <w:tabs>
                <w:tab w:val="decimal" w:pos="256"/>
              </w:tabs>
              <w:jc w:val="left"/>
              <w:rPr>
                <w:sz w:val="15"/>
                <w:szCs w:val="15"/>
                <w:u w:val="single"/>
              </w:rPr>
            </w:pPr>
            <w:r w:rsidRPr="00C003FA">
              <w:rPr>
                <w:sz w:val="15"/>
                <w:szCs w:val="15"/>
                <w:u w:val="single"/>
              </w:rPr>
              <w:t>(14.3)</w:t>
            </w:r>
          </w:p>
        </w:tc>
        <w:tc>
          <w:tcPr>
            <w:tcW w:w="840" w:type="dxa"/>
            <w:vAlign w:val="bottom"/>
          </w:tcPr>
          <w:p w:rsidR="00F7128E" w:rsidRPr="00C003FA" w:rsidRDefault="00F7128E" w:rsidP="00F7128E">
            <w:pPr>
              <w:tabs>
                <w:tab w:val="decimal" w:pos="496"/>
              </w:tabs>
              <w:jc w:val="left"/>
              <w:rPr>
                <w:sz w:val="15"/>
                <w:szCs w:val="15"/>
                <w:u w:val="single"/>
              </w:rPr>
            </w:pPr>
            <w:r w:rsidRPr="00C003FA">
              <w:rPr>
                <w:sz w:val="15"/>
                <w:szCs w:val="15"/>
                <w:u w:val="single"/>
              </w:rPr>
              <w:t>(692.8)</w:t>
            </w:r>
          </w:p>
        </w:tc>
        <w:tc>
          <w:tcPr>
            <w:tcW w:w="839" w:type="dxa"/>
            <w:vAlign w:val="bottom"/>
          </w:tcPr>
          <w:p w:rsidR="00F7128E" w:rsidRPr="00C003FA" w:rsidRDefault="00F7128E" w:rsidP="00F7128E">
            <w:pPr>
              <w:tabs>
                <w:tab w:val="decimal" w:pos="286"/>
              </w:tabs>
              <w:jc w:val="left"/>
              <w:rPr>
                <w:sz w:val="15"/>
                <w:szCs w:val="15"/>
                <w:u w:val="single"/>
              </w:rPr>
            </w:pPr>
            <w:r w:rsidRPr="00C003FA">
              <w:rPr>
                <w:sz w:val="15"/>
                <w:szCs w:val="15"/>
                <w:u w:val="single"/>
              </w:rPr>
              <w:t>(12.3)</w:t>
            </w:r>
          </w:p>
        </w:tc>
        <w:tc>
          <w:tcPr>
            <w:tcW w:w="840" w:type="dxa"/>
            <w:vAlign w:val="bottom"/>
          </w:tcPr>
          <w:p w:rsidR="00F7128E" w:rsidRPr="00C003FA" w:rsidRDefault="00F7128E" w:rsidP="00F7128E">
            <w:pPr>
              <w:tabs>
                <w:tab w:val="decimal" w:pos="526"/>
              </w:tabs>
              <w:jc w:val="left"/>
              <w:rPr>
                <w:sz w:val="15"/>
                <w:szCs w:val="15"/>
                <w:u w:val="single"/>
              </w:rPr>
            </w:pPr>
            <w:r w:rsidRPr="00C003FA">
              <w:rPr>
                <w:sz w:val="15"/>
                <w:szCs w:val="15"/>
                <w:u w:val="single"/>
              </w:rPr>
              <w:t>(646.7)</w:t>
            </w:r>
          </w:p>
        </w:tc>
        <w:tc>
          <w:tcPr>
            <w:tcW w:w="842" w:type="dxa"/>
            <w:tcBorders>
              <w:right w:val="single" w:sz="4" w:space="0" w:color="auto"/>
            </w:tcBorders>
            <w:vAlign w:val="bottom"/>
          </w:tcPr>
          <w:p w:rsidR="00F7128E" w:rsidRPr="00C003FA" w:rsidRDefault="00F7128E" w:rsidP="00F7128E">
            <w:pPr>
              <w:tabs>
                <w:tab w:val="decimal" w:pos="316"/>
              </w:tabs>
              <w:jc w:val="left"/>
              <w:rPr>
                <w:sz w:val="15"/>
                <w:szCs w:val="15"/>
                <w:u w:val="single"/>
              </w:rPr>
            </w:pPr>
            <w:r w:rsidRPr="00C003FA">
              <w:rPr>
                <w:sz w:val="15"/>
                <w:szCs w:val="15"/>
                <w:u w:val="single"/>
              </w:rPr>
              <w:t>(6.7)</w:t>
            </w:r>
          </w:p>
        </w:tc>
        <w:tc>
          <w:tcPr>
            <w:tcW w:w="840" w:type="dxa"/>
            <w:tcBorders>
              <w:left w:val="single" w:sz="4" w:space="0" w:color="auto"/>
            </w:tcBorders>
          </w:tcPr>
          <w:p w:rsidR="00F7128E" w:rsidRPr="00C003FA" w:rsidRDefault="00F7128E" w:rsidP="00F7128E">
            <w:pPr>
              <w:tabs>
                <w:tab w:val="decimal" w:pos="526"/>
              </w:tabs>
              <w:jc w:val="left"/>
              <w:rPr>
                <w:sz w:val="15"/>
                <w:szCs w:val="15"/>
                <w:u w:val="single"/>
              </w:rPr>
            </w:pPr>
            <w:r w:rsidRPr="00C003FA">
              <w:rPr>
                <w:sz w:val="15"/>
                <w:szCs w:val="15"/>
                <w:u w:val="single"/>
              </w:rPr>
              <w:br/>
              <w:t>(699.4)</w:t>
            </w:r>
          </w:p>
        </w:tc>
        <w:tc>
          <w:tcPr>
            <w:tcW w:w="840" w:type="dxa"/>
          </w:tcPr>
          <w:p w:rsidR="00F7128E" w:rsidRPr="00C003FA" w:rsidRDefault="00F7128E" w:rsidP="00F7128E">
            <w:pPr>
              <w:tabs>
                <w:tab w:val="decimal" w:pos="324"/>
              </w:tabs>
              <w:jc w:val="left"/>
              <w:rPr>
                <w:sz w:val="15"/>
                <w:szCs w:val="15"/>
                <w:u w:val="single"/>
              </w:rPr>
            </w:pPr>
            <w:r w:rsidRPr="00C003FA">
              <w:rPr>
                <w:sz w:val="15"/>
                <w:szCs w:val="15"/>
                <w:u w:val="single"/>
              </w:rPr>
              <w:br/>
              <w:t>8.2</w:t>
            </w:r>
          </w:p>
        </w:tc>
        <w:tc>
          <w:tcPr>
            <w:tcW w:w="840" w:type="dxa"/>
          </w:tcPr>
          <w:p w:rsidR="00F7128E" w:rsidRPr="00C003FA" w:rsidRDefault="00D06746" w:rsidP="00F7128E">
            <w:pPr>
              <w:tabs>
                <w:tab w:val="decimal" w:pos="526"/>
              </w:tabs>
              <w:jc w:val="left"/>
              <w:rPr>
                <w:sz w:val="15"/>
                <w:szCs w:val="15"/>
                <w:u w:val="single"/>
              </w:rPr>
            </w:pPr>
            <w:r>
              <w:rPr>
                <w:sz w:val="15"/>
                <w:szCs w:val="15"/>
                <w:u w:val="single"/>
              </w:rPr>
              <w:br/>
              <w:t>672.3</w:t>
            </w:r>
          </w:p>
        </w:tc>
        <w:tc>
          <w:tcPr>
            <w:tcW w:w="842" w:type="dxa"/>
          </w:tcPr>
          <w:p w:rsidR="00F7128E" w:rsidRPr="00C003FA" w:rsidRDefault="00D06746" w:rsidP="00F7128E">
            <w:pPr>
              <w:tabs>
                <w:tab w:val="decimal" w:pos="324"/>
              </w:tabs>
              <w:jc w:val="left"/>
              <w:rPr>
                <w:sz w:val="15"/>
                <w:szCs w:val="15"/>
                <w:u w:val="single"/>
              </w:rPr>
            </w:pPr>
            <w:r>
              <w:rPr>
                <w:sz w:val="15"/>
                <w:szCs w:val="15"/>
                <w:u w:val="single"/>
              </w:rPr>
              <w:br/>
              <w:t>(3.9)</w:t>
            </w:r>
          </w:p>
        </w:tc>
      </w:tr>
      <w:tr w:rsidR="00F7128E" w:rsidRPr="00C003FA" w:rsidTr="00804D3C">
        <w:trPr>
          <w:jc w:val="center"/>
        </w:trPr>
        <w:tc>
          <w:tcPr>
            <w:tcW w:w="2070" w:type="dxa"/>
            <w:vAlign w:val="bottom"/>
          </w:tcPr>
          <w:p w:rsidR="00F7128E" w:rsidRPr="00C003FA" w:rsidRDefault="00F7128E" w:rsidP="00F7128E">
            <w:pPr>
              <w:ind w:left="432" w:hanging="90"/>
              <w:jc w:val="left"/>
              <w:rPr>
                <w:sz w:val="15"/>
                <w:szCs w:val="15"/>
              </w:rPr>
            </w:pPr>
            <w:r w:rsidRPr="00C003FA">
              <w:rPr>
                <w:sz w:val="15"/>
                <w:szCs w:val="15"/>
              </w:rPr>
              <w:t>Total Income Taxes to the General Fund</w:t>
            </w:r>
          </w:p>
        </w:tc>
        <w:tc>
          <w:tcPr>
            <w:tcW w:w="900" w:type="dxa"/>
            <w:vAlign w:val="bottom"/>
          </w:tcPr>
          <w:p w:rsidR="00F7128E" w:rsidRPr="00C003FA" w:rsidRDefault="00F7128E" w:rsidP="00F7128E">
            <w:pPr>
              <w:tabs>
                <w:tab w:val="decimal" w:pos="466"/>
              </w:tabs>
              <w:jc w:val="left"/>
              <w:rPr>
                <w:sz w:val="15"/>
                <w:szCs w:val="15"/>
              </w:rPr>
            </w:pPr>
            <w:r w:rsidRPr="00C003FA">
              <w:rPr>
                <w:sz w:val="15"/>
                <w:szCs w:val="15"/>
              </w:rPr>
              <w:t>$</w:t>
            </w:r>
            <w:r w:rsidRPr="00C003FA">
              <w:rPr>
                <w:sz w:val="15"/>
                <w:szCs w:val="15"/>
                <w:u w:val="single"/>
              </w:rPr>
              <w:t>6,656.2</w:t>
            </w:r>
          </w:p>
        </w:tc>
        <w:tc>
          <w:tcPr>
            <w:tcW w:w="853" w:type="dxa"/>
            <w:vAlign w:val="bottom"/>
          </w:tcPr>
          <w:p w:rsidR="00F7128E" w:rsidRPr="00C003FA" w:rsidRDefault="00F7128E" w:rsidP="00F7128E">
            <w:pPr>
              <w:tabs>
                <w:tab w:val="decimal" w:pos="256"/>
              </w:tabs>
              <w:jc w:val="left"/>
              <w:rPr>
                <w:sz w:val="15"/>
                <w:szCs w:val="15"/>
              </w:rPr>
            </w:pPr>
            <w:r w:rsidRPr="00C003FA">
              <w:rPr>
                <w:sz w:val="15"/>
                <w:szCs w:val="15"/>
                <w:u w:val="single"/>
              </w:rPr>
              <w:t xml:space="preserve">  2.0</w:t>
            </w:r>
            <w:r w:rsidRPr="00C003FA">
              <w:rPr>
                <w:sz w:val="15"/>
                <w:szCs w:val="15"/>
              </w:rPr>
              <w:t>%</w:t>
            </w:r>
          </w:p>
        </w:tc>
        <w:tc>
          <w:tcPr>
            <w:tcW w:w="852" w:type="dxa"/>
            <w:vAlign w:val="bottom"/>
          </w:tcPr>
          <w:p w:rsidR="00F7128E" w:rsidRPr="00C003FA" w:rsidRDefault="00F7128E" w:rsidP="00F7128E">
            <w:pPr>
              <w:tabs>
                <w:tab w:val="decimal" w:pos="525"/>
              </w:tabs>
              <w:jc w:val="left"/>
              <w:rPr>
                <w:sz w:val="15"/>
                <w:szCs w:val="15"/>
              </w:rPr>
            </w:pPr>
            <w:r w:rsidRPr="00C003FA">
              <w:rPr>
                <w:sz w:val="15"/>
                <w:szCs w:val="15"/>
              </w:rPr>
              <w:t>$</w:t>
            </w:r>
            <w:r w:rsidRPr="00C003FA">
              <w:rPr>
                <w:sz w:val="15"/>
                <w:szCs w:val="15"/>
                <w:u w:val="single"/>
              </w:rPr>
              <w:t>6,730.2</w:t>
            </w:r>
          </w:p>
        </w:tc>
        <w:tc>
          <w:tcPr>
            <w:tcW w:w="840" w:type="dxa"/>
            <w:vAlign w:val="bottom"/>
          </w:tcPr>
          <w:p w:rsidR="00F7128E" w:rsidRPr="00C003FA" w:rsidRDefault="00F7128E" w:rsidP="00F7128E">
            <w:pPr>
              <w:tabs>
                <w:tab w:val="decimal" w:pos="315"/>
              </w:tabs>
              <w:jc w:val="left"/>
              <w:rPr>
                <w:sz w:val="15"/>
                <w:szCs w:val="15"/>
              </w:rPr>
            </w:pPr>
            <w:r w:rsidRPr="00C003FA">
              <w:rPr>
                <w:sz w:val="15"/>
                <w:szCs w:val="15"/>
                <w:u w:val="single"/>
              </w:rPr>
              <w:t>1.1</w:t>
            </w:r>
            <w:r w:rsidRPr="00C003FA">
              <w:rPr>
                <w:sz w:val="15"/>
                <w:szCs w:val="15"/>
              </w:rPr>
              <w:t>%</w:t>
            </w:r>
          </w:p>
        </w:tc>
        <w:tc>
          <w:tcPr>
            <w:tcW w:w="840" w:type="dxa"/>
            <w:vAlign w:val="bottom"/>
          </w:tcPr>
          <w:p w:rsidR="00F7128E" w:rsidRPr="00C003FA" w:rsidRDefault="00F7128E" w:rsidP="00F7128E">
            <w:pPr>
              <w:tabs>
                <w:tab w:val="decimal" w:pos="466"/>
              </w:tabs>
              <w:jc w:val="left"/>
              <w:rPr>
                <w:sz w:val="15"/>
                <w:szCs w:val="15"/>
              </w:rPr>
            </w:pPr>
            <w:r w:rsidRPr="00C003FA">
              <w:rPr>
                <w:sz w:val="15"/>
                <w:szCs w:val="15"/>
              </w:rPr>
              <w:t>$</w:t>
            </w:r>
            <w:r w:rsidRPr="00C003FA">
              <w:rPr>
                <w:sz w:val="15"/>
                <w:szCs w:val="15"/>
                <w:u w:val="single"/>
              </w:rPr>
              <w:t>7,742.1</w:t>
            </w:r>
          </w:p>
        </w:tc>
        <w:tc>
          <w:tcPr>
            <w:tcW w:w="840" w:type="dxa"/>
            <w:vAlign w:val="bottom"/>
          </w:tcPr>
          <w:p w:rsidR="00F7128E" w:rsidRPr="00C003FA" w:rsidRDefault="00F7128E" w:rsidP="00F7128E">
            <w:pPr>
              <w:tabs>
                <w:tab w:val="decimal" w:pos="256"/>
              </w:tabs>
              <w:jc w:val="left"/>
              <w:rPr>
                <w:sz w:val="15"/>
                <w:szCs w:val="15"/>
                <w:u w:val="single"/>
              </w:rPr>
            </w:pPr>
            <w:r w:rsidRPr="00C003FA">
              <w:rPr>
                <w:sz w:val="15"/>
                <w:szCs w:val="15"/>
                <w:u w:val="single"/>
              </w:rPr>
              <w:t>15.0</w:t>
            </w:r>
            <w:r w:rsidRPr="00C003FA">
              <w:rPr>
                <w:sz w:val="15"/>
                <w:szCs w:val="15"/>
              </w:rPr>
              <w:t>%</w:t>
            </w:r>
          </w:p>
        </w:tc>
        <w:tc>
          <w:tcPr>
            <w:tcW w:w="840" w:type="dxa"/>
            <w:vAlign w:val="bottom"/>
          </w:tcPr>
          <w:p w:rsidR="00F7128E" w:rsidRPr="00C003FA" w:rsidRDefault="00F7128E" w:rsidP="00F7128E">
            <w:pPr>
              <w:tabs>
                <w:tab w:val="decimal" w:pos="496"/>
              </w:tabs>
              <w:jc w:val="left"/>
              <w:rPr>
                <w:sz w:val="15"/>
                <w:szCs w:val="15"/>
                <w:u w:val="single"/>
              </w:rPr>
            </w:pPr>
            <w:r w:rsidRPr="00C003FA">
              <w:rPr>
                <w:sz w:val="15"/>
                <w:szCs w:val="15"/>
              </w:rPr>
              <w:t>$</w:t>
            </w:r>
            <w:r w:rsidRPr="00C003FA">
              <w:rPr>
                <w:sz w:val="15"/>
                <w:szCs w:val="15"/>
                <w:u w:val="single"/>
              </w:rPr>
              <w:t>8,474.0</w:t>
            </w:r>
          </w:p>
        </w:tc>
        <w:tc>
          <w:tcPr>
            <w:tcW w:w="839" w:type="dxa"/>
            <w:vAlign w:val="bottom"/>
          </w:tcPr>
          <w:p w:rsidR="00F7128E" w:rsidRPr="00C003FA" w:rsidRDefault="00F7128E" w:rsidP="00F7128E">
            <w:pPr>
              <w:tabs>
                <w:tab w:val="decimal" w:pos="286"/>
              </w:tabs>
              <w:jc w:val="left"/>
              <w:rPr>
                <w:sz w:val="15"/>
                <w:szCs w:val="15"/>
                <w:u w:val="single"/>
              </w:rPr>
            </w:pPr>
            <w:r w:rsidRPr="00C003FA">
              <w:rPr>
                <w:sz w:val="15"/>
                <w:szCs w:val="15"/>
                <w:u w:val="single"/>
              </w:rPr>
              <w:t>9.5</w:t>
            </w:r>
            <w:r w:rsidRPr="00C003FA">
              <w:rPr>
                <w:sz w:val="15"/>
                <w:szCs w:val="15"/>
              </w:rPr>
              <w:t>%</w:t>
            </w:r>
          </w:p>
        </w:tc>
        <w:tc>
          <w:tcPr>
            <w:tcW w:w="840" w:type="dxa"/>
            <w:vAlign w:val="bottom"/>
          </w:tcPr>
          <w:p w:rsidR="00F7128E" w:rsidRPr="00C003FA" w:rsidRDefault="00F7128E" w:rsidP="00F7128E">
            <w:pPr>
              <w:tabs>
                <w:tab w:val="decimal" w:pos="526"/>
              </w:tabs>
              <w:jc w:val="left"/>
              <w:rPr>
                <w:sz w:val="15"/>
                <w:szCs w:val="15"/>
                <w:u w:val="single"/>
              </w:rPr>
            </w:pPr>
            <w:r w:rsidRPr="00C003FA">
              <w:rPr>
                <w:sz w:val="15"/>
                <w:szCs w:val="15"/>
              </w:rPr>
              <w:t>$</w:t>
            </w:r>
            <w:r w:rsidRPr="00C003FA">
              <w:rPr>
                <w:sz w:val="15"/>
                <w:szCs w:val="15"/>
                <w:u w:val="single"/>
              </w:rPr>
              <w:t>8,727.1</w:t>
            </w:r>
          </w:p>
        </w:tc>
        <w:tc>
          <w:tcPr>
            <w:tcW w:w="842" w:type="dxa"/>
            <w:tcBorders>
              <w:right w:val="single" w:sz="4" w:space="0" w:color="auto"/>
            </w:tcBorders>
            <w:vAlign w:val="bottom"/>
          </w:tcPr>
          <w:p w:rsidR="00F7128E" w:rsidRPr="00C003FA" w:rsidRDefault="00F7128E" w:rsidP="00F7128E">
            <w:pPr>
              <w:tabs>
                <w:tab w:val="decimal" w:pos="316"/>
              </w:tabs>
              <w:jc w:val="left"/>
              <w:rPr>
                <w:sz w:val="15"/>
                <w:szCs w:val="15"/>
                <w:u w:val="single"/>
              </w:rPr>
            </w:pPr>
            <w:r w:rsidRPr="00C003FA">
              <w:rPr>
                <w:sz w:val="15"/>
                <w:szCs w:val="15"/>
                <w:u w:val="single"/>
              </w:rPr>
              <w:t>3.0%</w:t>
            </w:r>
          </w:p>
        </w:tc>
        <w:tc>
          <w:tcPr>
            <w:tcW w:w="840" w:type="dxa"/>
            <w:tcBorders>
              <w:left w:val="single" w:sz="4" w:space="0" w:color="auto"/>
            </w:tcBorders>
          </w:tcPr>
          <w:p w:rsidR="00F7128E" w:rsidRPr="00C003FA" w:rsidRDefault="00F7128E" w:rsidP="00F7128E">
            <w:pPr>
              <w:tabs>
                <w:tab w:val="decimal" w:pos="526"/>
              </w:tabs>
              <w:jc w:val="left"/>
              <w:rPr>
                <w:sz w:val="15"/>
                <w:szCs w:val="15"/>
                <w:u w:val="single"/>
              </w:rPr>
            </w:pPr>
            <w:r w:rsidRPr="00C003FA">
              <w:rPr>
                <w:sz w:val="15"/>
                <w:szCs w:val="15"/>
                <w:u w:val="single"/>
              </w:rPr>
              <w:br/>
              <w:t>$7,898.1</w:t>
            </w:r>
          </w:p>
        </w:tc>
        <w:tc>
          <w:tcPr>
            <w:tcW w:w="840" w:type="dxa"/>
          </w:tcPr>
          <w:p w:rsidR="00F7128E" w:rsidRPr="00C003FA" w:rsidRDefault="00F7128E" w:rsidP="00F7128E">
            <w:pPr>
              <w:tabs>
                <w:tab w:val="decimal" w:pos="324"/>
              </w:tabs>
              <w:jc w:val="left"/>
              <w:rPr>
                <w:sz w:val="15"/>
                <w:szCs w:val="15"/>
                <w:u w:val="single"/>
              </w:rPr>
            </w:pPr>
            <w:r w:rsidRPr="00C003FA">
              <w:rPr>
                <w:sz w:val="15"/>
                <w:szCs w:val="15"/>
                <w:u w:val="single"/>
              </w:rPr>
              <w:br/>
              <w:t>(9.5)</w:t>
            </w:r>
            <w:r w:rsidRPr="00C003FA">
              <w:rPr>
                <w:sz w:val="15"/>
                <w:szCs w:val="15"/>
              </w:rPr>
              <w:t>%</w:t>
            </w:r>
          </w:p>
        </w:tc>
        <w:tc>
          <w:tcPr>
            <w:tcW w:w="840" w:type="dxa"/>
          </w:tcPr>
          <w:p w:rsidR="00F7128E" w:rsidRPr="00C003FA" w:rsidRDefault="00D06746" w:rsidP="00F7128E">
            <w:pPr>
              <w:tabs>
                <w:tab w:val="decimal" w:pos="526"/>
              </w:tabs>
              <w:jc w:val="left"/>
              <w:rPr>
                <w:sz w:val="15"/>
                <w:szCs w:val="15"/>
                <w:u w:val="single"/>
              </w:rPr>
            </w:pPr>
            <w:r>
              <w:rPr>
                <w:sz w:val="15"/>
                <w:szCs w:val="15"/>
                <w:u w:val="single"/>
              </w:rPr>
              <w:br/>
              <w:t>$8,292.3</w:t>
            </w:r>
          </w:p>
        </w:tc>
        <w:tc>
          <w:tcPr>
            <w:tcW w:w="842" w:type="dxa"/>
          </w:tcPr>
          <w:p w:rsidR="00F7128E" w:rsidRPr="00C003FA" w:rsidRDefault="00D06746" w:rsidP="00F7128E">
            <w:pPr>
              <w:tabs>
                <w:tab w:val="decimal" w:pos="324"/>
              </w:tabs>
              <w:jc w:val="left"/>
              <w:rPr>
                <w:sz w:val="15"/>
                <w:szCs w:val="15"/>
                <w:u w:val="single"/>
              </w:rPr>
            </w:pPr>
            <w:r>
              <w:rPr>
                <w:sz w:val="15"/>
                <w:szCs w:val="15"/>
                <w:u w:val="single"/>
              </w:rPr>
              <w:br/>
              <w:t>5.0%</w:t>
            </w:r>
          </w:p>
        </w:tc>
      </w:tr>
      <w:tr w:rsidR="00F7128E" w:rsidRPr="00C003FA" w:rsidTr="00804D3C">
        <w:trPr>
          <w:jc w:val="center"/>
        </w:trPr>
        <w:tc>
          <w:tcPr>
            <w:tcW w:w="2070" w:type="dxa"/>
            <w:vAlign w:val="bottom"/>
          </w:tcPr>
          <w:p w:rsidR="00F7128E" w:rsidRPr="00C003FA" w:rsidRDefault="00F7128E" w:rsidP="00F7128E">
            <w:pPr>
              <w:jc w:val="left"/>
              <w:rPr>
                <w:sz w:val="15"/>
                <w:szCs w:val="15"/>
              </w:rPr>
            </w:pPr>
          </w:p>
        </w:tc>
        <w:tc>
          <w:tcPr>
            <w:tcW w:w="900" w:type="dxa"/>
            <w:vAlign w:val="bottom"/>
          </w:tcPr>
          <w:p w:rsidR="00F7128E" w:rsidRPr="00C003FA" w:rsidRDefault="00F7128E" w:rsidP="00F7128E">
            <w:pPr>
              <w:tabs>
                <w:tab w:val="decimal" w:pos="466"/>
              </w:tabs>
              <w:jc w:val="left"/>
              <w:rPr>
                <w:sz w:val="15"/>
                <w:szCs w:val="15"/>
              </w:rPr>
            </w:pPr>
          </w:p>
        </w:tc>
        <w:tc>
          <w:tcPr>
            <w:tcW w:w="853" w:type="dxa"/>
            <w:vAlign w:val="bottom"/>
          </w:tcPr>
          <w:p w:rsidR="00F7128E" w:rsidRPr="00C003FA" w:rsidRDefault="00F7128E" w:rsidP="00F7128E">
            <w:pPr>
              <w:tabs>
                <w:tab w:val="decimal" w:pos="256"/>
              </w:tabs>
              <w:jc w:val="left"/>
              <w:rPr>
                <w:sz w:val="15"/>
                <w:szCs w:val="15"/>
              </w:rPr>
            </w:pPr>
          </w:p>
        </w:tc>
        <w:tc>
          <w:tcPr>
            <w:tcW w:w="852" w:type="dxa"/>
            <w:vAlign w:val="bottom"/>
          </w:tcPr>
          <w:p w:rsidR="00F7128E" w:rsidRPr="00C003FA" w:rsidRDefault="00F7128E" w:rsidP="00F7128E">
            <w:pPr>
              <w:tabs>
                <w:tab w:val="decimal" w:pos="525"/>
              </w:tabs>
              <w:jc w:val="left"/>
              <w:rPr>
                <w:sz w:val="15"/>
                <w:szCs w:val="15"/>
              </w:rPr>
            </w:pPr>
          </w:p>
        </w:tc>
        <w:tc>
          <w:tcPr>
            <w:tcW w:w="840" w:type="dxa"/>
            <w:vAlign w:val="bottom"/>
          </w:tcPr>
          <w:p w:rsidR="00F7128E" w:rsidRPr="00C003FA" w:rsidRDefault="00F7128E" w:rsidP="00F7128E">
            <w:pPr>
              <w:tabs>
                <w:tab w:val="decimal" w:pos="315"/>
              </w:tabs>
              <w:jc w:val="left"/>
              <w:rPr>
                <w:sz w:val="15"/>
                <w:szCs w:val="15"/>
              </w:rPr>
            </w:pPr>
          </w:p>
        </w:tc>
        <w:tc>
          <w:tcPr>
            <w:tcW w:w="840" w:type="dxa"/>
            <w:vAlign w:val="bottom"/>
          </w:tcPr>
          <w:p w:rsidR="00F7128E" w:rsidRPr="00C003FA" w:rsidRDefault="00F7128E" w:rsidP="00F7128E">
            <w:pPr>
              <w:tabs>
                <w:tab w:val="decimal" w:pos="466"/>
              </w:tabs>
              <w:jc w:val="left"/>
              <w:rPr>
                <w:sz w:val="15"/>
                <w:szCs w:val="15"/>
              </w:rPr>
            </w:pPr>
          </w:p>
        </w:tc>
        <w:tc>
          <w:tcPr>
            <w:tcW w:w="840" w:type="dxa"/>
            <w:vAlign w:val="bottom"/>
          </w:tcPr>
          <w:p w:rsidR="00F7128E" w:rsidRPr="00C003FA" w:rsidRDefault="00F7128E" w:rsidP="00F7128E">
            <w:pPr>
              <w:tabs>
                <w:tab w:val="decimal" w:pos="256"/>
              </w:tabs>
              <w:jc w:val="left"/>
              <w:rPr>
                <w:sz w:val="15"/>
                <w:szCs w:val="15"/>
              </w:rPr>
            </w:pPr>
          </w:p>
        </w:tc>
        <w:tc>
          <w:tcPr>
            <w:tcW w:w="840" w:type="dxa"/>
            <w:vAlign w:val="bottom"/>
          </w:tcPr>
          <w:p w:rsidR="00F7128E" w:rsidRPr="00C003FA" w:rsidRDefault="00F7128E" w:rsidP="00F7128E">
            <w:pPr>
              <w:tabs>
                <w:tab w:val="decimal" w:pos="496"/>
              </w:tabs>
              <w:jc w:val="left"/>
              <w:rPr>
                <w:sz w:val="15"/>
                <w:szCs w:val="15"/>
              </w:rPr>
            </w:pPr>
          </w:p>
        </w:tc>
        <w:tc>
          <w:tcPr>
            <w:tcW w:w="839" w:type="dxa"/>
            <w:vAlign w:val="bottom"/>
          </w:tcPr>
          <w:p w:rsidR="00F7128E" w:rsidRPr="00C003FA" w:rsidRDefault="00F7128E" w:rsidP="00F7128E">
            <w:pPr>
              <w:tabs>
                <w:tab w:val="decimal" w:pos="286"/>
              </w:tabs>
              <w:jc w:val="left"/>
              <w:rPr>
                <w:sz w:val="15"/>
                <w:szCs w:val="15"/>
              </w:rPr>
            </w:pPr>
          </w:p>
        </w:tc>
        <w:tc>
          <w:tcPr>
            <w:tcW w:w="840" w:type="dxa"/>
            <w:vAlign w:val="bottom"/>
          </w:tcPr>
          <w:p w:rsidR="00F7128E" w:rsidRPr="00C003FA" w:rsidRDefault="00F7128E" w:rsidP="00F7128E">
            <w:pPr>
              <w:tabs>
                <w:tab w:val="decimal" w:pos="526"/>
              </w:tabs>
              <w:jc w:val="left"/>
              <w:rPr>
                <w:sz w:val="15"/>
                <w:szCs w:val="15"/>
              </w:rPr>
            </w:pPr>
          </w:p>
        </w:tc>
        <w:tc>
          <w:tcPr>
            <w:tcW w:w="842" w:type="dxa"/>
            <w:tcBorders>
              <w:right w:val="single" w:sz="4" w:space="0" w:color="auto"/>
            </w:tcBorders>
            <w:vAlign w:val="bottom"/>
          </w:tcPr>
          <w:p w:rsidR="00F7128E" w:rsidRPr="00C003FA" w:rsidRDefault="00F7128E" w:rsidP="00F7128E">
            <w:pPr>
              <w:tabs>
                <w:tab w:val="decimal" w:pos="316"/>
              </w:tabs>
              <w:jc w:val="left"/>
              <w:rPr>
                <w:sz w:val="15"/>
                <w:szCs w:val="15"/>
              </w:rPr>
            </w:pPr>
          </w:p>
        </w:tc>
        <w:tc>
          <w:tcPr>
            <w:tcW w:w="840" w:type="dxa"/>
            <w:tcBorders>
              <w:left w:val="single" w:sz="4" w:space="0" w:color="auto"/>
            </w:tcBorders>
          </w:tcPr>
          <w:p w:rsidR="00F7128E" w:rsidRPr="00C003FA" w:rsidRDefault="00F7128E" w:rsidP="00F7128E">
            <w:pPr>
              <w:tabs>
                <w:tab w:val="decimal" w:pos="526"/>
              </w:tabs>
              <w:jc w:val="left"/>
              <w:rPr>
                <w:sz w:val="15"/>
                <w:szCs w:val="15"/>
              </w:rPr>
            </w:pPr>
          </w:p>
        </w:tc>
        <w:tc>
          <w:tcPr>
            <w:tcW w:w="840" w:type="dxa"/>
            <w:vAlign w:val="bottom"/>
          </w:tcPr>
          <w:p w:rsidR="00F7128E" w:rsidRPr="00C003FA" w:rsidRDefault="00F7128E" w:rsidP="00F7128E">
            <w:pPr>
              <w:tabs>
                <w:tab w:val="decimal" w:pos="324"/>
              </w:tabs>
              <w:jc w:val="left"/>
              <w:rPr>
                <w:sz w:val="15"/>
                <w:szCs w:val="15"/>
              </w:rPr>
            </w:pPr>
          </w:p>
        </w:tc>
        <w:tc>
          <w:tcPr>
            <w:tcW w:w="840" w:type="dxa"/>
          </w:tcPr>
          <w:p w:rsidR="00F7128E" w:rsidRPr="00C003FA" w:rsidRDefault="00F7128E" w:rsidP="00F7128E">
            <w:pPr>
              <w:tabs>
                <w:tab w:val="decimal" w:pos="526"/>
              </w:tabs>
              <w:jc w:val="left"/>
              <w:rPr>
                <w:sz w:val="15"/>
                <w:szCs w:val="15"/>
              </w:rPr>
            </w:pPr>
          </w:p>
        </w:tc>
        <w:tc>
          <w:tcPr>
            <w:tcW w:w="842" w:type="dxa"/>
            <w:vAlign w:val="bottom"/>
          </w:tcPr>
          <w:p w:rsidR="00F7128E" w:rsidRPr="00C003FA" w:rsidRDefault="00F7128E" w:rsidP="00F7128E">
            <w:pPr>
              <w:tabs>
                <w:tab w:val="decimal" w:pos="324"/>
              </w:tabs>
              <w:jc w:val="left"/>
              <w:rPr>
                <w:sz w:val="15"/>
                <w:szCs w:val="15"/>
              </w:rPr>
            </w:pPr>
          </w:p>
        </w:tc>
      </w:tr>
      <w:tr w:rsidR="00F7128E" w:rsidRPr="00C003FA" w:rsidTr="00804D3C">
        <w:trPr>
          <w:jc w:val="center"/>
        </w:trPr>
        <w:tc>
          <w:tcPr>
            <w:tcW w:w="2070" w:type="dxa"/>
            <w:vAlign w:val="bottom"/>
          </w:tcPr>
          <w:p w:rsidR="00F7128E" w:rsidRPr="00C003FA" w:rsidRDefault="00F7128E" w:rsidP="00F7128E">
            <w:pPr>
              <w:jc w:val="left"/>
              <w:rPr>
                <w:sz w:val="15"/>
                <w:szCs w:val="15"/>
              </w:rPr>
            </w:pPr>
            <w:r w:rsidRPr="00C003FA">
              <w:rPr>
                <w:sz w:val="15"/>
                <w:szCs w:val="15"/>
              </w:rPr>
              <w:t>Other Revenues:</w:t>
            </w:r>
          </w:p>
        </w:tc>
        <w:tc>
          <w:tcPr>
            <w:tcW w:w="900" w:type="dxa"/>
            <w:vAlign w:val="bottom"/>
          </w:tcPr>
          <w:p w:rsidR="00F7128E" w:rsidRPr="00C003FA" w:rsidRDefault="00F7128E" w:rsidP="00F7128E">
            <w:pPr>
              <w:tabs>
                <w:tab w:val="decimal" w:pos="466"/>
              </w:tabs>
              <w:jc w:val="left"/>
              <w:rPr>
                <w:sz w:val="15"/>
                <w:szCs w:val="15"/>
              </w:rPr>
            </w:pPr>
          </w:p>
        </w:tc>
        <w:tc>
          <w:tcPr>
            <w:tcW w:w="853" w:type="dxa"/>
            <w:vAlign w:val="bottom"/>
          </w:tcPr>
          <w:p w:rsidR="00F7128E" w:rsidRPr="00C003FA" w:rsidRDefault="00F7128E" w:rsidP="00F7128E">
            <w:pPr>
              <w:tabs>
                <w:tab w:val="decimal" w:pos="256"/>
              </w:tabs>
              <w:jc w:val="left"/>
              <w:rPr>
                <w:sz w:val="15"/>
                <w:szCs w:val="15"/>
              </w:rPr>
            </w:pPr>
          </w:p>
        </w:tc>
        <w:tc>
          <w:tcPr>
            <w:tcW w:w="852" w:type="dxa"/>
            <w:vAlign w:val="bottom"/>
          </w:tcPr>
          <w:p w:rsidR="00F7128E" w:rsidRPr="00C003FA" w:rsidRDefault="00F7128E" w:rsidP="00F7128E">
            <w:pPr>
              <w:tabs>
                <w:tab w:val="decimal" w:pos="525"/>
              </w:tabs>
              <w:jc w:val="left"/>
              <w:rPr>
                <w:sz w:val="15"/>
                <w:szCs w:val="15"/>
              </w:rPr>
            </w:pPr>
          </w:p>
        </w:tc>
        <w:tc>
          <w:tcPr>
            <w:tcW w:w="840" w:type="dxa"/>
            <w:vAlign w:val="bottom"/>
          </w:tcPr>
          <w:p w:rsidR="00F7128E" w:rsidRPr="00C003FA" w:rsidRDefault="00F7128E" w:rsidP="00F7128E">
            <w:pPr>
              <w:tabs>
                <w:tab w:val="decimal" w:pos="315"/>
              </w:tabs>
              <w:jc w:val="left"/>
              <w:rPr>
                <w:sz w:val="15"/>
                <w:szCs w:val="15"/>
              </w:rPr>
            </w:pPr>
          </w:p>
        </w:tc>
        <w:tc>
          <w:tcPr>
            <w:tcW w:w="840" w:type="dxa"/>
            <w:vAlign w:val="bottom"/>
          </w:tcPr>
          <w:p w:rsidR="00F7128E" w:rsidRPr="00C003FA" w:rsidRDefault="00F7128E" w:rsidP="00F7128E">
            <w:pPr>
              <w:tabs>
                <w:tab w:val="decimal" w:pos="466"/>
              </w:tabs>
              <w:jc w:val="left"/>
              <w:rPr>
                <w:sz w:val="15"/>
                <w:szCs w:val="15"/>
              </w:rPr>
            </w:pPr>
          </w:p>
        </w:tc>
        <w:tc>
          <w:tcPr>
            <w:tcW w:w="840" w:type="dxa"/>
            <w:vAlign w:val="bottom"/>
          </w:tcPr>
          <w:p w:rsidR="00F7128E" w:rsidRPr="00C003FA" w:rsidRDefault="00F7128E" w:rsidP="00F7128E">
            <w:pPr>
              <w:tabs>
                <w:tab w:val="decimal" w:pos="256"/>
              </w:tabs>
              <w:jc w:val="left"/>
              <w:rPr>
                <w:sz w:val="15"/>
                <w:szCs w:val="15"/>
              </w:rPr>
            </w:pPr>
          </w:p>
        </w:tc>
        <w:tc>
          <w:tcPr>
            <w:tcW w:w="840" w:type="dxa"/>
            <w:vAlign w:val="bottom"/>
          </w:tcPr>
          <w:p w:rsidR="00F7128E" w:rsidRPr="00C003FA" w:rsidRDefault="00F7128E" w:rsidP="00F7128E">
            <w:pPr>
              <w:tabs>
                <w:tab w:val="decimal" w:pos="496"/>
              </w:tabs>
              <w:jc w:val="left"/>
              <w:rPr>
                <w:sz w:val="15"/>
                <w:szCs w:val="15"/>
              </w:rPr>
            </w:pPr>
          </w:p>
        </w:tc>
        <w:tc>
          <w:tcPr>
            <w:tcW w:w="839" w:type="dxa"/>
            <w:vAlign w:val="bottom"/>
          </w:tcPr>
          <w:p w:rsidR="00F7128E" w:rsidRPr="00C003FA" w:rsidRDefault="00F7128E" w:rsidP="00F7128E">
            <w:pPr>
              <w:tabs>
                <w:tab w:val="decimal" w:pos="286"/>
              </w:tabs>
              <w:jc w:val="left"/>
              <w:rPr>
                <w:sz w:val="15"/>
                <w:szCs w:val="15"/>
              </w:rPr>
            </w:pPr>
          </w:p>
        </w:tc>
        <w:tc>
          <w:tcPr>
            <w:tcW w:w="840" w:type="dxa"/>
            <w:vAlign w:val="bottom"/>
          </w:tcPr>
          <w:p w:rsidR="00F7128E" w:rsidRPr="00C003FA" w:rsidRDefault="00F7128E" w:rsidP="00F7128E">
            <w:pPr>
              <w:tabs>
                <w:tab w:val="decimal" w:pos="526"/>
              </w:tabs>
              <w:jc w:val="left"/>
              <w:rPr>
                <w:sz w:val="15"/>
                <w:szCs w:val="15"/>
              </w:rPr>
            </w:pPr>
          </w:p>
        </w:tc>
        <w:tc>
          <w:tcPr>
            <w:tcW w:w="842" w:type="dxa"/>
            <w:tcBorders>
              <w:right w:val="single" w:sz="4" w:space="0" w:color="auto"/>
            </w:tcBorders>
            <w:vAlign w:val="bottom"/>
          </w:tcPr>
          <w:p w:rsidR="00F7128E" w:rsidRPr="00C003FA" w:rsidRDefault="00F7128E" w:rsidP="00F7128E">
            <w:pPr>
              <w:tabs>
                <w:tab w:val="decimal" w:pos="316"/>
              </w:tabs>
              <w:jc w:val="left"/>
              <w:rPr>
                <w:sz w:val="15"/>
                <w:szCs w:val="15"/>
              </w:rPr>
            </w:pPr>
          </w:p>
        </w:tc>
        <w:tc>
          <w:tcPr>
            <w:tcW w:w="840" w:type="dxa"/>
            <w:tcBorders>
              <w:left w:val="single" w:sz="4" w:space="0" w:color="auto"/>
            </w:tcBorders>
          </w:tcPr>
          <w:p w:rsidR="00F7128E" w:rsidRPr="00C003FA" w:rsidRDefault="00F7128E" w:rsidP="00F7128E">
            <w:pPr>
              <w:tabs>
                <w:tab w:val="decimal" w:pos="526"/>
              </w:tabs>
              <w:jc w:val="left"/>
              <w:rPr>
                <w:sz w:val="15"/>
                <w:szCs w:val="15"/>
              </w:rPr>
            </w:pPr>
          </w:p>
        </w:tc>
        <w:tc>
          <w:tcPr>
            <w:tcW w:w="840" w:type="dxa"/>
            <w:vAlign w:val="bottom"/>
          </w:tcPr>
          <w:p w:rsidR="00F7128E" w:rsidRPr="00C003FA" w:rsidRDefault="00F7128E" w:rsidP="00F7128E">
            <w:pPr>
              <w:tabs>
                <w:tab w:val="decimal" w:pos="324"/>
              </w:tabs>
              <w:jc w:val="left"/>
              <w:rPr>
                <w:sz w:val="15"/>
                <w:szCs w:val="15"/>
              </w:rPr>
            </w:pPr>
          </w:p>
        </w:tc>
        <w:tc>
          <w:tcPr>
            <w:tcW w:w="840" w:type="dxa"/>
          </w:tcPr>
          <w:p w:rsidR="00F7128E" w:rsidRPr="00C003FA" w:rsidRDefault="00F7128E" w:rsidP="00F7128E">
            <w:pPr>
              <w:tabs>
                <w:tab w:val="decimal" w:pos="526"/>
              </w:tabs>
              <w:jc w:val="left"/>
              <w:rPr>
                <w:sz w:val="15"/>
                <w:szCs w:val="15"/>
              </w:rPr>
            </w:pPr>
          </w:p>
        </w:tc>
        <w:tc>
          <w:tcPr>
            <w:tcW w:w="842" w:type="dxa"/>
            <w:vAlign w:val="bottom"/>
          </w:tcPr>
          <w:p w:rsidR="00F7128E" w:rsidRPr="00C003FA" w:rsidRDefault="00F7128E" w:rsidP="00F7128E">
            <w:pPr>
              <w:tabs>
                <w:tab w:val="decimal" w:pos="324"/>
              </w:tabs>
              <w:jc w:val="left"/>
              <w:rPr>
                <w:sz w:val="15"/>
                <w:szCs w:val="15"/>
              </w:rPr>
            </w:pPr>
          </w:p>
        </w:tc>
      </w:tr>
      <w:tr w:rsidR="00F7128E" w:rsidRPr="00C003FA" w:rsidTr="00804D3C">
        <w:trPr>
          <w:jc w:val="center"/>
        </w:trPr>
        <w:tc>
          <w:tcPr>
            <w:tcW w:w="2070" w:type="dxa"/>
            <w:vAlign w:val="bottom"/>
          </w:tcPr>
          <w:p w:rsidR="00F7128E" w:rsidRPr="00C003FA" w:rsidRDefault="00F7128E" w:rsidP="00F7128E">
            <w:pPr>
              <w:ind w:left="162"/>
              <w:jc w:val="left"/>
              <w:rPr>
                <w:sz w:val="15"/>
                <w:szCs w:val="15"/>
              </w:rPr>
            </w:pPr>
            <w:r w:rsidRPr="00C003FA">
              <w:rPr>
                <w:sz w:val="15"/>
                <w:szCs w:val="15"/>
              </w:rPr>
              <w:t>Insurance</w:t>
            </w:r>
          </w:p>
        </w:tc>
        <w:tc>
          <w:tcPr>
            <w:tcW w:w="900" w:type="dxa"/>
            <w:vAlign w:val="bottom"/>
          </w:tcPr>
          <w:p w:rsidR="00F7128E" w:rsidRPr="00C003FA" w:rsidRDefault="00F7128E" w:rsidP="00F7128E">
            <w:pPr>
              <w:tabs>
                <w:tab w:val="decimal" w:pos="466"/>
              </w:tabs>
              <w:jc w:val="left"/>
              <w:rPr>
                <w:sz w:val="15"/>
                <w:szCs w:val="15"/>
              </w:rPr>
            </w:pPr>
            <w:r w:rsidRPr="00C003FA">
              <w:rPr>
                <w:sz w:val="15"/>
                <w:szCs w:val="15"/>
              </w:rPr>
              <w:t>$280.3</w:t>
            </w:r>
          </w:p>
        </w:tc>
        <w:tc>
          <w:tcPr>
            <w:tcW w:w="853" w:type="dxa"/>
            <w:vAlign w:val="bottom"/>
          </w:tcPr>
          <w:p w:rsidR="00F7128E" w:rsidRPr="00C003FA" w:rsidRDefault="00F7128E" w:rsidP="00F7128E">
            <w:pPr>
              <w:tabs>
                <w:tab w:val="decimal" w:pos="256"/>
              </w:tabs>
              <w:jc w:val="left"/>
              <w:rPr>
                <w:sz w:val="15"/>
                <w:szCs w:val="15"/>
              </w:rPr>
            </w:pPr>
            <w:r w:rsidRPr="00C003FA">
              <w:rPr>
                <w:sz w:val="15"/>
                <w:szCs w:val="15"/>
              </w:rPr>
              <w:t>9.2%</w:t>
            </w:r>
          </w:p>
        </w:tc>
        <w:tc>
          <w:tcPr>
            <w:tcW w:w="852" w:type="dxa"/>
            <w:vAlign w:val="bottom"/>
          </w:tcPr>
          <w:p w:rsidR="00F7128E" w:rsidRPr="00C003FA" w:rsidRDefault="00F7128E" w:rsidP="00F7128E">
            <w:pPr>
              <w:tabs>
                <w:tab w:val="decimal" w:pos="525"/>
              </w:tabs>
              <w:jc w:val="left"/>
              <w:rPr>
                <w:sz w:val="15"/>
                <w:szCs w:val="15"/>
              </w:rPr>
            </w:pPr>
            <w:r w:rsidRPr="00C003FA">
              <w:rPr>
                <w:sz w:val="15"/>
                <w:szCs w:val="15"/>
              </w:rPr>
              <w:t>$290.5</w:t>
            </w:r>
          </w:p>
        </w:tc>
        <w:tc>
          <w:tcPr>
            <w:tcW w:w="840" w:type="dxa"/>
            <w:vAlign w:val="bottom"/>
          </w:tcPr>
          <w:p w:rsidR="00F7128E" w:rsidRPr="00C003FA" w:rsidRDefault="00F7128E" w:rsidP="00F7128E">
            <w:pPr>
              <w:tabs>
                <w:tab w:val="decimal" w:pos="315"/>
              </w:tabs>
              <w:jc w:val="left"/>
              <w:rPr>
                <w:sz w:val="15"/>
                <w:szCs w:val="15"/>
              </w:rPr>
            </w:pPr>
            <w:r w:rsidRPr="00C003FA">
              <w:rPr>
                <w:sz w:val="15"/>
                <w:szCs w:val="15"/>
              </w:rPr>
              <w:t>3.6%</w:t>
            </w:r>
          </w:p>
        </w:tc>
        <w:tc>
          <w:tcPr>
            <w:tcW w:w="840" w:type="dxa"/>
            <w:vAlign w:val="bottom"/>
          </w:tcPr>
          <w:p w:rsidR="00F7128E" w:rsidRPr="00C003FA" w:rsidRDefault="00F7128E" w:rsidP="00F7128E">
            <w:pPr>
              <w:tabs>
                <w:tab w:val="decimal" w:pos="466"/>
              </w:tabs>
              <w:jc w:val="left"/>
              <w:rPr>
                <w:sz w:val="15"/>
                <w:szCs w:val="15"/>
              </w:rPr>
            </w:pPr>
            <w:r w:rsidRPr="00C003FA">
              <w:rPr>
                <w:sz w:val="15"/>
                <w:szCs w:val="15"/>
              </w:rPr>
              <w:t>$303.6</w:t>
            </w:r>
          </w:p>
        </w:tc>
        <w:tc>
          <w:tcPr>
            <w:tcW w:w="840" w:type="dxa"/>
            <w:vAlign w:val="bottom"/>
          </w:tcPr>
          <w:p w:rsidR="00F7128E" w:rsidRPr="00C003FA" w:rsidRDefault="00F7128E" w:rsidP="00F7128E">
            <w:pPr>
              <w:tabs>
                <w:tab w:val="decimal" w:pos="256"/>
              </w:tabs>
              <w:jc w:val="left"/>
              <w:rPr>
                <w:sz w:val="15"/>
                <w:szCs w:val="15"/>
              </w:rPr>
            </w:pPr>
            <w:r w:rsidRPr="00C003FA">
              <w:rPr>
                <w:sz w:val="15"/>
                <w:szCs w:val="15"/>
              </w:rPr>
              <w:t>4.5%</w:t>
            </w:r>
          </w:p>
        </w:tc>
        <w:tc>
          <w:tcPr>
            <w:tcW w:w="840" w:type="dxa"/>
            <w:vAlign w:val="bottom"/>
          </w:tcPr>
          <w:p w:rsidR="00F7128E" w:rsidRPr="00C003FA" w:rsidRDefault="00F7128E" w:rsidP="00F7128E">
            <w:pPr>
              <w:tabs>
                <w:tab w:val="decimal" w:pos="496"/>
              </w:tabs>
              <w:jc w:val="left"/>
              <w:rPr>
                <w:sz w:val="15"/>
                <w:szCs w:val="15"/>
              </w:rPr>
            </w:pPr>
            <w:r w:rsidRPr="00C003FA">
              <w:rPr>
                <w:sz w:val="15"/>
                <w:szCs w:val="15"/>
              </w:rPr>
              <w:t>$314.7</w:t>
            </w:r>
          </w:p>
        </w:tc>
        <w:tc>
          <w:tcPr>
            <w:tcW w:w="839" w:type="dxa"/>
            <w:vAlign w:val="bottom"/>
          </w:tcPr>
          <w:p w:rsidR="00F7128E" w:rsidRPr="00C003FA" w:rsidRDefault="00F7128E" w:rsidP="00F7128E">
            <w:pPr>
              <w:tabs>
                <w:tab w:val="decimal" w:pos="286"/>
              </w:tabs>
              <w:jc w:val="left"/>
              <w:rPr>
                <w:sz w:val="15"/>
                <w:szCs w:val="15"/>
              </w:rPr>
            </w:pPr>
            <w:r w:rsidRPr="00C003FA">
              <w:rPr>
                <w:sz w:val="15"/>
                <w:szCs w:val="15"/>
              </w:rPr>
              <w:t>3.6%</w:t>
            </w:r>
          </w:p>
        </w:tc>
        <w:tc>
          <w:tcPr>
            <w:tcW w:w="840" w:type="dxa"/>
            <w:vAlign w:val="bottom"/>
          </w:tcPr>
          <w:p w:rsidR="00F7128E" w:rsidRPr="00C003FA" w:rsidRDefault="00F7128E" w:rsidP="00F7128E">
            <w:pPr>
              <w:tabs>
                <w:tab w:val="decimal" w:pos="526"/>
              </w:tabs>
              <w:jc w:val="left"/>
              <w:rPr>
                <w:sz w:val="15"/>
                <w:szCs w:val="15"/>
              </w:rPr>
            </w:pPr>
            <w:r w:rsidRPr="00C003FA">
              <w:rPr>
                <w:sz w:val="15"/>
                <w:szCs w:val="15"/>
              </w:rPr>
              <w:t>$337.4</w:t>
            </w:r>
          </w:p>
        </w:tc>
        <w:tc>
          <w:tcPr>
            <w:tcW w:w="842" w:type="dxa"/>
            <w:tcBorders>
              <w:right w:val="single" w:sz="4" w:space="0" w:color="auto"/>
            </w:tcBorders>
            <w:vAlign w:val="bottom"/>
          </w:tcPr>
          <w:p w:rsidR="00F7128E" w:rsidRPr="00C003FA" w:rsidRDefault="00F7128E" w:rsidP="00F7128E">
            <w:pPr>
              <w:tabs>
                <w:tab w:val="decimal" w:pos="316"/>
              </w:tabs>
              <w:jc w:val="left"/>
              <w:rPr>
                <w:sz w:val="15"/>
                <w:szCs w:val="15"/>
              </w:rPr>
            </w:pPr>
            <w:r w:rsidRPr="00C003FA">
              <w:rPr>
                <w:sz w:val="15"/>
                <w:szCs w:val="15"/>
              </w:rPr>
              <w:t>7.2%</w:t>
            </w:r>
          </w:p>
        </w:tc>
        <w:tc>
          <w:tcPr>
            <w:tcW w:w="840" w:type="dxa"/>
            <w:tcBorders>
              <w:left w:val="single" w:sz="4" w:space="0" w:color="auto"/>
            </w:tcBorders>
          </w:tcPr>
          <w:p w:rsidR="00F7128E" w:rsidRPr="00C003FA" w:rsidRDefault="00F7128E" w:rsidP="00F7128E">
            <w:pPr>
              <w:tabs>
                <w:tab w:val="decimal" w:pos="526"/>
              </w:tabs>
              <w:jc w:val="left"/>
              <w:rPr>
                <w:sz w:val="15"/>
                <w:szCs w:val="15"/>
              </w:rPr>
            </w:pPr>
            <w:r w:rsidRPr="00C003FA">
              <w:rPr>
                <w:sz w:val="15"/>
                <w:szCs w:val="15"/>
              </w:rPr>
              <w:t>$330.7</w:t>
            </w:r>
          </w:p>
        </w:tc>
        <w:tc>
          <w:tcPr>
            <w:tcW w:w="840" w:type="dxa"/>
          </w:tcPr>
          <w:p w:rsidR="00F7128E" w:rsidRPr="00C003FA" w:rsidRDefault="00F7128E" w:rsidP="00F7128E">
            <w:pPr>
              <w:tabs>
                <w:tab w:val="decimal" w:pos="324"/>
              </w:tabs>
              <w:jc w:val="left"/>
              <w:rPr>
                <w:sz w:val="15"/>
                <w:szCs w:val="15"/>
              </w:rPr>
            </w:pPr>
            <w:r w:rsidRPr="00C003FA">
              <w:rPr>
                <w:sz w:val="15"/>
                <w:szCs w:val="15"/>
              </w:rPr>
              <w:t>(2.0)%</w:t>
            </w:r>
          </w:p>
        </w:tc>
        <w:tc>
          <w:tcPr>
            <w:tcW w:w="840" w:type="dxa"/>
          </w:tcPr>
          <w:p w:rsidR="00F7128E" w:rsidRPr="00C003FA" w:rsidRDefault="00D06746" w:rsidP="00F7128E">
            <w:pPr>
              <w:tabs>
                <w:tab w:val="decimal" w:pos="526"/>
              </w:tabs>
              <w:jc w:val="left"/>
              <w:rPr>
                <w:sz w:val="15"/>
                <w:szCs w:val="15"/>
              </w:rPr>
            </w:pPr>
            <w:r>
              <w:rPr>
                <w:sz w:val="15"/>
                <w:szCs w:val="15"/>
              </w:rPr>
              <w:t>$347.6</w:t>
            </w:r>
          </w:p>
        </w:tc>
        <w:tc>
          <w:tcPr>
            <w:tcW w:w="842" w:type="dxa"/>
          </w:tcPr>
          <w:p w:rsidR="00F7128E" w:rsidRPr="00C003FA" w:rsidRDefault="00D06746" w:rsidP="00F7128E">
            <w:pPr>
              <w:tabs>
                <w:tab w:val="decimal" w:pos="324"/>
              </w:tabs>
              <w:jc w:val="left"/>
              <w:rPr>
                <w:sz w:val="15"/>
                <w:szCs w:val="15"/>
              </w:rPr>
            </w:pPr>
            <w:r>
              <w:rPr>
                <w:sz w:val="15"/>
                <w:szCs w:val="15"/>
              </w:rPr>
              <w:t>5.1%</w:t>
            </w:r>
          </w:p>
        </w:tc>
      </w:tr>
      <w:tr w:rsidR="00F7128E" w:rsidRPr="00C003FA" w:rsidTr="00804D3C">
        <w:trPr>
          <w:jc w:val="center"/>
        </w:trPr>
        <w:tc>
          <w:tcPr>
            <w:tcW w:w="2070" w:type="dxa"/>
            <w:vAlign w:val="bottom"/>
          </w:tcPr>
          <w:p w:rsidR="00F7128E" w:rsidRPr="00C003FA" w:rsidRDefault="00F7128E" w:rsidP="00F7128E">
            <w:pPr>
              <w:ind w:left="162"/>
              <w:jc w:val="left"/>
              <w:rPr>
                <w:sz w:val="15"/>
                <w:szCs w:val="15"/>
              </w:rPr>
            </w:pPr>
            <w:r w:rsidRPr="00C003FA">
              <w:rPr>
                <w:sz w:val="15"/>
                <w:szCs w:val="15"/>
              </w:rPr>
              <w:t>Interest Income</w:t>
            </w:r>
          </w:p>
        </w:tc>
        <w:tc>
          <w:tcPr>
            <w:tcW w:w="900" w:type="dxa"/>
            <w:vAlign w:val="bottom"/>
          </w:tcPr>
          <w:p w:rsidR="00F7128E" w:rsidRPr="00C003FA" w:rsidRDefault="00F7128E" w:rsidP="00F7128E">
            <w:pPr>
              <w:tabs>
                <w:tab w:val="decimal" w:pos="466"/>
              </w:tabs>
              <w:jc w:val="left"/>
              <w:rPr>
                <w:sz w:val="15"/>
                <w:szCs w:val="15"/>
              </w:rPr>
            </w:pPr>
            <w:r w:rsidRPr="00C003FA">
              <w:rPr>
                <w:sz w:val="15"/>
                <w:szCs w:val="15"/>
              </w:rPr>
              <w:t>12.4</w:t>
            </w:r>
          </w:p>
        </w:tc>
        <w:tc>
          <w:tcPr>
            <w:tcW w:w="853" w:type="dxa"/>
            <w:vAlign w:val="bottom"/>
          </w:tcPr>
          <w:p w:rsidR="00F7128E" w:rsidRPr="00C003FA" w:rsidRDefault="00F7128E" w:rsidP="00F7128E">
            <w:pPr>
              <w:tabs>
                <w:tab w:val="decimal" w:pos="256"/>
              </w:tabs>
              <w:jc w:val="left"/>
              <w:rPr>
                <w:sz w:val="15"/>
                <w:szCs w:val="15"/>
              </w:rPr>
            </w:pPr>
            <w:r w:rsidRPr="00C003FA">
              <w:rPr>
                <w:sz w:val="15"/>
                <w:szCs w:val="15"/>
              </w:rPr>
              <w:t>40.3</w:t>
            </w:r>
          </w:p>
        </w:tc>
        <w:tc>
          <w:tcPr>
            <w:tcW w:w="852" w:type="dxa"/>
            <w:vAlign w:val="bottom"/>
          </w:tcPr>
          <w:p w:rsidR="00F7128E" w:rsidRPr="00C003FA" w:rsidRDefault="00F7128E" w:rsidP="00F7128E">
            <w:pPr>
              <w:tabs>
                <w:tab w:val="decimal" w:pos="525"/>
              </w:tabs>
              <w:jc w:val="left"/>
              <w:rPr>
                <w:sz w:val="15"/>
                <w:szCs w:val="15"/>
              </w:rPr>
            </w:pPr>
            <w:r w:rsidRPr="00C003FA">
              <w:rPr>
                <w:sz w:val="15"/>
                <w:szCs w:val="15"/>
              </w:rPr>
              <w:t>14.7</w:t>
            </w:r>
          </w:p>
        </w:tc>
        <w:tc>
          <w:tcPr>
            <w:tcW w:w="840" w:type="dxa"/>
            <w:vAlign w:val="bottom"/>
          </w:tcPr>
          <w:p w:rsidR="00F7128E" w:rsidRPr="00C003FA" w:rsidRDefault="00F7128E" w:rsidP="00F7128E">
            <w:pPr>
              <w:tabs>
                <w:tab w:val="decimal" w:pos="315"/>
              </w:tabs>
              <w:jc w:val="left"/>
              <w:rPr>
                <w:sz w:val="15"/>
                <w:szCs w:val="15"/>
              </w:rPr>
            </w:pPr>
            <w:r w:rsidRPr="00C003FA">
              <w:rPr>
                <w:sz w:val="15"/>
                <w:szCs w:val="15"/>
              </w:rPr>
              <w:t>18.6</w:t>
            </w:r>
          </w:p>
        </w:tc>
        <w:tc>
          <w:tcPr>
            <w:tcW w:w="840" w:type="dxa"/>
            <w:vAlign w:val="bottom"/>
          </w:tcPr>
          <w:p w:rsidR="00F7128E" w:rsidRPr="00C003FA" w:rsidRDefault="00F7128E" w:rsidP="00F7128E">
            <w:pPr>
              <w:tabs>
                <w:tab w:val="decimal" w:pos="466"/>
              </w:tabs>
              <w:jc w:val="left"/>
              <w:rPr>
                <w:sz w:val="15"/>
                <w:szCs w:val="15"/>
              </w:rPr>
            </w:pPr>
            <w:r w:rsidRPr="00C003FA">
              <w:rPr>
                <w:sz w:val="15"/>
                <w:szCs w:val="15"/>
              </w:rPr>
              <w:t>19.5</w:t>
            </w:r>
          </w:p>
        </w:tc>
        <w:tc>
          <w:tcPr>
            <w:tcW w:w="840" w:type="dxa"/>
            <w:vAlign w:val="bottom"/>
          </w:tcPr>
          <w:p w:rsidR="00F7128E" w:rsidRPr="00C003FA" w:rsidRDefault="00F7128E" w:rsidP="00F7128E">
            <w:pPr>
              <w:tabs>
                <w:tab w:val="decimal" w:pos="256"/>
              </w:tabs>
              <w:jc w:val="left"/>
              <w:rPr>
                <w:sz w:val="15"/>
                <w:szCs w:val="15"/>
              </w:rPr>
            </w:pPr>
            <w:r w:rsidRPr="00C003FA">
              <w:rPr>
                <w:sz w:val="15"/>
                <w:szCs w:val="15"/>
              </w:rPr>
              <w:t>32.4</w:t>
            </w:r>
          </w:p>
        </w:tc>
        <w:tc>
          <w:tcPr>
            <w:tcW w:w="840" w:type="dxa"/>
            <w:vAlign w:val="bottom"/>
          </w:tcPr>
          <w:p w:rsidR="00F7128E" w:rsidRPr="00C003FA" w:rsidRDefault="00F7128E" w:rsidP="00F7128E">
            <w:pPr>
              <w:tabs>
                <w:tab w:val="decimal" w:pos="496"/>
              </w:tabs>
              <w:jc w:val="left"/>
              <w:rPr>
                <w:sz w:val="15"/>
                <w:szCs w:val="15"/>
              </w:rPr>
            </w:pPr>
            <w:r w:rsidRPr="00C003FA">
              <w:rPr>
                <w:sz w:val="15"/>
                <w:szCs w:val="15"/>
              </w:rPr>
              <w:t>26.5</w:t>
            </w:r>
          </w:p>
        </w:tc>
        <w:tc>
          <w:tcPr>
            <w:tcW w:w="839" w:type="dxa"/>
            <w:vAlign w:val="bottom"/>
          </w:tcPr>
          <w:p w:rsidR="00F7128E" w:rsidRPr="00C003FA" w:rsidRDefault="00F7128E" w:rsidP="00F7128E">
            <w:pPr>
              <w:tabs>
                <w:tab w:val="decimal" w:pos="286"/>
              </w:tabs>
              <w:jc w:val="left"/>
              <w:rPr>
                <w:sz w:val="15"/>
                <w:szCs w:val="15"/>
              </w:rPr>
            </w:pPr>
            <w:r w:rsidRPr="00C003FA">
              <w:rPr>
                <w:sz w:val="15"/>
                <w:szCs w:val="15"/>
              </w:rPr>
              <w:t>35.8</w:t>
            </w:r>
          </w:p>
        </w:tc>
        <w:tc>
          <w:tcPr>
            <w:tcW w:w="840" w:type="dxa"/>
            <w:vAlign w:val="bottom"/>
          </w:tcPr>
          <w:p w:rsidR="00F7128E" w:rsidRPr="00C003FA" w:rsidRDefault="00F7128E" w:rsidP="00F7128E">
            <w:pPr>
              <w:tabs>
                <w:tab w:val="decimal" w:pos="526"/>
              </w:tabs>
              <w:jc w:val="left"/>
              <w:rPr>
                <w:sz w:val="15"/>
                <w:szCs w:val="15"/>
              </w:rPr>
            </w:pPr>
            <w:r w:rsidRPr="00C003FA">
              <w:rPr>
                <w:sz w:val="15"/>
                <w:szCs w:val="15"/>
              </w:rPr>
              <w:t>31.1</w:t>
            </w:r>
          </w:p>
        </w:tc>
        <w:tc>
          <w:tcPr>
            <w:tcW w:w="842" w:type="dxa"/>
            <w:tcBorders>
              <w:right w:val="single" w:sz="4" w:space="0" w:color="auto"/>
            </w:tcBorders>
            <w:vAlign w:val="bottom"/>
          </w:tcPr>
          <w:p w:rsidR="00F7128E" w:rsidRPr="00C003FA" w:rsidRDefault="00F7128E" w:rsidP="00F7128E">
            <w:pPr>
              <w:tabs>
                <w:tab w:val="decimal" w:pos="316"/>
              </w:tabs>
              <w:jc w:val="left"/>
              <w:rPr>
                <w:sz w:val="15"/>
                <w:szCs w:val="15"/>
              </w:rPr>
            </w:pPr>
            <w:r w:rsidRPr="00C003FA">
              <w:rPr>
                <w:sz w:val="15"/>
                <w:szCs w:val="15"/>
              </w:rPr>
              <w:t>17.2</w:t>
            </w:r>
          </w:p>
        </w:tc>
        <w:tc>
          <w:tcPr>
            <w:tcW w:w="840" w:type="dxa"/>
            <w:tcBorders>
              <w:left w:val="single" w:sz="4" w:space="0" w:color="auto"/>
            </w:tcBorders>
          </w:tcPr>
          <w:p w:rsidR="00F7128E" w:rsidRPr="00C003FA" w:rsidRDefault="00F7128E" w:rsidP="00F7128E">
            <w:pPr>
              <w:tabs>
                <w:tab w:val="decimal" w:pos="526"/>
              </w:tabs>
              <w:jc w:val="left"/>
              <w:rPr>
                <w:sz w:val="15"/>
                <w:szCs w:val="15"/>
              </w:rPr>
            </w:pPr>
            <w:r w:rsidRPr="00C003FA">
              <w:rPr>
                <w:sz w:val="15"/>
                <w:szCs w:val="15"/>
              </w:rPr>
              <w:t>29.4</w:t>
            </w:r>
          </w:p>
        </w:tc>
        <w:tc>
          <w:tcPr>
            <w:tcW w:w="840" w:type="dxa"/>
          </w:tcPr>
          <w:p w:rsidR="00F7128E" w:rsidRPr="00C003FA" w:rsidRDefault="00F7128E" w:rsidP="00F7128E">
            <w:pPr>
              <w:tabs>
                <w:tab w:val="decimal" w:pos="324"/>
              </w:tabs>
              <w:jc w:val="left"/>
              <w:rPr>
                <w:sz w:val="15"/>
                <w:szCs w:val="15"/>
              </w:rPr>
            </w:pPr>
            <w:r w:rsidRPr="00C003FA">
              <w:rPr>
                <w:sz w:val="15"/>
                <w:szCs w:val="15"/>
              </w:rPr>
              <w:t>(5.5)</w:t>
            </w:r>
          </w:p>
        </w:tc>
        <w:tc>
          <w:tcPr>
            <w:tcW w:w="840" w:type="dxa"/>
          </w:tcPr>
          <w:p w:rsidR="00F7128E" w:rsidRPr="00C003FA" w:rsidRDefault="00D06746" w:rsidP="00F7128E">
            <w:pPr>
              <w:tabs>
                <w:tab w:val="decimal" w:pos="526"/>
              </w:tabs>
              <w:jc w:val="left"/>
              <w:rPr>
                <w:sz w:val="15"/>
                <w:szCs w:val="15"/>
              </w:rPr>
            </w:pPr>
            <w:r>
              <w:rPr>
                <w:sz w:val="15"/>
                <w:szCs w:val="15"/>
              </w:rPr>
              <w:t>27.5</w:t>
            </w:r>
          </w:p>
        </w:tc>
        <w:tc>
          <w:tcPr>
            <w:tcW w:w="842" w:type="dxa"/>
          </w:tcPr>
          <w:p w:rsidR="00F7128E" w:rsidRPr="00C003FA" w:rsidRDefault="00D06746" w:rsidP="00F7128E">
            <w:pPr>
              <w:tabs>
                <w:tab w:val="decimal" w:pos="324"/>
              </w:tabs>
              <w:jc w:val="left"/>
              <w:rPr>
                <w:sz w:val="15"/>
                <w:szCs w:val="15"/>
              </w:rPr>
            </w:pPr>
            <w:r>
              <w:rPr>
                <w:sz w:val="15"/>
                <w:szCs w:val="15"/>
              </w:rPr>
              <w:t>(6.4)</w:t>
            </w:r>
          </w:p>
        </w:tc>
      </w:tr>
      <w:tr w:rsidR="00F7128E" w:rsidRPr="00C003FA" w:rsidTr="00804D3C">
        <w:trPr>
          <w:jc w:val="center"/>
        </w:trPr>
        <w:tc>
          <w:tcPr>
            <w:tcW w:w="2070" w:type="dxa"/>
            <w:vAlign w:val="bottom"/>
          </w:tcPr>
          <w:p w:rsidR="00F7128E" w:rsidRPr="00C003FA" w:rsidRDefault="00F7128E" w:rsidP="00F7128E">
            <w:pPr>
              <w:ind w:left="162"/>
              <w:jc w:val="left"/>
              <w:rPr>
                <w:sz w:val="15"/>
                <w:szCs w:val="15"/>
              </w:rPr>
            </w:pPr>
            <w:r w:rsidRPr="00C003FA">
              <w:rPr>
                <w:sz w:val="15"/>
                <w:szCs w:val="15"/>
              </w:rPr>
              <w:t>Pari-Mutuel</w:t>
            </w:r>
          </w:p>
        </w:tc>
        <w:tc>
          <w:tcPr>
            <w:tcW w:w="900" w:type="dxa"/>
            <w:vAlign w:val="bottom"/>
          </w:tcPr>
          <w:p w:rsidR="00F7128E" w:rsidRPr="00C003FA" w:rsidRDefault="00F7128E" w:rsidP="00F7128E">
            <w:pPr>
              <w:tabs>
                <w:tab w:val="decimal" w:pos="466"/>
              </w:tabs>
              <w:jc w:val="left"/>
              <w:rPr>
                <w:sz w:val="15"/>
                <w:szCs w:val="15"/>
              </w:rPr>
            </w:pPr>
            <w:r w:rsidRPr="00C003FA">
              <w:rPr>
                <w:sz w:val="15"/>
                <w:szCs w:val="15"/>
              </w:rPr>
              <w:t>0.6</w:t>
            </w:r>
          </w:p>
        </w:tc>
        <w:tc>
          <w:tcPr>
            <w:tcW w:w="853" w:type="dxa"/>
            <w:vAlign w:val="bottom"/>
          </w:tcPr>
          <w:p w:rsidR="00F7128E" w:rsidRPr="00C003FA" w:rsidRDefault="00F7128E" w:rsidP="00F7128E">
            <w:pPr>
              <w:tabs>
                <w:tab w:val="decimal" w:pos="256"/>
              </w:tabs>
              <w:jc w:val="left"/>
              <w:rPr>
                <w:sz w:val="15"/>
                <w:szCs w:val="15"/>
              </w:rPr>
            </w:pPr>
            <w:r w:rsidRPr="00C003FA">
              <w:rPr>
                <w:sz w:val="15"/>
                <w:szCs w:val="15"/>
              </w:rPr>
              <w:t>0.5</w:t>
            </w:r>
          </w:p>
        </w:tc>
        <w:tc>
          <w:tcPr>
            <w:tcW w:w="852" w:type="dxa"/>
            <w:vAlign w:val="bottom"/>
          </w:tcPr>
          <w:p w:rsidR="00F7128E" w:rsidRPr="00C003FA" w:rsidRDefault="00F7128E" w:rsidP="00F7128E">
            <w:pPr>
              <w:tabs>
                <w:tab w:val="decimal" w:pos="525"/>
              </w:tabs>
              <w:jc w:val="left"/>
              <w:rPr>
                <w:sz w:val="15"/>
                <w:szCs w:val="15"/>
              </w:rPr>
            </w:pPr>
            <w:r w:rsidRPr="00C003FA">
              <w:rPr>
                <w:sz w:val="15"/>
                <w:szCs w:val="15"/>
              </w:rPr>
              <w:t>0.6</w:t>
            </w:r>
          </w:p>
        </w:tc>
        <w:tc>
          <w:tcPr>
            <w:tcW w:w="840" w:type="dxa"/>
            <w:vAlign w:val="bottom"/>
          </w:tcPr>
          <w:p w:rsidR="00F7128E" w:rsidRPr="00C003FA" w:rsidRDefault="00F7128E" w:rsidP="00F7128E">
            <w:pPr>
              <w:tabs>
                <w:tab w:val="decimal" w:pos="315"/>
              </w:tabs>
              <w:jc w:val="left"/>
              <w:rPr>
                <w:sz w:val="15"/>
                <w:szCs w:val="15"/>
              </w:rPr>
            </w:pPr>
            <w:r w:rsidRPr="00C003FA">
              <w:rPr>
                <w:sz w:val="15"/>
                <w:szCs w:val="15"/>
              </w:rPr>
              <w:t>(6.6)</w:t>
            </w:r>
          </w:p>
        </w:tc>
        <w:tc>
          <w:tcPr>
            <w:tcW w:w="840" w:type="dxa"/>
            <w:vAlign w:val="bottom"/>
          </w:tcPr>
          <w:p w:rsidR="00F7128E" w:rsidRPr="00C003FA" w:rsidRDefault="00F7128E" w:rsidP="00F7128E">
            <w:pPr>
              <w:tabs>
                <w:tab w:val="decimal" w:pos="466"/>
              </w:tabs>
              <w:jc w:val="left"/>
              <w:rPr>
                <w:sz w:val="15"/>
                <w:szCs w:val="15"/>
              </w:rPr>
            </w:pPr>
            <w:r w:rsidRPr="00C003FA">
              <w:rPr>
                <w:sz w:val="15"/>
                <w:szCs w:val="15"/>
              </w:rPr>
              <w:t>0.5</w:t>
            </w:r>
          </w:p>
        </w:tc>
        <w:tc>
          <w:tcPr>
            <w:tcW w:w="840" w:type="dxa"/>
            <w:vAlign w:val="bottom"/>
          </w:tcPr>
          <w:p w:rsidR="00F7128E" w:rsidRPr="00C003FA" w:rsidRDefault="00F7128E" w:rsidP="00F7128E">
            <w:pPr>
              <w:tabs>
                <w:tab w:val="decimal" w:pos="256"/>
              </w:tabs>
              <w:jc w:val="left"/>
              <w:rPr>
                <w:sz w:val="15"/>
                <w:szCs w:val="15"/>
              </w:rPr>
            </w:pPr>
            <w:r w:rsidRPr="00C003FA">
              <w:rPr>
                <w:sz w:val="15"/>
                <w:szCs w:val="15"/>
              </w:rPr>
              <w:t>(10.7)</w:t>
            </w:r>
          </w:p>
        </w:tc>
        <w:tc>
          <w:tcPr>
            <w:tcW w:w="840" w:type="dxa"/>
            <w:vAlign w:val="bottom"/>
          </w:tcPr>
          <w:p w:rsidR="00F7128E" w:rsidRPr="00C003FA" w:rsidRDefault="00F7128E" w:rsidP="00F7128E">
            <w:pPr>
              <w:tabs>
                <w:tab w:val="decimal" w:pos="496"/>
              </w:tabs>
              <w:jc w:val="left"/>
              <w:rPr>
                <w:sz w:val="15"/>
                <w:szCs w:val="15"/>
              </w:rPr>
            </w:pPr>
            <w:r w:rsidRPr="00C003FA">
              <w:rPr>
                <w:sz w:val="15"/>
                <w:szCs w:val="15"/>
              </w:rPr>
              <w:t>0.5</w:t>
            </w:r>
          </w:p>
        </w:tc>
        <w:tc>
          <w:tcPr>
            <w:tcW w:w="839" w:type="dxa"/>
            <w:vAlign w:val="bottom"/>
          </w:tcPr>
          <w:p w:rsidR="00F7128E" w:rsidRPr="00C003FA" w:rsidRDefault="00F7128E" w:rsidP="00F7128E">
            <w:pPr>
              <w:tabs>
                <w:tab w:val="decimal" w:pos="286"/>
              </w:tabs>
              <w:jc w:val="left"/>
              <w:rPr>
                <w:sz w:val="15"/>
                <w:szCs w:val="15"/>
              </w:rPr>
            </w:pPr>
            <w:r w:rsidRPr="00C003FA">
              <w:rPr>
                <w:sz w:val="15"/>
                <w:szCs w:val="15"/>
              </w:rPr>
              <w:t>(1.7)</w:t>
            </w:r>
          </w:p>
        </w:tc>
        <w:tc>
          <w:tcPr>
            <w:tcW w:w="840" w:type="dxa"/>
            <w:vAlign w:val="bottom"/>
          </w:tcPr>
          <w:p w:rsidR="00F7128E" w:rsidRPr="00C003FA" w:rsidRDefault="00F7128E" w:rsidP="00F7128E">
            <w:pPr>
              <w:tabs>
                <w:tab w:val="decimal" w:pos="526"/>
              </w:tabs>
              <w:jc w:val="left"/>
              <w:rPr>
                <w:sz w:val="15"/>
                <w:szCs w:val="15"/>
              </w:rPr>
            </w:pPr>
            <w:r w:rsidRPr="00C003FA">
              <w:rPr>
                <w:sz w:val="15"/>
                <w:szCs w:val="15"/>
              </w:rPr>
              <w:t>0.4</w:t>
            </w:r>
          </w:p>
        </w:tc>
        <w:tc>
          <w:tcPr>
            <w:tcW w:w="842" w:type="dxa"/>
            <w:tcBorders>
              <w:right w:val="single" w:sz="4" w:space="0" w:color="auto"/>
            </w:tcBorders>
            <w:vAlign w:val="bottom"/>
          </w:tcPr>
          <w:p w:rsidR="00F7128E" w:rsidRPr="00C003FA" w:rsidRDefault="00F7128E" w:rsidP="00F7128E">
            <w:pPr>
              <w:tabs>
                <w:tab w:val="decimal" w:pos="316"/>
              </w:tabs>
              <w:jc w:val="left"/>
              <w:rPr>
                <w:sz w:val="15"/>
                <w:szCs w:val="15"/>
              </w:rPr>
            </w:pPr>
            <w:r w:rsidRPr="00C003FA">
              <w:rPr>
                <w:sz w:val="15"/>
                <w:szCs w:val="15"/>
              </w:rPr>
              <w:t>(23.7)</w:t>
            </w:r>
          </w:p>
        </w:tc>
        <w:tc>
          <w:tcPr>
            <w:tcW w:w="840" w:type="dxa"/>
            <w:tcBorders>
              <w:left w:val="single" w:sz="4" w:space="0" w:color="auto"/>
            </w:tcBorders>
          </w:tcPr>
          <w:p w:rsidR="00F7128E" w:rsidRPr="00C003FA" w:rsidRDefault="00F7128E" w:rsidP="00F7128E">
            <w:pPr>
              <w:tabs>
                <w:tab w:val="decimal" w:pos="526"/>
              </w:tabs>
              <w:jc w:val="left"/>
              <w:rPr>
                <w:sz w:val="15"/>
                <w:szCs w:val="15"/>
              </w:rPr>
            </w:pPr>
            <w:r w:rsidRPr="00C003FA">
              <w:rPr>
                <w:sz w:val="15"/>
                <w:szCs w:val="15"/>
              </w:rPr>
              <w:t>0.4</w:t>
            </w:r>
          </w:p>
        </w:tc>
        <w:tc>
          <w:tcPr>
            <w:tcW w:w="840" w:type="dxa"/>
          </w:tcPr>
          <w:p w:rsidR="00F7128E" w:rsidRPr="00C003FA" w:rsidRDefault="00F7128E" w:rsidP="00F7128E">
            <w:pPr>
              <w:tabs>
                <w:tab w:val="decimal" w:pos="324"/>
              </w:tabs>
              <w:jc w:val="left"/>
              <w:rPr>
                <w:sz w:val="15"/>
                <w:szCs w:val="15"/>
              </w:rPr>
            </w:pPr>
            <w:r w:rsidRPr="00C003FA">
              <w:rPr>
                <w:sz w:val="15"/>
                <w:szCs w:val="15"/>
              </w:rPr>
              <w:t>(2.0)</w:t>
            </w:r>
          </w:p>
        </w:tc>
        <w:tc>
          <w:tcPr>
            <w:tcW w:w="840" w:type="dxa"/>
          </w:tcPr>
          <w:p w:rsidR="00F7128E" w:rsidRPr="00C003FA" w:rsidRDefault="00D06746" w:rsidP="00F7128E">
            <w:pPr>
              <w:tabs>
                <w:tab w:val="decimal" w:pos="526"/>
              </w:tabs>
              <w:jc w:val="left"/>
              <w:rPr>
                <w:sz w:val="15"/>
                <w:szCs w:val="15"/>
              </w:rPr>
            </w:pPr>
            <w:r>
              <w:rPr>
                <w:sz w:val="15"/>
                <w:szCs w:val="15"/>
              </w:rPr>
              <w:t>0.4</w:t>
            </w:r>
          </w:p>
        </w:tc>
        <w:tc>
          <w:tcPr>
            <w:tcW w:w="842" w:type="dxa"/>
          </w:tcPr>
          <w:p w:rsidR="00F7128E" w:rsidRPr="00C003FA" w:rsidRDefault="00D06746" w:rsidP="00F7128E">
            <w:pPr>
              <w:tabs>
                <w:tab w:val="decimal" w:pos="324"/>
              </w:tabs>
              <w:jc w:val="left"/>
              <w:rPr>
                <w:sz w:val="15"/>
                <w:szCs w:val="15"/>
              </w:rPr>
            </w:pPr>
            <w:r>
              <w:rPr>
                <w:sz w:val="15"/>
                <w:szCs w:val="15"/>
              </w:rPr>
              <w:t>(2.0)</w:t>
            </w:r>
          </w:p>
        </w:tc>
      </w:tr>
      <w:tr w:rsidR="00F7128E" w:rsidRPr="00C003FA" w:rsidTr="00804D3C">
        <w:trPr>
          <w:trHeight w:val="80"/>
          <w:jc w:val="center"/>
        </w:trPr>
        <w:tc>
          <w:tcPr>
            <w:tcW w:w="2070" w:type="dxa"/>
            <w:vAlign w:val="bottom"/>
          </w:tcPr>
          <w:p w:rsidR="00F7128E" w:rsidRPr="00C003FA" w:rsidRDefault="00F7128E" w:rsidP="00F7128E">
            <w:pPr>
              <w:ind w:left="162"/>
              <w:jc w:val="left"/>
              <w:rPr>
                <w:sz w:val="15"/>
                <w:szCs w:val="15"/>
              </w:rPr>
            </w:pPr>
            <w:r w:rsidRPr="00C003FA">
              <w:rPr>
                <w:sz w:val="15"/>
                <w:szCs w:val="15"/>
              </w:rPr>
              <w:t>Court Receipts</w:t>
            </w:r>
          </w:p>
        </w:tc>
        <w:tc>
          <w:tcPr>
            <w:tcW w:w="900" w:type="dxa"/>
            <w:vAlign w:val="bottom"/>
          </w:tcPr>
          <w:p w:rsidR="00F7128E" w:rsidRPr="00C003FA" w:rsidRDefault="00F7128E" w:rsidP="00F7128E">
            <w:pPr>
              <w:tabs>
                <w:tab w:val="decimal" w:pos="466"/>
              </w:tabs>
              <w:jc w:val="left"/>
              <w:rPr>
                <w:sz w:val="15"/>
                <w:szCs w:val="15"/>
              </w:rPr>
            </w:pPr>
            <w:r w:rsidRPr="00C003FA">
              <w:rPr>
                <w:sz w:val="15"/>
                <w:szCs w:val="15"/>
              </w:rPr>
              <w:t>3.5</w:t>
            </w:r>
          </w:p>
        </w:tc>
        <w:tc>
          <w:tcPr>
            <w:tcW w:w="853" w:type="dxa"/>
            <w:vAlign w:val="bottom"/>
          </w:tcPr>
          <w:p w:rsidR="00F7128E" w:rsidRPr="00C003FA" w:rsidRDefault="00F7128E" w:rsidP="00F7128E">
            <w:pPr>
              <w:tabs>
                <w:tab w:val="decimal" w:pos="256"/>
              </w:tabs>
              <w:jc w:val="left"/>
              <w:rPr>
                <w:sz w:val="15"/>
                <w:szCs w:val="15"/>
              </w:rPr>
            </w:pPr>
            <w:r w:rsidRPr="00C003FA">
              <w:rPr>
                <w:sz w:val="15"/>
                <w:szCs w:val="15"/>
              </w:rPr>
              <w:t>34.5</w:t>
            </w:r>
          </w:p>
        </w:tc>
        <w:tc>
          <w:tcPr>
            <w:tcW w:w="852" w:type="dxa"/>
            <w:vAlign w:val="bottom"/>
          </w:tcPr>
          <w:p w:rsidR="00F7128E" w:rsidRPr="00C003FA" w:rsidRDefault="00F7128E" w:rsidP="00F7128E">
            <w:pPr>
              <w:tabs>
                <w:tab w:val="decimal" w:pos="525"/>
              </w:tabs>
              <w:jc w:val="left"/>
              <w:rPr>
                <w:sz w:val="15"/>
                <w:szCs w:val="15"/>
              </w:rPr>
            </w:pPr>
            <w:r w:rsidRPr="00C003FA">
              <w:rPr>
                <w:sz w:val="15"/>
                <w:szCs w:val="15"/>
              </w:rPr>
              <w:t>4.1</w:t>
            </w:r>
          </w:p>
        </w:tc>
        <w:tc>
          <w:tcPr>
            <w:tcW w:w="840" w:type="dxa"/>
            <w:vAlign w:val="bottom"/>
          </w:tcPr>
          <w:p w:rsidR="00F7128E" w:rsidRPr="00C003FA" w:rsidRDefault="00F7128E" w:rsidP="00F7128E">
            <w:pPr>
              <w:tabs>
                <w:tab w:val="decimal" w:pos="315"/>
              </w:tabs>
              <w:jc w:val="left"/>
              <w:rPr>
                <w:sz w:val="15"/>
                <w:szCs w:val="15"/>
              </w:rPr>
            </w:pPr>
            <w:r w:rsidRPr="00C003FA">
              <w:rPr>
                <w:sz w:val="15"/>
                <w:szCs w:val="15"/>
              </w:rPr>
              <w:t>17.5</w:t>
            </w:r>
          </w:p>
        </w:tc>
        <w:tc>
          <w:tcPr>
            <w:tcW w:w="840" w:type="dxa"/>
            <w:vAlign w:val="bottom"/>
          </w:tcPr>
          <w:p w:rsidR="00F7128E" w:rsidRPr="00C003FA" w:rsidRDefault="00F7128E" w:rsidP="00F7128E">
            <w:pPr>
              <w:tabs>
                <w:tab w:val="decimal" w:pos="466"/>
              </w:tabs>
              <w:jc w:val="left"/>
              <w:rPr>
                <w:sz w:val="15"/>
                <w:szCs w:val="15"/>
              </w:rPr>
            </w:pPr>
            <w:r w:rsidRPr="00C003FA">
              <w:rPr>
                <w:sz w:val="15"/>
                <w:szCs w:val="15"/>
              </w:rPr>
              <w:t>4.4</w:t>
            </w:r>
          </w:p>
        </w:tc>
        <w:tc>
          <w:tcPr>
            <w:tcW w:w="840" w:type="dxa"/>
            <w:vAlign w:val="bottom"/>
          </w:tcPr>
          <w:p w:rsidR="00F7128E" w:rsidRPr="00C003FA" w:rsidRDefault="00F7128E" w:rsidP="00F7128E">
            <w:pPr>
              <w:tabs>
                <w:tab w:val="decimal" w:pos="256"/>
              </w:tabs>
              <w:jc w:val="left"/>
              <w:rPr>
                <w:sz w:val="15"/>
                <w:szCs w:val="15"/>
              </w:rPr>
            </w:pPr>
            <w:r w:rsidRPr="00C003FA">
              <w:rPr>
                <w:sz w:val="15"/>
                <w:szCs w:val="15"/>
              </w:rPr>
              <w:t>7.6</w:t>
            </w:r>
          </w:p>
        </w:tc>
        <w:tc>
          <w:tcPr>
            <w:tcW w:w="840" w:type="dxa"/>
            <w:vAlign w:val="bottom"/>
          </w:tcPr>
          <w:p w:rsidR="00F7128E" w:rsidRPr="00C003FA" w:rsidRDefault="00F7128E" w:rsidP="00F7128E">
            <w:pPr>
              <w:tabs>
                <w:tab w:val="decimal" w:pos="496"/>
              </w:tabs>
              <w:jc w:val="left"/>
              <w:rPr>
                <w:sz w:val="15"/>
                <w:szCs w:val="15"/>
              </w:rPr>
            </w:pPr>
            <w:r w:rsidRPr="00C003FA">
              <w:rPr>
                <w:sz w:val="15"/>
                <w:szCs w:val="15"/>
              </w:rPr>
              <w:t>4.2</w:t>
            </w:r>
          </w:p>
        </w:tc>
        <w:tc>
          <w:tcPr>
            <w:tcW w:w="839" w:type="dxa"/>
            <w:vAlign w:val="bottom"/>
          </w:tcPr>
          <w:p w:rsidR="00F7128E" w:rsidRPr="00C003FA" w:rsidRDefault="00F7128E" w:rsidP="00F7128E">
            <w:pPr>
              <w:tabs>
                <w:tab w:val="decimal" w:pos="286"/>
              </w:tabs>
              <w:jc w:val="left"/>
              <w:rPr>
                <w:sz w:val="15"/>
                <w:szCs w:val="15"/>
              </w:rPr>
            </w:pPr>
            <w:r w:rsidRPr="00C003FA">
              <w:rPr>
                <w:sz w:val="15"/>
                <w:szCs w:val="15"/>
              </w:rPr>
              <w:t>(5.3)</w:t>
            </w:r>
          </w:p>
        </w:tc>
        <w:tc>
          <w:tcPr>
            <w:tcW w:w="840" w:type="dxa"/>
            <w:vAlign w:val="bottom"/>
          </w:tcPr>
          <w:p w:rsidR="00F7128E" w:rsidRPr="00C003FA" w:rsidRDefault="00F7128E" w:rsidP="00F7128E">
            <w:pPr>
              <w:tabs>
                <w:tab w:val="decimal" w:pos="526"/>
              </w:tabs>
              <w:jc w:val="left"/>
              <w:rPr>
                <w:sz w:val="15"/>
                <w:szCs w:val="15"/>
              </w:rPr>
            </w:pPr>
            <w:r w:rsidRPr="00C003FA">
              <w:rPr>
                <w:sz w:val="15"/>
                <w:szCs w:val="15"/>
              </w:rPr>
              <w:t>3.9</w:t>
            </w:r>
          </w:p>
        </w:tc>
        <w:tc>
          <w:tcPr>
            <w:tcW w:w="842" w:type="dxa"/>
            <w:tcBorders>
              <w:right w:val="single" w:sz="4" w:space="0" w:color="auto"/>
            </w:tcBorders>
            <w:vAlign w:val="bottom"/>
          </w:tcPr>
          <w:p w:rsidR="00F7128E" w:rsidRPr="00C003FA" w:rsidRDefault="00F7128E" w:rsidP="00F7128E">
            <w:pPr>
              <w:tabs>
                <w:tab w:val="decimal" w:pos="316"/>
              </w:tabs>
              <w:jc w:val="left"/>
              <w:rPr>
                <w:sz w:val="15"/>
                <w:szCs w:val="15"/>
              </w:rPr>
            </w:pPr>
            <w:r w:rsidRPr="00C003FA">
              <w:rPr>
                <w:sz w:val="15"/>
                <w:szCs w:val="15"/>
              </w:rPr>
              <w:t>(6.7)</w:t>
            </w:r>
          </w:p>
        </w:tc>
        <w:tc>
          <w:tcPr>
            <w:tcW w:w="840" w:type="dxa"/>
            <w:tcBorders>
              <w:left w:val="single" w:sz="4" w:space="0" w:color="auto"/>
            </w:tcBorders>
          </w:tcPr>
          <w:p w:rsidR="00F7128E" w:rsidRPr="00C003FA" w:rsidRDefault="00F7128E" w:rsidP="00F7128E">
            <w:pPr>
              <w:tabs>
                <w:tab w:val="decimal" w:pos="526"/>
              </w:tabs>
              <w:jc w:val="left"/>
              <w:rPr>
                <w:sz w:val="15"/>
                <w:szCs w:val="15"/>
              </w:rPr>
            </w:pPr>
            <w:r w:rsidRPr="00C003FA">
              <w:rPr>
                <w:sz w:val="15"/>
                <w:szCs w:val="15"/>
              </w:rPr>
              <w:t>3.9</w:t>
            </w:r>
          </w:p>
        </w:tc>
        <w:tc>
          <w:tcPr>
            <w:tcW w:w="840" w:type="dxa"/>
          </w:tcPr>
          <w:p w:rsidR="00F7128E" w:rsidRPr="00C003FA" w:rsidRDefault="00F7128E" w:rsidP="00F7128E">
            <w:pPr>
              <w:tabs>
                <w:tab w:val="decimal" w:pos="324"/>
              </w:tabs>
              <w:jc w:val="left"/>
              <w:rPr>
                <w:sz w:val="15"/>
                <w:szCs w:val="15"/>
              </w:rPr>
            </w:pPr>
            <w:r w:rsidRPr="00C003FA">
              <w:rPr>
                <w:sz w:val="15"/>
                <w:szCs w:val="15"/>
              </w:rPr>
              <w:t>(0.5)</w:t>
            </w:r>
          </w:p>
        </w:tc>
        <w:tc>
          <w:tcPr>
            <w:tcW w:w="840" w:type="dxa"/>
          </w:tcPr>
          <w:p w:rsidR="00F7128E" w:rsidRPr="00C003FA" w:rsidRDefault="00D06746" w:rsidP="00F7128E">
            <w:pPr>
              <w:tabs>
                <w:tab w:val="decimal" w:pos="526"/>
              </w:tabs>
              <w:jc w:val="left"/>
              <w:rPr>
                <w:sz w:val="15"/>
                <w:szCs w:val="15"/>
              </w:rPr>
            </w:pPr>
            <w:r>
              <w:rPr>
                <w:sz w:val="15"/>
                <w:szCs w:val="15"/>
              </w:rPr>
              <w:t>3.9</w:t>
            </w:r>
          </w:p>
        </w:tc>
        <w:tc>
          <w:tcPr>
            <w:tcW w:w="842" w:type="dxa"/>
          </w:tcPr>
          <w:p w:rsidR="00F7128E" w:rsidRPr="00C003FA" w:rsidRDefault="00D06746" w:rsidP="00F7128E">
            <w:pPr>
              <w:tabs>
                <w:tab w:val="decimal" w:pos="324"/>
              </w:tabs>
              <w:jc w:val="left"/>
              <w:rPr>
                <w:sz w:val="15"/>
                <w:szCs w:val="15"/>
              </w:rPr>
            </w:pPr>
            <w:r>
              <w:rPr>
                <w:sz w:val="15"/>
                <w:szCs w:val="15"/>
              </w:rPr>
              <w:t>--</w:t>
            </w:r>
          </w:p>
        </w:tc>
      </w:tr>
      <w:tr w:rsidR="00F7128E" w:rsidRPr="00C003FA" w:rsidTr="00804D3C">
        <w:trPr>
          <w:jc w:val="center"/>
        </w:trPr>
        <w:tc>
          <w:tcPr>
            <w:tcW w:w="2070" w:type="dxa"/>
            <w:vAlign w:val="bottom"/>
          </w:tcPr>
          <w:p w:rsidR="00F7128E" w:rsidRPr="00C003FA" w:rsidRDefault="00F7128E" w:rsidP="00F7128E">
            <w:pPr>
              <w:ind w:left="162"/>
              <w:jc w:val="left"/>
              <w:rPr>
                <w:sz w:val="15"/>
                <w:szCs w:val="15"/>
              </w:rPr>
            </w:pPr>
            <w:r w:rsidRPr="00C003FA">
              <w:rPr>
                <w:sz w:val="15"/>
                <w:szCs w:val="15"/>
              </w:rPr>
              <w:t>Other Income</w:t>
            </w:r>
            <w:r>
              <w:rPr>
                <w:sz w:val="15"/>
                <w:szCs w:val="15"/>
                <w:vertAlign w:val="superscript"/>
              </w:rPr>
              <w:t>5</w:t>
            </w:r>
          </w:p>
        </w:tc>
        <w:tc>
          <w:tcPr>
            <w:tcW w:w="900" w:type="dxa"/>
            <w:vAlign w:val="bottom"/>
          </w:tcPr>
          <w:p w:rsidR="00F7128E" w:rsidRPr="00C003FA" w:rsidRDefault="00F7128E" w:rsidP="00F7128E">
            <w:pPr>
              <w:tabs>
                <w:tab w:val="decimal" w:pos="466"/>
              </w:tabs>
              <w:jc w:val="left"/>
              <w:rPr>
                <w:sz w:val="15"/>
                <w:szCs w:val="15"/>
                <w:u w:val="single"/>
              </w:rPr>
            </w:pPr>
            <w:r w:rsidRPr="00C003FA">
              <w:rPr>
                <w:sz w:val="15"/>
                <w:szCs w:val="15"/>
                <w:u w:val="single"/>
              </w:rPr>
              <w:t>22.6</w:t>
            </w:r>
          </w:p>
        </w:tc>
        <w:tc>
          <w:tcPr>
            <w:tcW w:w="853" w:type="dxa"/>
            <w:vAlign w:val="bottom"/>
          </w:tcPr>
          <w:p w:rsidR="00F7128E" w:rsidRPr="00C003FA" w:rsidRDefault="00F7128E" w:rsidP="00F7128E">
            <w:pPr>
              <w:tabs>
                <w:tab w:val="decimal" w:pos="256"/>
              </w:tabs>
              <w:jc w:val="left"/>
              <w:rPr>
                <w:sz w:val="15"/>
                <w:szCs w:val="15"/>
                <w:u w:val="single"/>
              </w:rPr>
            </w:pPr>
            <w:r w:rsidRPr="00C003FA">
              <w:rPr>
                <w:sz w:val="15"/>
                <w:szCs w:val="15"/>
                <w:u w:val="single"/>
              </w:rPr>
              <w:t>(33.7)</w:t>
            </w:r>
          </w:p>
        </w:tc>
        <w:tc>
          <w:tcPr>
            <w:tcW w:w="852" w:type="dxa"/>
            <w:vAlign w:val="bottom"/>
          </w:tcPr>
          <w:p w:rsidR="00F7128E" w:rsidRPr="00C003FA" w:rsidRDefault="00F7128E" w:rsidP="00F7128E">
            <w:pPr>
              <w:tabs>
                <w:tab w:val="decimal" w:pos="525"/>
              </w:tabs>
              <w:jc w:val="left"/>
              <w:rPr>
                <w:sz w:val="15"/>
                <w:szCs w:val="15"/>
                <w:u w:val="single"/>
              </w:rPr>
            </w:pPr>
            <w:r w:rsidRPr="00C003FA">
              <w:rPr>
                <w:sz w:val="15"/>
                <w:szCs w:val="15"/>
                <w:u w:val="single"/>
              </w:rPr>
              <w:t xml:space="preserve">  47.3</w:t>
            </w:r>
          </w:p>
        </w:tc>
        <w:tc>
          <w:tcPr>
            <w:tcW w:w="840" w:type="dxa"/>
            <w:vAlign w:val="bottom"/>
          </w:tcPr>
          <w:p w:rsidR="00F7128E" w:rsidRPr="00C003FA" w:rsidRDefault="00F7128E" w:rsidP="00F7128E">
            <w:pPr>
              <w:tabs>
                <w:tab w:val="decimal" w:pos="315"/>
              </w:tabs>
              <w:jc w:val="left"/>
              <w:rPr>
                <w:sz w:val="15"/>
                <w:szCs w:val="15"/>
                <w:u w:val="single"/>
              </w:rPr>
            </w:pPr>
            <w:r w:rsidRPr="00C003FA">
              <w:rPr>
                <w:sz w:val="15"/>
                <w:szCs w:val="15"/>
                <w:u w:val="single"/>
              </w:rPr>
              <w:t>109.7</w:t>
            </w:r>
          </w:p>
        </w:tc>
        <w:tc>
          <w:tcPr>
            <w:tcW w:w="840" w:type="dxa"/>
            <w:vAlign w:val="bottom"/>
          </w:tcPr>
          <w:p w:rsidR="00F7128E" w:rsidRPr="00C003FA" w:rsidRDefault="00F7128E" w:rsidP="00F7128E">
            <w:pPr>
              <w:tabs>
                <w:tab w:val="decimal" w:pos="466"/>
              </w:tabs>
              <w:jc w:val="left"/>
              <w:rPr>
                <w:sz w:val="15"/>
                <w:szCs w:val="15"/>
                <w:u w:val="single"/>
              </w:rPr>
            </w:pPr>
            <w:r w:rsidRPr="00C003FA">
              <w:rPr>
                <w:sz w:val="15"/>
                <w:szCs w:val="15"/>
                <w:u w:val="single"/>
              </w:rPr>
              <w:t>152.2</w:t>
            </w:r>
          </w:p>
        </w:tc>
        <w:tc>
          <w:tcPr>
            <w:tcW w:w="840" w:type="dxa"/>
            <w:vAlign w:val="bottom"/>
          </w:tcPr>
          <w:p w:rsidR="00F7128E" w:rsidRPr="00C003FA" w:rsidRDefault="00F7128E" w:rsidP="00F7128E">
            <w:pPr>
              <w:tabs>
                <w:tab w:val="decimal" w:pos="256"/>
              </w:tabs>
              <w:jc w:val="left"/>
              <w:rPr>
                <w:sz w:val="15"/>
                <w:szCs w:val="15"/>
                <w:u w:val="single"/>
              </w:rPr>
            </w:pPr>
            <w:r w:rsidRPr="00C003FA">
              <w:rPr>
                <w:sz w:val="15"/>
                <w:szCs w:val="15"/>
                <w:u w:val="single"/>
              </w:rPr>
              <w:t>221.7</w:t>
            </w:r>
          </w:p>
        </w:tc>
        <w:tc>
          <w:tcPr>
            <w:tcW w:w="840" w:type="dxa"/>
            <w:vAlign w:val="bottom"/>
          </w:tcPr>
          <w:p w:rsidR="00F7128E" w:rsidRPr="00C003FA" w:rsidRDefault="00F7128E" w:rsidP="00F7128E">
            <w:pPr>
              <w:tabs>
                <w:tab w:val="decimal" w:pos="496"/>
              </w:tabs>
              <w:jc w:val="left"/>
              <w:rPr>
                <w:sz w:val="15"/>
                <w:szCs w:val="15"/>
                <w:u w:val="single"/>
              </w:rPr>
            </w:pPr>
            <w:r w:rsidRPr="00C003FA">
              <w:rPr>
                <w:sz w:val="15"/>
                <w:szCs w:val="15"/>
                <w:u w:val="single"/>
              </w:rPr>
              <w:t xml:space="preserve">   48.9</w:t>
            </w:r>
          </w:p>
        </w:tc>
        <w:tc>
          <w:tcPr>
            <w:tcW w:w="839" w:type="dxa"/>
            <w:vAlign w:val="bottom"/>
          </w:tcPr>
          <w:p w:rsidR="00F7128E" w:rsidRPr="00C003FA" w:rsidRDefault="00F7128E" w:rsidP="00F7128E">
            <w:pPr>
              <w:tabs>
                <w:tab w:val="decimal" w:pos="286"/>
              </w:tabs>
              <w:jc w:val="left"/>
              <w:rPr>
                <w:sz w:val="15"/>
                <w:szCs w:val="15"/>
                <w:u w:val="single"/>
              </w:rPr>
            </w:pPr>
            <w:r w:rsidRPr="00C003FA">
              <w:rPr>
                <w:sz w:val="15"/>
                <w:szCs w:val="15"/>
                <w:u w:val="single"/>
              </w:rPr>
              <w:t>(67.9)</w:t>
            </w:r>
          </w:p>
        </w:tc>
        <w:tc>
          <w:tcPr>
            <w:tcW w:w="840" w:type="dxa"/>
            <w:vAlign w:val="bottom"/>
          </w:tcPr>
          <w:p w:rsidR="00F7128E" w:rsidRPr="00C003FA" w:rsidRDefault="00F7128E" w:rsidP="00F7128E">
            <w:pPr>
              <w:tabs>
                <w:tab w:val="decimal" w:pos="526"/>
              </w:tabs>
              <w:jc w:val="left"/>
              <w:rPr>
                <w:sz w:val="15"/>
                <w:szCs w:val="15"/>
                <w:u w:val="single"/>
              </w:rPr>
            </w:pPr>
            <w:r w:rsidRPr="00C003FA">
              <w:rPr>
                <w:sz w:val="15"/>
                <w:szCs w:val="15"/>
                <w:u w:val="single"/>
              </w:rPr>
              <w:t xml:space="preserve">    9.7</w:t>
            </w:r>
          </w:p>
        </w:tc>
        <w:tc>
          <w:tcPr>
            <w:tcW w:w="842" w:type="dxa"/>
            <w:tcBorders>
              <w:right w:val="single" w:sz="4" w:space="0" w:color="auto"/>
            </w:tcBorders>
            <w:vAlign w:val="bottom"/>
          </w:tcPr>
          <w:p w:rsidR="00F7128E" w:rsidRPr="00C003FA" w:rsidRDefault="00F7128E" w:rsidP="00F7128E">
            <w:pPr>
              <w:tabs>
                <w:tab w:val="decimal" w:pos="316"/>
              </w:tabs>
              <w:jc w:val="left"/>
              <w:rPr>
                <w:sz w:val="15"/>
                <w:szCs w:val="15"/>
                <w:u w:val="single"/>
              </w:rPr>
            </w:pPr>
            <w:r w:rsidRPr="00C003FA">
              <w:rPr>
                <w:sz w:val="15"/>
                <w:szCs w:val="15"/>
                <w:u w:val="single"/>
              </w:rPr>
              <w:t>(80.2)</w:t>
            </w:r>
          </w:p>
        </w:tc>
        <w:tc>
          <w:tcPr>
            <w:tcW w:w="840" w:type="dxa"/>
            <w:tcBorders>
              <w:left w:val="single" w:sz="4" w:space="0" w:color="auto"/>
            </w:tcBorders>
          </w:tcPr>
          <w:p w:rsidR="00F7128E" w:rsidRPr="00C003FA" w:rsidRDefault="00F7128E" w:rsidP="00D06746">
            <w:pPr>
              <w:tabs>
                <w:tab w:val="decimal" w:pos="526"/>
              </w:tabs>
              <w:jc w:val="left"/>
              <w:rPr>
                <w:sz w:val="15"/>
                <w:szCs w:val="15"/>
                <w:u w:val="single"/>
              </w:rPr>
            </w:pPr>
            <w:r w:rsidRPr="00C003FA">
              <w:rPr>
                <w:sz w:val="15"/>
                <w:szCs w:val="15"/>
                <w:u w:val="single"/>
              </w:rPr>
              <w:t xml:space="preserve">  25.2</w:t>
            </w:r>
          </w:p>
        </w:tc>
        <w:tc>
          <w:tcPr>
            <w:tcW w:w="840" w:type="dxa"/>
          </w:tcPr>
          <w:p w:rsidR="00F7128E" w:rsidRPr="00C003FA" w:rsidRDefault="00F7128E" w:rsidP="00F7128E">
            <w:pPr>
              <w:tabs>
                <w:tab w:val="decimal" w:pos="324"/>
              </w:tabs>
              <w:jc w:val="left"/>
              <w:rPr>
                <w:sz w:val="15"/>
                <w:szCs w:val="15"/>
                <w:u w:val="single"/>
              </w:rPr>
            </w:pPr>
            <w:r w:rsidRPr="00C003FA">
              <w:rPr>
                <w:sz w:val="15"/>
                <w:szCs w:val="15"/>
                <w:u w:val="single"/>
              </w:rPr>
              <w:t>160.1</w:t>
            </w:r>
          </w:p>
        </w:tc>
        <w:tc>
          <w:tcPr>
            <w:tcW w:w="840" w:type="dxa"/>
          </w:tcPr>
          <w:p w:rsidR="00F7128E" w:rsidRPr="00C003FA" w:rsidRDefault="00D06746" w:rsidP="00D06746">
            <w:pPr>
              <w:tabs>
                <w:tab w:val="decimal" w:pos="526"/>
              </w:tabs>
              <w:jc w:val="left"/>
              <w:rPr>
                <w:sz w:val="15"/>
                <w:szCs w:val="15"/>
                <w:u w:val="single"/>
              </w:rPr>
            </w:pPr>
            <w:r>
              <w:rPr>
                <w:sz w:val="15"/>
                <w:szCs w:val="15"/>
                <w:u w:val="single"/>
              </w:rPr>
              <w:t xml:space="preserve">  22.9</w:t>
            </w:r>
          </w:p>
        </w:tc>
        <w:tc>
          <w:tcPr>
            <w:tcW w:w="842" w:type="dxa"/>
          </w:tcPr>
          <w:p w:rsidR="00F7128E" w:rsidRPr="00C003FA" w:rsidRDefault="00D06746" w:rsidP="00F7128E">
            <w:pPr>
              <w:tabs>
                <w:tab w:val="decimal" w:pos="324"/>
              </w:tabs>
              <w:jc w:val="left"/>
              <w:rPr>
                <w:sz w:val="15"/>
                <w:szCs w:val="15"/>
                <w:u w:val="single"/>
              </w:rPr>
            </w:pPr>
            <w:r>
              <w:rPr>
                <w:sz w:val="15"/>
                <w:szCs w:val="15"/>
                <w:u w:val="single"/>
              </w:rPr>
              <w:t>(9.0)</w:t>
            </w:r>
          </w:p>
        </w:tc>
      </w:tr>
      <w:tr w:rsidR="00F7128E" w:rsidRPr="00C003FA" w:rsidTr="00804D3C">
        <w:trPr>
          <w:jc w:val="center"/>
        </w:trPr>
        <w:tc>
          <w:tcPr>
            <w:tcW w:w="2070" w:type="dxa"/>
            <w:vAlign w:val="bottom"/>
          </w:tcPr>
          <w:p w:rsidR="00F7128E" w:rsidRPr="00C003FA" w:rsidRDefault="00F7128E" w:rsidP="00F7128E">
            <w:pPr>
              <w:ind w:left="342"/>
              <w:jc w:val="left"/>
              <w:rPr>
                <w:sz w:val="15"/>
                <w:szCs w:val="15"/>
              </w:rPr>
            </w:pPr>
            <w:r w:rsidRPr="00C003FA">
              <w:rPr>
                <w:sz w:val="15"/>
                <w:szCs w:val="15"/>
              </w:rPr>
              <w:t>Total Other</w:t>
            </w:r>
          </w:p>
        </w:tc>
        <w:tc>
          <w:tcPr>
            <w:tcW w:w="900" w:type="dxa"/>
            <w:vAlign w:val="bottom"/>
          </w:tcPr>
          <w:p w:rsidR="00F7128E" w:rsidRPr="00C003FA" w:rsidRDefault="00F7128E" w:rsidP="00F7128E">
            <w:pPr>
              <w:tabs>
                <w:tab w:val="decimal" w:pos="466"/>
              </w:tabs>
              <w:jc w:val="left"/>
              <w:rPr>
                <w:sz w:val="15"/>
                <w:szCs w:val="15"/>
                <w:u w:val="single"/>
              </w:rPr>
            </w:pPr>
            <w:r w:rsidRPr="00C003FA">
              <w:rPr>
                <w:sz w:val="15"/>
                <w:szCs w:val="15"/>
              </w:rPr>
              <w:t>$</w:t>
            </w:r>
            <w:r w:rsidRPr="00C003FA">
              <w:rPr>
                <w:sz w:val="15"/>
                <w:szCs w:val="15"/>
                <w:u w:val="single"/>
              </w:rPr>
              <w:t>319.4</w:t>
            </w:r>
          </w:p>
        </w:tc>
        <w:tc>
          <w:tcPr>
            <w:tcW w:w="853" w:type="dxa"/>
            <w:vAlign w:val="bottom"/>
          </w:tcPr>
          <w:p w:rsidR="00F7128E" w:rsidRPr="00C003FA" w:rsidRDefault="00F7128E" w:rsidP="00F7128E">
            <w:pPr>
              <w:tabs>
                <w:tab w:val="decimal" w:pos="256"/>
              </w:tabs>
              <w:jc w:val="left"/>
              <w:rPr>
                <w:sz w:val="15"/>
                <w:szCs w:val="15"/>
                <w:u w:val="single"/>
              </w:rPr>
            </w:pPr>
            <w:r w:rsidRPr="00C003FA">
              <w:rPr>
                <w:sz w:val="15"/>
                <w:szCs w:val="15"/>
                <w:u w:val="single"/>
              </w:rPr>
              <w:t xml:space="preserve">  5.5</w:t>
            </w:r>
            <w:r w:rsidRPr="00C003FA">
              <w:rPr>
                <w:sz w:val="15"/>
                <w:szCs w:val="15"/>
              </w:rPr>
              <w:t>%</w:t>
            </w:r>
          </w:p>
        </w:tc>
        <w:tc>
          <w:tcPr>
            <w:tcW w:w="852" w:type="dxa"/>
            <w:vAlign w:val="bottom"/>
          </w:tcPr>
          <w:p w:rsidR="00F7128E" w:rsidRPr="00C003FA" w:rsidRDefault="00F7128E" w:rsidP="00F7128E">
            <w:pPr>
              <w:tabs>
                <w:tab w:val="decimal" w:pos="525"/>
              </w:tabs>
              <w:jc w:val="left"/>
              <w:rPr>
                <w:sz w:val="15"/>
                <w:szCs w:val="15"/>
                <w:u w:val="single"/>
              </w:rPr>
            </w:pPr>
            <w:r w:rsidRPr="00C003FA">
              <w:rPr>
                <w:sz w:val="15"/>
                <w:szCs w:val="15"/>
              </w:rPr>
              <w:t>$</w:t>
            </w:r>
            <w:r w:rsidRPr="00C003FA">
              <w:rPr>
                <w:sz w:val="15"/>
                <w:szCs w:val="15"/>
                <w:u w:val="single"/>
              </w:rPr>
              <w:t>357.2</w:t>
            </w:r>
          </w:p>
        </w:tc>
        <w:tc>
          <w:tcPr>
            <w:tcW w:w="840" w:type="dxa"/>
            <w:vAlign w:val="bottom"/>
          </w:tcPr>
          <w:p w:rsidR="00F7128E" w:rsidRPr="00C003FA" w:rsidRDefault="00F7128E" w:rsidP="00F7128E">
            <w:pPr>
              <w:tabs>
                <w:tab w:val="decimal" w:pos="315"/>
              </w:tabs>
              <w:jc w:val="left"/>
              <w:rPr>
                <w:sz w:val="15"/>
                <w:szCs w:val="15"/>
                <w:u w:val="single"/>
              </w:rPr>
            </w:pPr>
            <w:r w:rsidRPr="00C003FA">
              <w:rPr>
                <w:sz w:val="15"/>
                <w:szCs w:val="15"/>
                <w:u w:val="single"/>
              </w:rPr>
              <w:t xml:space="preserve">  11.8</w:t>
            </w:r>
            <w:r w:rsidRPr="00C003FA">
              <w:rPr>
                <w:sz w:val="15"/>
                <w:szCs w:val="15"/>
              </w:rPr>
              <w:t>%</w:t>
            </w:r>
          </w:p>
        </w:tc>
        <w:tc>
          <w:tcPr>
            <w:tcW w:w="840" w:type="dxa"/>
            <w:vAlign w:val="bottom"/>
          </w:tcPr>
          <w:p w:rsidR="00F7128E" w:rsidRPr="00C003FA" w:rsidRDefault="00F7128E" w:rsidP="00F7128E">
            <w:pPr>
              <w:tabs>
                <w:tab w:val="decimal" w:pos="466"/>
              </w:tabs>
              <w:jc w:val="left"/>
              <w:rPr>
                <w:sz w:val="15"/>
                <w:szCs w:val="15"/>
                <w:u w:val="single"/>
              </w:rPr>
            </w:pPr>
            <w:r w:rsidRPr="00C003FA">
              <w:rPr>
                <w:sz w:val="15"/>
                <w:szCs w:val="15"/>
              </w:rPr>
              <w:t>$</w:t>
            </w:r>
            <w:r w:rsidRPr="00C003FA">
              <w:rPr>
                <w:sz w:val="15"/>
                <w:szCs w:val="15"/>
                <w:u w:val="single"/>
              </w:rPr>
              <w:t>480.2</w:t>
            </w:r>
          </w:p>
        </w:tc>
        <w:tc>
          <w:tcPr>
            <w:tcW w:w="840" w:type="dxa"/>
            <w:vAlign w:val="bottom"/>
          </w:tcPr>
          <w:p w:rsidR="00F7128E" w:rsidRPr="00C003FA" w:rsidRDefault="00F7128E" w:rsidP="00F7128E">
            <w:pPr>
              <w:tabs>
                <w:tab w:val="decimal" w:pos="256"/>
              </w:tabs>
              <w:jc w:val="left"/>
              <w:rPr>
                <w:sz w:val="15"/>
                <w:szCs w:val="15"/>
                <w:u w:val="single"/>
              </w:rPr>
            </w:pPr>
            <w:r w:rsidRPr="00C003FA">
              <w:rPr>
                <w:sz w:val="15"/>
                <w:szCs w:val="15"/>
                <w:u w:val="single"/>
              </w:rPr>
              <w:t>34.4</w:t>
            </w:r>
            <w:r w:rsidRPr="00C003FA">
              <w:rPr>
                <w:sz w:val="15"/>
                <w:szCs w:val="15"/>
              </w:rPr>
              <w:t>%</w:t>
            </w:r>
          </w:p>
        </w:tc>
        <w:tc>
          <w:tcPr>
            <w:tcW w:w="840" w:type="dxa"/>
            <w:vAlign w:val="bottom"/>
          </w:tcPr>
          <w:p w:rsidR="00F7128E" w:rsidRPr="00C003FA" w:rsidRDefault="00F7128E" w:rsidP="00F7128E">
            <w:pPr>
              <w:tabs>
                <w:tab w:val="decimal" w:pos="496"/>
              </w:tabs>
              <w:jc w:val="left"/>
              <w:rPr>
                <w:sz w:val="15"/>
                <w:szCs w:val="15"/>
                <w:u w:val="single"/>
              </w:rPr>
            </w:pPr>
            <w:r w:rsidRPr="00C003FA">
              <w:rPr>
                <w:sz w:val="15"/>
                <w:szCs w:val="15"/>
              </w:rPr>
              <w:t>$</w:t>
            </w:r>
            <w:r w:rsidRPr="00C003FA">
              <w:rPr>
                <w:sz w:val="15"/>
                <w:szCs w:val="15"/>
                <w:u w:val="single"/>
              </w:rPr>
              <w:t>394.7</w:t>
            </w:r>
          </w:p>
        </w:tc>
        <w:tc>
          <w:tcPr>
            <w:tcW w:w="839" w:type="dxa"/>
            <w:vAlign w:val="bottom"/>
          </w:tcPr>
          <w:p w:rsidR="00F7128E" w:rsidRPr="00C003FA" w:rsidRDefault="00F7128E" w:rsidP="00F7128E">
            <w:pPr>
              <w:tabs>
                <w:tab w:val="decimal" w:pos="286"/>
              </w:tabs>
              <w:jc w:val="left"/>
              <w:rPr>
                <w:sz w:val="15"/>
                <w:szCs w:val="15"/>
                <w:u w:val="single"/>
              </w:rPr>
            </w:pPr>
            <w:r w:rsidRPr="00C003FA">
              <w:rPr>
                <w:sz w:val="15"/>
                <w:szCs w:val="15"/>
                <w:u w:val="single"/>
              </w:rPr>
              <w:t>(17.8)</w:t>
            </w:r>
            <w:r w:rsidRPr="00C003FA">
              <w:rPr>
                <w:sz w:val="15"/>
                <w:szCs w:val="15"/>
              </w:rPr>
              <w:t>%</w:t>
            </w:r>
          </w:p>
        </w:tc>
        <w:tc>
          <w:tcPr>
            <w:tcW w:w="840" w:type="dxa"/>
            <w:vAlign w:val="bottom"/>
          </w:tcPr>
          <w:p w:rsidR="00F7128E" w:rsidRPr="00C003FA" w:rsidRDefault="00F7128E" w:rsidP="00F7128E">
            <w:pPr>
              <w:tabs>
                <w:tab w:val="decimal" w:pos="526"/>
              </w:tabs>
              <w:jc w:val="left"/>
              <w:rPr>
                <w:sz w:val="15"/>
                <w:szCs w:val="15"/>
                <w:u w:val="single"/>
              </w:rPr>
            </w:pPr>
            <w:r w:rsidRPr="00C003FA">
              <w:rPr>
                <w:sz w:val="15"/>
                <w:szCs w:val="15"/>
              </w:rPr>
              <w:t>$</w:t>
            </w:r>
            <w:r w:rsidRPr="00C003FA">
              <w:rPr>
                <w:sz w:val="15"/>
                <w:szCs w:val="15"/>
                <w:u w:val="single"/>
              </w:rPr>
              <w:t>382.5</w:t>
            </w:r>
          </w:p>
        </w:tc>
        <w:tc>
          <w:tcPr>
            <w:tcW w:w="842" w:type="dxa"/>
            <w:tcBorders>
              <w:right w:val="single" w:sz="4" w:space="0" w:color="auto"/>
            </w:tcBorders>
            <w:vAlign w:val="bottom"/>
          </w:tcPr>
          <w:p w:rsidR="00F7128E" w:rsidRPr="00C003FA" w:rsidRDefault="00F7128E" w:rsidP="00F7128E">
            <w:pPr>
              <w:tabs>
                <w:tab w:val="decimal" w:pos="316"/>
              </w:tabs>
              <w:jc w:val="left"/>
              <w:rPr>
                <w:sz w:val="15"/>
                <w:szCs w:val="15"/>
                <w:u w:val="single"/>
              </w:rPr>
            </w:pPr>
            <w:r w:rsidRPr="00C003FA">
              <w:rPr>
                <w:sz w:val="15"/>
                <w:szCs w:val="15"/>
                <w:u w:val="single"/>
              </w:rPr>
              <w:t>(3.1)</w:t>
            </w:r>
            <w:r w:rsidRPr="00C003FA">
              <w:rPr>
                <w:sz w:val="15"/>
                <w:szCs w:val="15"/>
              </w:rPr>
              <w:t>%</w:t>
            </w:r>
          </w:p>
        </w:tc>
        <w:tc>
          <w:tcPr>
            <w:tcW w:w="840" w:type="dxa"/>
            <w:tcBorders>
              <w:left w:val="single" w:sz="4" w:space="0" w:color="auto"/>
            </w:tcBorders>
          </w:tcPr>
          <w:p w:rsidR="00F7128E" w:rsidRPr="00C003FA" w:rsidRDefault="00F7128E" w:rsidP="00F7128E">
            <w:pPr>
              <w:tabs>
                <w:tab w:val="decimal" w:pos="526"/>
              </w:tabs>
              <w:jc w:val="left"/>
              <w:rPr>
                <w:sz w:val="15"/>
                <w:szCs w:val="15"/>
                <w:u w:val="single"/>
              </w:rPr>
            </w:pPr>
            <w:r w:rsidRPr="00C003FA">
              <w:rPr>
                <w:sz w:val="15"/>
                <w:szCs w:val="15"/>
              </w:rPr>
              <w:t>$</w:t>
            </w:r>
            <w:r w:rsidRPr="00C003FA">
              <w:rPr>
                <w:sz w:val="15"/>
                <w:szCs w:val="15"/>
                <w:u w:val="single"/>
              </w:rPr>
              <w:t>389.5</w:t>
            </w:r>
          </w:p>
        </w:tc>
        <w:tc>
          <w:tcPr>
            <w:tcW w:w="840" w:type="dxa"/>
          </w:tcPr>
          <w:p w:rsidR="00F7128E" w:rsidRPr="00C003FA" w:rsidRDefault="00D06746" w:rsidP="00F7128E">
            <w:pPr>
              <w:tabs>
                <w:tab w:val="decimal" w:pos="324"/>
              </w:tabs>
              <w:jc w:val="left"/>
              <w:rPr>
                <w:sz w:val="15"/>
                <w:szCs w:val="15"/>
                <w:u w:val="single"/>
              </w:rPr>
            </w:pPr>
            <w:r>
              <w:rPr>
                <w:sz w:val="15"/>
                <w:szCs w:val="15"/>
                <w:u w:val="single"/>
              </w:rPr>
              <w:t xml:space="preserve">    </w:t>
            </w:r>
            <w:r w:rsidR="00F7128E" w:rsidRPr="00C003FA">
              <w:rPr>
                <w:sz w:val="15"/>
                <w:szCs w:val="15"/>
                <w:u w:val="single"/>
              </w:rPr>
              <w:t>1.8</w:t>
            </w:r>
            <w:r w:rsidR="00F7128E" w:rsidRPr="00C003FA">
              <w:rPr>
                <w:sz w:val="15"/>
                <w:szCs w:val="15"/>
              </w:rPr>
              <w:t>%</w:t>
            </w:r>
          </w:p>
        </w:tc>
        <w:tc>
          <w:tcPr>
            <w:tcW w:w="840" w:type="dxa"/>
          </w:tcPr>
          <w:p w:rsidR="00F7128E" w:rsidRPr="00C003FA" w:rsidRDefault="00D06746" w:rsidP="00F7128E">
            <w:pPr>
              <w:tabs>
                <w:tab w:val="decimal" w:pos="526"/>
              </w:tabs>
              <w:jc w:val="left"/>
              <w:rPr>
                <w:sz w:val="15"/>
                <w:szCs w:val="15"/>
                <w:u w:val="single"/>
              </w:rPr>
            </w:pPr>
            <w:r w:rsidRPr="00D06746">
              <w:rPr>
                <w:sz w:val="15"/>
                <w:szCs w:val="15"/>
              </w:rPr>
              <w:t>$</w:t>
            </w:r>
            <w:r>
              <w:rPr>
                <w:sz w:val="15"/>
                <w:szCs w:val="15"/>
                <w:u w:val="single"/>
              </w:rPr>
              <w:t>402.3</w:t>
            </w:r>
          </w:p>
        </w:tc>
        <w:tc>
          <w:tcPr>
            <w:tcW w:w="842" w:type="dxa"/>
          </w:tcPr>
          <w:p w:rsidR="00F7128E" w:rsidRPr="00C003FA" w:rsidRDefault="00D06746" w:rsidP="00F7128E">
            <w:pPr>
              <w:tabs>
                <w:tab w:val="decimal" w:pos="324"/>
              </w:tabs>
              <w:jc w:val="left"/>
              <w:rPr>
                <w:sz w:val="15"/>
                <w:szCs w:val="15"/>
                <w:u w:val="single"/>
              </w:rPr>
            </w:pPr>
            <w:r>
              <w:rPr>
                <w:sz w:val="15"/>
                <w:szCs w:val="15"/>
                <w:u w:val="single"/>
              </w:rPr>
              <w:t>3.3</w:t>
            </w:r>
            <w:r w:rsidRPr="00D06746">
              <w:rPr>
                <w:sz w:val="15"/>
                <w:szCs w:val="15"/>
              </w:rPr>
              <w:t>%</w:t>
            </w:r>
          </w:p>
        </w:tc>
      </w:tr>
      <w:tr w:rsidR="00F7128E" w:rsidRPr="00C003FA" w:rsidTr="00804D3C">
        <w:trPr>
          <w:jc w:val="center"/>
        </w:trPr>
        <w:tc>
          <w:tcPr>
            <w:tcW w:w="2070" w:type="dxa"/>
            <w:vAlign w:val="bottom"/>
          </w:tcPr>
          <w:p w:rsidR="00F7128E" w:rsidRPr="00C003FA" w:rsidRDefault="00F7128E" w:rsidP="00F7128E">
            <w:pPr>
              <w:jc w:val="left"/>
              <w:rPr>
                <w:sz w:val="15"/>
                <w:szCs w:val="15"/>
              </w:rPr>
            </w:pPr>
          </w:p>
        </w:tc>
        <w:tc>
          <w:tcPr>
            <w:tcW w:w="900" w:type="dxa"/>
            <w:vAlign w:val="bottom"/>
          </w:tcPr>
          <w:p w:rsidR="00F7128E" w:rsidRPr="00C003FA" w:rsidRDefault="00F7128E" w:rsidP="00F7128E">
            <w:pPr>
              <w:tabs>
                <w:tab w:val="decimal" w:pos="466"/>
              </w:tabs>
              <w:jc w:val="left"/>
              <w:rPr>
                <w:sz w:val="15"/>
                <w:szCs w:val="15"/>
              </w:rPr>
            </w:pPr>
          </w:p>
        </w:tc>
        <w:tc>
          <w:tcPr>
            <w:tcW w:w="853" w:type="dxa"/>
            <w:vAlign w:val="bottom"/>
          </w:tcPr>
          <w:p w:rsidR="00F7128E" w:rsidRPr="00C003FA" w:rsidRDefault="00F7128E" w:rsidP="00F7128E">
            <w:pPr>
              <w:tabs>
                <w:tab w:val="decimal" w:pos="256"/>
              </w:tabs>
              <w:jc w:val="left"/>
              <w:rPr>
                <w:sz w:val="15"/>
                <w:szCs w:val="15"/>
                <w:u w:val="double"/>
              </w:rPr>
            </w:pPr>
          </w:p>
        </w:tc>
        <w:tc>
          <w:tcPr>
            <w:tcW w:w="852" w:type="dxa"/>
            <w:vAlign w:val="bottom"/>
          </w:tcPr>
          <w:p w:rsidR="00F7128E" w:rsidRPr="00C003FA" w:rsidRDefault="00F7128E" w:rsidP="00F7128E">
            <w:pPr>
              <w:tabs>
                <w:tab w:val="decimal" w:pos="525"/>
              </w:tabs>
              <w:jc w:val="left"/>
              <w:rPr>
                <w:sz w:val="15"/>
                <w:szCs w:val="15"/>
              </w:rPr>
            </w:pPr>
          </w:p>
        </w:tc>
        <w:tc>
          <w:tcPr>
            <w:tcW w:w="840" w:type="dxa"/>
            <w:vAlign w:val="bottom"/>
          </w:tcPr>
          <w:p w:rsidR="00F7128E" w:rsidRPr="00C003FA" w:rsidRDefault="00F7128E" w:rsidP="00F7128E">
            <w:pPr>
              <w:tabs>
                <w:tab w:val="decimal" w:pos="315"/>
              </w:tabs>
              <w:jc w:val="left"/>
              <w:rPr>
                <w:sz w:val="15"/>
                <w:szCs w:val="15"/>
              </w:rPr>
            </w:pPr>
          </w:p>
        </w:tc>
        <w:tc>
          <w:tcPr>
            <w:tcW w:w="840" w:type="dxa"/>
            <w:vAlign w:val="bottom"/>
          </w:tcPr>
          <w:p w:rsidR="00F7128E" w:rsidRPr="00C003FA" w:rsidRDefault="00F7128E" w:rsidP="00F7128E">
            <w:pPr>
              <w:tabs>
                <w:tab w:val="decimal" w:pos="466"/>
              </w:tabs>
              <w:jc w:val="left"/>
              <w:rPr>
                <w:sz w:val="15"/>
                <w:szCs w:val="15"/>
              </w:rPr>
            </w:pPr>
          </w:p>
        </w:tc>
        <w:tc>
          <w:tcPr>
            <w:tcW w:w="840" w:type="dxa"/>
            <w:vAlign w:val="bottom"/>
          </w:tcPr>
          <w:p w:rsidR="00F7128E" w:rsidRPr="00C003FA" w:rsidRDefault="00F7128E" w:rsidP="00F7128E">
            <w:pPr>
              <w:tabs>
                <w:tab w:val="decimal" w:pos="256"/>
              </w:tabs>
              <w:jc w:val="left"/>
              <w:rPr>
                <w:sz w:val="15"/>
                <w:szCs w:val="15"/>
              </w:rPr>
            </w:pPr>
          </w:p>
        </w:tc>
        <w:tc>
          <w:tcPr>
            <w:tcW w:w="840" w:type="dxa"/>
            <w:vAlign w:val="bottom"/>
          </w:tcPr>
          <w:p w:rsidR="00F7128E" w:rsidRPr="00C003FA" w:rsidRDefault="00F7128E" w:rsidP="00F7128E">
            <w:pPr>
              <w:tabs>
                <w:tab w:val="decimal" w:pos="496"/>
              </w:tabs>
              <w:jc w:val="left"/>
              <w:rPr>
                <w:sz w:val="15"/>
                <w:szCs w:val="15"/>
              </w:rPr>
            </w:pPr>
          </w:p>
        </w:tc>
        <w:tc>
          <w:tcPr>
            <w:tcW w:w="839" w:type="dxa"/>
            <w:vAlign w:val="bottom"/>
          </w:tcPr>
          <w:p w:rsidR="00F7128E" w:rsidRPr="00C003FA" w:rsidRDefault="00F7128E" w:rsidP="00F7128E">
            <w:pPr>
              <w:tabs>
                <w:tab w:val="decimal" w:pos="286"/>
              </w:tabs>
              <w:jc w:val="left"/>
              <w:rPr>
                <w:sz w:val="15"/>
                <w:szCs w:val="15"/>
              </w:rPr>
            </w:pPr>
          </w:p>
        </w:tc>
        <w:tc>
          <w:tcPr>
            <w:tcW w:w="840" w:type="dxa"/>
            <w:vAlign w:val="bottom"/>
          </w:tcPr>
          <w:p w:rsidR="00F7128E" w:rsidRPr="00C003FA" w:rsidRDefault="00F7128E" w:rsidP="00F7128E">
            <w:pPr>
              <w:tabs>
                <w:tab w:val="decimal" w:pos="526"/>
              </w:tabs>
              <w:jc w:val="left"/>
              <w:rPr>
                <w:sz w:val="15"/>
                <w:szCs w:val="15"/>
              </w:rPr>
            </w:pPr>
          </w:p>
        </w:tc>
        <w:tc>
          <w:tcPr>
            <w:tcW w:w="842" w:type="dxa"/>
            <w:tcBorders>
              <w:right w:val="single" w:sz="4" w:space="0" w:color="auto"/>
            </w:tcBorders>
            <w:vAlign w:val="bottom"/>
          </w:tcPr>
          <w:p w:rsidR="00F7128E" w:rsidRPr="00C003FA" w:rsidRDefault="00F7128E" w:rsidP="00F7128E">
            <w:pPr>
              <w:tabs>
                <w:tab w:val="decimal" w:pos="316"/>
              </w:tabs>
              <w:jc w:val="left"/>
              <w:rPr>
                <w:sz w:val="15"/>
                <w:szCs w:val="15"/>
              </w:rPr>
            </w:pPr>
          </w:p>
        </w:tc>
        <w:tc>
          <w:tcPr>
            <w:tcW w:w="840" w:type="dxa"/>
            <w:tcBorders>
              <w:left w:val="single" w:sz="4" w:space="0" w:color="auto"/>
            </w:tcBorders>
          </w:tcPr>
          <w:p w:rsidR="00F7128E" w:rsidRPr="00C003FA" w:rsidRDefault="00F7128E" w:rsidP="00F7128E">
            <w:pPr>
              <w:tabs>
                <w:tab w:val="decimal" w:pos="526"/>
              </w:tabs>
              <w:jc w:val="left"/>
              <w:rPr>
                <w:sz w:val="15"/>
                <w:szCs w:val="15"/>
              </w:rPr>
            </w:pPr>
          </w:p>
        </w:tc>
        <w:tc>
          <w:tcPr>
            <w:tcW w:w="840" w:type="dxa"/>
          </w:tcPr>
          <w:p w:rsidR="00F7128E" w:rsidRPr="00C003FA" w:rsidRDefault="00F7128E" w:rsidP="00F7128E">
            <w:pPr>
              <w:tabs>
                <w:tab w:val="decimal" w:pos="324"/>
              </w:tabs>
              <w:jc w:val="left"/>
              <w:rPr>
                <w:sz w:val="15"/>
                <w:szCs w:val="15"/>
              </w:rPr>
            </w:pPr>
          </w:p>
        </w:tc>
        <w:tc>
          <w:tcPr>
            <w:tcW w:w="840" w:type="dxa"/>
          </w:tcPr>
          <w:p w:rsidR="00F7128E" w:rsidRPr="00C003FA" w:rsidRDefault="00F7128E" w:rsidP="00F7128E">
            <w:pPr>
              <w:tabs>
                <w:tab w:val="decimal" w:pos="526"/>
              </w:tabs>
              <w:jc w:val="left"/>
              <w:rPr>
                <w:sz w:val="15"/>
                <w:szCs w:val="15"/>
              </w:rPr>
            </w:pPr>
          </w:p>
        </w:tc>
        <w:tc>
          <w:tcPr>
            <w:tcW w:w="842" w:type="dxa"/>
          </w:tcPr>
          <w:p w:rsidR="00F7128E" w:rsidRPr="00C003FA" w:rsidRDefault="00F7128E" w:rsidP="00F7128E">
            <w:pPr>
              <w:tabs>
                <w:tab w:val="decimal" w:pos="324"/>
              </w:tabs>
              <w:jc w:val="left"/>
              <w:rPr>
                <w:sz w:val="15"/>
                <w:szCs w:val="15"/>
              </w:rPr>
            </w:pPr>
          </w:p>
        </w:tc>
      </w:tr>
      <w:tr w:rsidR="00F7128E" w:rsidRPr="00C003FA" w:rsidTr="00804D3C">
        <w:trPr>
          <w:jc w:val="center"/>
        </w:trPr>
        <w:tc>
          <w:tcPr>
            <w:tcW w:w="2070" w:type="dxa"/>
            <w:vAlign w:val="bottom"/>
          </w:tcPr>
          <w:p w:rsidR="00F7128E" w:rsidRPr="00C003FA" w:rsidRDefault="00F7128E" w:rsidP="00F7128E">
            <w:pPr>
              <w:jc w:val="left"/>
              <w:rPr>
                <w:sz w:val="15"/>
                <w:szCs w:val="15"/>
              </w:rPr>
            </w:pPr>
            <w:r w:rsidRPr="00C003FA">
              <w:rPr>
                <w:sz w:val="15"/>
                <w:szCs w:val="15"/>
              </w:rPr>
              <w:t>Gross General Fund</w:t>
            </w:r>
          </w:p>
        </w:tc>
        <w:tc>
          <w:tcPr>
            <w:tcW w:w="900" w:type="dxa"/>
            <w:vAlign w:val="bottom"/>
          </w:tcPr>
          <w:p w:rsidR="00F7128E" w:rsidRPr="00C003FA" w:rsidRDefault="00F7128E" w:rsidP="00F7128E">
            <w:pPr>
              <w:tabs>
                <w:tab w:val="decimal" w:pos="466"/>
              </w:tabs>
              <w:jc w:val="left"/>
              <w:rPr>
                <w:sz w:val="15"/>
                <w:szCs w:val="15"/>
              </w:rPr>
            </w:pPr>
            <w:r w:rsidRPr="00C003FA">
              <w:rPr>
                <w:sz w:val="15"/>
                <w:szCs w:val="15"/>
              </w:rPr>
              <w:t>$</w:t>
            </w:r>
            <w:r w:rsidRPr="00C003FA">
              <w:rPr>
                <w:sz w:val="15"/>
                <w:szCs w:val="15"/>
                <w:u w:val="double"/>
              </w:rPr>
              <w:t>9,971.4</w:t>
            </w:r>
          </w:p>
        </w:tc>
        <w:tc>
          <w:tcPr>
            <w:tcW w:w="853" w:type="dxa"/>
            <w:vAlign w:val="bottom"/>
          </w:tcPr>
          <w:p w:rsidR="00F7128E" w:rsidRPr="00C003FA" w:rsidRDefault="00F7128E" w:rsidP="00F7128E">
            <w:pPr>
              <w:tabs>
                <w:tab w:val="decimal" w:pos="256"/>
              </w:tabs>
              <w:jc w:val="left"/>
              <w:rPr>
                <w:sz w:val="15"/>
                <w:szCs w:val="15"/>
              </w:rPr>
            </w:pPr>
            <w:r w:rsidRPr="00C003FA">
              <w:rPr>
                <w:sz w:val="15"/>
                <w:szCs w:val="15"/>
                <w:u w:val="double"/>
              </w:rPr>
              <w:t>1.7</w:t>
            </w:r>
            <w:r w:rsidRPr="00C003FA">
              <w:rPr>
                <w:sz w:val="15"/>
                <w:szCs w:val="15"/>
              </w:rPr>
              <w:t>%</w:t>
            </w:r>
          </w:p>
        </w:tc>
        <w:tc>
          <w:tcPr>
            <w:tcW w:w="852" w:type="dxa"/>
            <w:vAlign w:val="bottom"/>
          </w:tcPr>
          <w:p w:rsidR="00F7128E" w:rsidRPr="00C003FA" w:rsidRDefault="00F7128E" w:rsidP="00F7128E">
            <w:pPr>
              <w:tabs>
                <w:tab w:val="decimal" w:pos="525"/>
              </w:tabs>
              <w:jc w:val="left"/>
              <w:rPr>
                <w:sz w:val="15"/>
                <w:szCs w:val="15"/>
              </w:rPr>
            </w:pPr>
            <w:r w:rsidRPr="00C003FA">
              <w:rPr>
                <w:sz w:val="15"/>
                <w:szCs w:val="15"/>
              </w:rPr>
              <w:t>$</w:t>
            </w:r>
            <w:r w:rsidRPr="00C003FA">
              <w:rPr>
                <w:sz w:val="15"/>
                <w:szCs w:val="15"/>
                <w:u w:val="double"/>
              </w:rPr>
              <w:t>10,275.8</w:t>
            </w:r>
          </w:p>
        </w:tc>
        <w:tc>
          <w:tcPr>
            <w:tcW w:w="840" w:type="dxa"/>
            <w:vAlign w:val="bottom"/>
          </w:tcPr>
          <w:p w:rsidR="00F7128E" w:rsidRPr="00C003FA" w:rsidRDefault="00F7128E" w:rsidP="00F7128E">
            <w:pPr>
              <w:tabs>
                <w:tab w:val="decimal" w:pos="315"/>
              </w:tabs>
              <w:jc w:val="left"/>
              <w:rPr>
                <w:sz w:val="15"/>
                <w:szCs w:val="15"/>
              </w:rPr>
            </w:pPr>
            <w:r w:rsidRPr="00C003FA">
              <w:rPr>
                <w:sz w:val="15"/>
                <w:szCs w:val="15"/>
                <w:u w:val="double"/>
              </w:rPr>
              <w:t>3.1</w:t>
            </w:r>
            <w:r w:rsidRPr="00C003FA">
              <w:rPr>
                <w:sz w:val="15"/>
                <w:szCs w:val="15"/>
              </w:rPr>
              <w:t>%</w:t>
            </w:r>
          </w:p>
        </w:tc>
        <w:tc>
          <w:tcPr>
            <w:tcW w:w="840" w:type="dxa"/>
            <w:vAlign w:val="bottom"/>
          </w:tcPr>
          <w:p w:rsidR="00F7128E" w:rsidRPr="00C003FA" w:rsidRDefault="00F7128E" w:rsidP="00F7128E">
            <w:pPr>
              <w:tabs>
                <w:tab w:val="decimal" w:pos="466"/>
              </w:tabs>
              <w:jc w:val="left"/>
              <w:rPr>
                <w:sz w:val="15"/>
                <w:szCs w:val="15"/>
              </w:rPr>
            </w:pPr>
            <w:r w:rsidRPr="00C003FA">
              <w:rPr>
                <w:sz w:val="15"/>
                <w:szCs w:val="15"/>
              </w:rPr>
              <w:t>$</w:t>
            </w:r>
            <w:r w:rsidRPr="00C003FA">
              <w:rPr>
                <w:sz w:val="15"/>
                <w:szCs w:val="15"/>
                <w:u w:val="double"/>
              </w:rPr>
              <w:t>11,723.9</w:t>
            </w:r>
          </w:p>
        </w:tc>
        <w:tc>
          <w:tcPr>
            <w:tcW w:w="840" w:type="dxa"/>
            <w:vAlign w:val="bottom"/>
          </w:tcPr>
          <w:p w:rsidR="00F7128E" w:rsidRPr="00C003FA" w:rsidRDefault="00F7128E" w:rsidP="00F7128E">
            <w:pPr>
              <w:tabs>
                <w:tab w:val="decimal" w:pos="256"/>
              </w:tabs>
              <w:jc w:val="left"/>
              <w:rPr>
                <w:sz w:val="15"/>
                <w:szCs w:val="15"/>
                <w:u w:val="double"/>
              </w:rPr>
            </w:pPr>
            <w:r w:rsidRPr="00C003FA">
              <w:rPr>
                <w:sz w:val="15"/>
                <w:szCs w:val="15"/>
                <w:u w:val="double"/>
              </w:rPr>
              <w:t>14.1</w:t>
            </w:r>
            <w:r w:rsidRPr="00C003FA">
              <w:rPr>
                <w:sz w:val="15"/>
                <w:szCs w:val="15"/>
                <w:u w:val="single"/>
              </w:rPr>
              <w:t>%</w:t>
            </w:r>
          </w:p>
        </w:tc>
        <w:tc>
          <w:tcPr>
            <w:tcW w:w="840" w:type="dxa"/>
            <w:vAlign w:val="bottom"/>
          </w:tcPr>
          <w:p w:rsidR="00F7128E" w:rsidRPr="00C003FA" w:rsidRDefault="00F7128E" w:rsidP="00F7128E">
            <w:pPr>
              <w:tabs>
                <w:tab w:val="decimal" w:pos="496"/>
              </w:tabs>
              <w:jc w:val="left"/>
              <w:rPr>
                <w:sz w:val="15"/>
                <w:szCs w:val="15"/>
                <w:u w:val="double"/>
              </w:rPr>
            </w:pPr>
            <w:r w:rsidRPr="00C003FA">
              <w:rPr>
                <w:sz w:val="15"/>
                <w:szCs w:val="15"/>
                <w:u w:val="single"/>
              </w:rPr>
              <w:t>$</w:t>
            </w:r>
            <w:r w:rsidRPr="00C003FA">
              <w:rPr>
                <w:sz w:val="15"/>
                <w:szCs w:val="15"/>
                <w:u w:val="double"/>
              </w:rPr>
              <w:t>12,564.0</w:t>
            </w:r>
          </w:p>
        </w:tc>
        <w:tc>
          <w:tcPr>
            <w:tcW w:w="839" w:type="dxa"/>
            <w:vAlign w:val="bottom"/>
          </w:tcPr>
          <w:p w:rsidR="00F7128E" w:rsidRPr="00C003FA" w:rsidRDefault="00F7128E" w:rsidP="00F7128E">
            <w:pPr>
              <w:tabs>
                <w:tab w:val="decimal" w:pos="286"/>
              </w:tabs>
              <w:jc w:val="left"/>
              <w:rPr>
                <w:sz w:val="15"/>
                <w:szCs w:val="15"/>
                <w:u w:val="double"/>
              </w:rPr>
            </w:pPr>
            <w:r w:rsidRPr="00C003FA">
              <w:rPr>
                <w:sz w:val="15"/>
                <w:szCs w:val="15"/>
                <w:u w:val="double"/>
              </w:rPr>
              <w:t>7.2</w:t>
            </w:r>
            <w:r w:rsidRPr="00C003FA">
              <w:rPr>
                <w:sz w:val="15"/>
                <w:szCs w:val="15"/>
                <w:u w:val="single"/>
              </w:rPr>
              <w:t>%</w:t>
            </w:r>
          </w:p>
        </w:tc>
        <w:tc>
          <w:tcPr>
            <w:tcW w:w="840" w:type="dxa"/>
            <w:vAlign w:val="bottom"/>
          </w:tcPr>
          <w:p w:rsidR="00F7128E" w:rsidRPr="00C003FA" w:rsidRDefault="00F7128E" w:rsidP="00F7128E">
            <w:pPr>
              <w:tabs>
                <w:tab w:val="decimal" w:pos="526"/>
              </w:tabs>
              <w:jc w:val="left"/>
              <w:rPr>
                <w:sz w:val="15"/>
                <w:szCs w:val="15"/>
                <w:u w:val="double"/>
              </w:rPr>
            </w:pPr>
            <w:r w:rsidRPr="00C003FA">
              <w:rPr>
                <w:sz w:val="15"/>
                <w:szCs w:val="15"/>
              </w:rPr>
              <w:t>$</w:t>
            </w:r>
            <w:r w:rsidRPr="00C003FA">
              <w:rPr>
                <w:sz w:val="15"/>
                <w:szCs w:val="15"/>
                <w:u w:val="double"/>
              </w:rPr>
              <w:t>12,868.5</w:t>
            </w:r>
          </w:p>
        </w:tc>
        <w:tc>
          <w:tcPr>
            <w:tcW w:w="842" w:type="dxa"/>
            <w:tcBorders>
              <w:right w:val="single" w:sz="4" w:space="0" w:color="auto"/>
            </w:tcBorders>
            <w:vAlign w:val="bottom"/>
          </w:tcPr>
          <w:p w:rsidR="00F7128E" w:rsidRPr="00C003FA" w:rsidRDefault="00F7128E" w:rsidP="00F7128E">
            <w:pPr>
              <w:tabs>
                <w:tab w:val="decimal" w:pos="316"/>
              </w:tabs>
              <w:jc w:val="left"/>
              <w:rPr>
                <w:sz w:val="15"/>
                <w:szCs w:val="15"/>
                <w:u w:val="double"/>
              </w:rPr>
            </w:pPr>
            <w:r w:rsidRPr="00C003FA">
              <w:rPr>
                <w:sz w:val="15"/>
                <w:szCs w:val="15"/>
                <w:u w:val="double"/>
              </w:rPr>
              <w:t>2.4</w:t>
            </w:r>
            <w:r w:rsidRPr="00C003FA">
              <w:rPr>
                <w:sz w:val="15"/>
                <w:szCs w:val="15"/>
              </w:rPr>
              <w:t>%</w:t>
            </w:r>
          </w:p>
        </w:tc>
        <w:tc>
          <w:tcPr>
            <w:tcW w:w="840" w:type="dxa"/>
            <w:tcBorders>
              <w:left w:val="single" w:sz="4" w:space="0" w:color="auto"/>
            </w:tcBorders>
          </w:tcPr>
          <w:p w:rsidR="00F7128E" w:rsidRPr="00C003FA" w:rsidRDefault="00F7128E" w:rsidP="00F7128E">
            <w:pPr>
              <w:tabs>
                <w:tab w:val="decimal" w:pos="526"/>
              </w:tabs>
              <w:jc w:val="left"/>
              <w:rPr>
                <w:sz w:val="15"/>
                <w:szCs w:val="15"/>
                <w:u w:val="double"/>
              </w:rPr>
            </w:pPr>
            <w:r w:rsidRPr="00C003FA">
              <w:rPr>
                <w:sz w:val="15"/>
                <w:szCs w:val="15"/>
                <w:u w:val="double"/>
              </w:rPr>
              <w:t>$12,262.4</w:t>
            </w:r>
          </w:p>
        </w:tc>
        <w:tc>
          <w:tcPr>
            <w:tcW w:w="840" w:type="dxa"/>
          </w:tcPr>
          <w:p w:rsidR="00F7128E" w:rsidRPr="00C003FA" w:rsidRDefault="00F7128E" w:rsidP="00F7128E">
            <w:pPr>
              <w:tabs>
                <w:tab w:val="decimal" w:pos="324"/>
              </w:tabs>
              <w:jc w:val="left"/>
              <w:rPr>
                <w:sz w:val="15"/>
                <w:szCs w:val="15"/>
                <w:u w:val="double"/>
              </w:rPr>
            </w:pPr>
            <w:r w:rsidRPr="00C003FA">
              <w:rPr>
                <w:sz w:val="15"/>
                <w:szCs w:val="15"/>
                <w:u w:val="double"/>
              </w:rPr>
              <w:t>(4.7)</w:t>
            </w:r>
            <w:r w:rsidRPr="00C003FA">
              <w:rPr>
                <w:sz w:val="15"/>
                <w:szCs w:val="15"/>
              </w:rPr>
              <w:t>%</w:t>
            </w:r>
          </w:p>
        </w:tc>
        <w:tc>
          <w:tcPr>
            <w:tcW w:w="840" w:type="dxa"/>
          </w:tcPr>
          <w:p w:rsidR="00F7128E" w:rsidRPr="00C003FA" w:rsidRDefault="00D06746" w:rsidP="00F7128E">
            <w:pPr>
              <w:tabs>
                <w:tab w:val="decimal" w:pos="526"/>
              </w:tabs>
              <w:jc w:val="left"/>
              <w:rPr>
                <w:sz w:val="15"/>
                <w:szCs w:val="15"/>
                <w:u w:val="double"/>
              </w:rPr>
            </w:pPr>
            <w:r>
              <w:rPr>
                <w:sz w:val="15"/>
                <w:szCs w:val="15"/>
                <w:u w:val="double"/>
              </w:rPr>
              <w:t>$12,840.3</w:t>
            </w:r>
          </w:p>
        </w:tc>
        <w:tc>
          <w:tcPr>
            <w:tcW w:w="842" w:type="dxa"/>
          </w:tcPr>
          <w:p w:rsidR="00F7128E" w:rsidRPr="00C003FA" w:rsidRDefault="00D06746" w:rsidP="00F7128E">
            <w:pPr>
              <w:tabs>
                <w:tab w:val="decimal" w:pos="324"/>
              </w:tabs>
              <w:jc w:val="left"/>
              <w:rPr>
                <w:sz w:val="15"/>
                <w:szCs w:val="15"/>
                <w:u w:val="double"/>
              </w:rPr>
            </w:pPr>
            <w:r>
              <w:rPr>
                <w:sz w:val="15"/>
                <w:szCs w:val="15"/>
                <w:u w:val="double"/>
              </w:rPr>
              <w:t>4.7%</w:t>
            </w:r>
          </w:p>
        </w:tc>
      </w:tr>
      <w:tr w:rsidR="00BF5AEF" w:rsidRPr="00C003FA" w:rsidTr="000D32C5">
        <w:trPr>
          <w:jc w:val="center"/>
        </w:trPr>
        <w:tc>
          <w:tcPr>
            <w:tcW w:w="13918" w:type="dxa"/>
            <w:gridSpan w:val="15"/>
            <w:vAlign w:val="bottom"/>
          </w:tcPr>
          <w:p w:rsidR="00BF5AEF" w:rsidRPr="00C003FA" w:rsidRDefault="00BF5AEF" w:rsidP="000D32C5">
            <w:pPr>
              <w:rPr>
                <w:sz w:val="15"/>
                <w:szCs w:val="15"/>
              </w:rPr>
            </w:pPr>
          </w:p>
        </w:tc>
      </w:tr>
    </w:tbl>
    <w:p w:rsidR="00DD4B54" w:rsidRPr="008E459C" w:rsidRDefault="00DD4B54" w:rsidP="00DD4B54">
      <w:pPr>
        <w:pStyle w:val="OStablenotes"/>
        <w:keepNext w:val="0"/>
        <w:spacing w:before="80" w:after="0"/>
        <w:rPr>
          <w:spacing w:val="-3"/>
        </w:rPr>
      </w:pPr>
      <w:r>
        <w:rPr>
          <w:spacing w:val="-3"/>
        </w:rPr>
        <w:t>________________________</w:t>
      </w:r>
    </w:p>
    <w:p w:rsidR="00DD4B54" w:rsidRDefault="00DD4B54" w:rsidP="00DD4B54">
      <w:pPr>
        <w:pStyle w:val="OStablenotes"/>
        <w:keepNext w:val="0"/>
        <w:spacing w:before="80" w:after="80"/>
        <w:rPr>
          <w:color w:val="auto"/>
          <w:spacing w:val="-4"/>
        </w:rPr>
      </w:pPr>
      <w:r w:rsidRPr="001E67A3">
        <w:rPr>
          <w:szCs w:val="16"/>
          <w:vertAlign w:val="superscript"/>
        </w:rPr>
        <w:t>1</w:t>
      </w:r>
      <w:r w:rsidRPr="001E67A3">
        <w:rPr>
          <w:szCs w:val="16"/>
        </w:rPr>
        <w:tab/>
      </w:r>
      <w:r w:rsidR="000D32C5">
        <w:rPr>
          <w:szCs w:val="16"/>
        </w:rPr>
        <w:t>State voters approved Proposition AA in November of 2013, which included the imposition by the State of a sales tax</w:t>
      </w:r>
      <w:r w:rsidR="00F14D79">
        <w:rPr>
          <w:szCs w:val="16"/>
        </w:rPr>
        <w:t xml:space="preserve"> of 10% on sales of retail marijuana</w:t>
      </w:r>
      <w:r w:rsidR="000D32C5">
        <w:rPr>
          <w:szCs w:val="16"/>
        </w:rPr>
        <w:t xml:space="preserve"> and retail marijuana products effective January 2014.  Per S.B. 17-267, </w:t>
      </w:r>
      <w:r w:rsidR="00BF5AEF" w:rsidRPr="000D32C5">
        <w:rPr>
          <w:color w:val="auto"/>
          <w:spacing w:val="-4"/>
        </w:rPr>
        <w:t>this tax is increased to 15% effective July 1, 2017.  The revenue derived from this sales tax is shared by the State and local governments where such sales occur.  Through Fiscal Years 2016-17, the entire State share of this revenue is first credited to the General Fund and then transferred to the Marijuana Tax Cash Fund.  Per S.B. 17-267, for Fiscal Year 2019-20, 28.15% of the State share of this revenue, less $30 million, is to be retained in the General Fund, 71.85% is to be transferred to the Marijuana Tax Cash Fund and $30 million is to be credited to the Public School Fund and distributed to rural school districts.  Proposition AA also approved the imposition by the State of an excise tax of 15% on certain sales of unprocessed retail marijuana effective January 2014 that does not flow through the General Fund but is mostly credited directly to a cash fund for public school capital construction projects.  See “STATE FINANCIAL INFORMATION—Taxpayers’ Bill of Rights— Voter Approval to Retain and Spend Certain Marijuana Taxes Associated with Proposition AA.”</w:t>
      </w:r>
    </w:p>
    <w:p w:rsidR="00B74927" w:rsidRPr="000D32C5" w:rsidRDefault="00B74927" w:rsidP="00613B0A">
      <w:pPr>
        <w:pStyle w:val="OStablenotes"/>
        <w:keepNext w:val="0"/>
        <w:spacing w:before="80" w:after="80"/>
        <w:rPr>
          <w:color w:val="auto"/>
          <w:spacing w:val="-4"/>
        </w:rPr>
      </w:pPr>
      <w:r w:rsidRPr="00B74927">
        <w:rPr>
          <w:color w:val="auto"/>
          <w:spacing w:val="-4"/>
          <w:vertAlign w:val="superscript"/>
        </w:rPr>
        <w:t>2</w:t>
      </w:r>
      <w:r w:rsidR="00613B0A">
        <w:rPr>
          <w:color w:val="auto"/>
          <w:spacing w:val="-4"/>
        </w:rPr>
        <w:tab/>
      </w:r>
      <w:r w:rsidR="00161F4E">
        <w:rPr>
          <w:color w:val="auto"/>
          <w:spacing w:val="-4"/>
        </w:rPr>
        <w:t>Uses Taxes are paid by State residents and businesses on purchases that did not collect the State Sales Tax.</w:t>
      </w:r>
      <w:r w:rsidR="00613B0A">
        <w:rPr>
          <w:color w:val="auto"/>
          <w:spacing w:val="-4"/>
        </w:rPr>
        <w:t xml:space="preserve">  S</w:t>
      </w:r>
      <w:r>
        <w:rPr>
          <w:color w:val="auto"/>
          <w:spacing w:val="-4"/>
        </w:rPr>
        <w:t xml:space="preserve">ignificant </w:t>
      </w:r>
      <w:r w:rsidR="0093605E">
        <w:rPr>
          <w:color w:val="auto"/>
          <w:spacing w:val="-4"/>
        </w:rPr>
        <w:t>decrease</w:t>
      </w:r>
      <w:r>
        <w:rPr>
          <w:color w:val="auto"/>
          <w:spacing w:val="-4"/>
        </w:rPr>
        <w:t xml:space="preserve"> in Fiscal Year 201</w:t>
      </w:r>
      <w:r w:rsidR="0093605E">
        <w:rPr>
          <w:color w:val="auto"/>
          <w:spacing w:val="-4"/>
        </w:rPr>
        <w:t>9-20 Use Tax revenues attributable</w:t>
      </w:r>
      <w:r>
        <w:rPr>
          <w:color w:val="auto"/>
          <w:spacing w:val="-4"/>
        </w:rPr>
        <w:t xml:space="preserve"> to increase of retailers remitting sa</w:t>
      </w:r>
      <w:r w:rsidR="00161F4E">
        <w:rPr>
          <w:color w:val="auto"/>
          <w:spacing w:val="-4"/>
        </w:rPr>
        <w:t xml:space="preserve">les taxes directly to the State. </w:t>
      </w:r>
    </w:p>
    <w:p w:rsidR="00BF5AEF" w:rsidRPr="000D32C5" w:rsidRDefault="00B74927" w:rsidP="00DD4B54">
      <w:pPr>
        <w:pStyle w:val="OStablenotes"/>
        <w:keepNext w:val="0"/>
        <w:spacing w:before="80" w:after="80"/>
        <w:rPr>
          <w:color w:val="auto"/>
          <w:spacing w:val="-4"/>
        </w:rPr>
      </w:pPr>
      <w:r w:rsidRPr="00B74927">
        <w:rPr>
          <w:szCs w:val="16"/>
          <w:vertAlign w:val="superscript"/>
        </w:rPr>
        <w:t>3</w:t>
      </w:r>
      <w:r w:rsidR="00BF5AEF" w:rsidRPr="000B0C3C">
        <w:rPr>
          <w:szCs w:val="16"/>
        </w:rPr>
        <w:tab/>
      </w:r>
      <w:r w:rsidR="00BF5AEF" w:rsidRPr="000D32C5">
        <w:rPr>
          <w:color w:val="auto"/>
          <w:spacing w:val="-4"/>
        </w:rPr>
        <w:t>Reported under Sales Tax</w:t>
      </w:r>
    </w:p>
    <w:p w:rsidR="00DD4B54" w:rsidRPr="000D32C5" w:rsidRDefault="00B74927" w:rsidP="00DD4B54">
      <w:pPr>
        <w:pStyle w:val="OStablenotes"/>
        <w:keepNext w:val="0"/>
        <w:spacing w:before="80" w:after="80"/>
        <w:rPr>
          <w:color w:val="auto"/>
          <w:spacing w:val="-4"/>
        </w:rPr>
      </w:pPr>
      <w:r>
        <w:rPr>
          <w:szCs w:val="16"/>
          <w:vertAlign w:val="superscript"/>
        </w:rPr>
        <w:t>4</w:t>
      </w:r>
      <w:r w:rsidR="00DD4B54" w:rsidRPr="000B0C3C">
        <w:rPr>
          <w:szCs w:val="16"/>
        </w:rPr>
        <w:tab/>
      </w:r>
      <w:r w:rsidR="00BF5AEF" w:rsidRPr="000D32C5">
        <w:rPr>
          <w:color w:val="auto"/>
          <w:spacing w:val="-4"/>
        </w:rPr>
        <w:t>All individual and corporate income tax revenues are deposited to the General Fund and then a portion of the amount is diverted by law to the State Education Fund</w:t>
      </w:r>
      <w:r w:rsidR="00DD4B54" w:rsidRPr="000D32C5">
        <w:rPr>
          <w:color w:val="auto"/>
          <w:spacing w:val="-4"/>
        </w:rPr>
        <w:t>.</w:t>
      </w:r>
    </w:p>
    <w:p w:rsidR="00DD4B54" w:rsidRPr="000D32C5" w:rsidRDefault="00B74927" w:rsidP="00DD4B54">
      <w:pPr>
        <w:pStyle w:val="OStablenotes"/>
        <w:keepNext w:val="0"/>
        <w:spacing w:before="80" w:after="80"/>
        <w:rPr>
          <w:color w:val="auto"/>
          <w:spacing w:val="-4"/>
        </w:rPr>
      </w:pPr>
      <w:r>
        <w:rPr>
          <w:vertAlign w:val="superscript"/>
        </w:rPr>
        <w:t>5</w:t>
      </w:r>
      <w:r w:rsidR="00DD4B54">
        <w:tab/>
      </w:r>
      <w:r w:rsidR="00BF5AEF" w:rsidRPr="000D32C5">
        <w:rPr>
          <w:color w:val="auto"/>
          <w:spacing w:val="-4"/>
        </w:rPr>
        <w:t>Other income in Fiscal Year 2017-18 includes receipt of a one-time settlement payment under the Tobacco Master Settlement Agreement</w:t>
      </w:r>
      <w:r w:rsidR="008421D2" w:rsidRPr="000D32C5">
        <w:rPr>
          <w:color w:val="auto"/>
          <w:spacing w:val="-4"/>
        </w:rPr>
        <w:t xml:space="preserve">.  </w:t>
      </w:r>
    </w:p>
    <w:p w:rsidR="00DD4B54" w:rsidRDefault="00DD4B54" w:rsidP="00DD4B54">
      <w:pPr>
        <w:pStyle w:val="OStablesources"/>
        <w:spacing w:before="80" w:after="0"/>
        <w:jc w:val="left"/>
      </w:pPr>
      <w:r w:rsidRPr="00424D9A">
        <w:t>Source:</w:t>
      </w:r>
      <w:r w:rsidRPr="00424D9A">
        <w:tab/>
        <w:t>Office of State P</w:t>
      </w:r>
      <w:r w:rsidRPr="00717717">
        <w:t>lanning and Budgeting</w:t>
      </w:r>
      <w:r w:rsidR="00461557">
        <w:t>.</w:t>
      </w:r>
    </w:p>
    <w:p w:rsidR="000D32C5" w:rsidRDefault="000D32C5" w:rsidP="00DD4B54">
      <w:pPr>
        <w:pStyle w:val="OStablesources"/>
        <w:spacing w:before="80" w:after="0"/>
        <w:jc w:val="left"/>
        <w:sectPr w:rsidR="000D32C5" w:rsidSect="00322523">
          <w:footerReference w:type="first" r:id="rId33"/>
          <w:footnotePr>
            <w:numRestart w:val="eachPage"/>
          </w:footnotePr>
          <w:pgSz w:w="15840" w:h="12240" w:orient="landscape"/>
          <w:pgMar w:top="1170" w:right="1440" w:bottom="1440" w:left="1440" w:header="720" w:footer="720" w:gutter="0"/>
          <w:cols w:space="720"/>
          <w:titlePg/>
          <w:docGrid w:linePitch="360"/>
        </w:sectPr>
      </w:pPr>
    </w:p>
    <w:p w:rsidR="00DD4B54" w:rsidRPr="00D729AB" w:rsidRDefault="00DD4B54" w:rsidP="00DD4B54">
      <w:pPr>
        <w:pStyle w:val="OSappendixsubheading0"/>
        <w:rPr>
          <w:bCs w:val="0"/>
        </w:rPr>
      </w:pPr>
      <w:r>
        <w:rPr>
          <w:bCs w:val="0"/>
        </w:rPr>
        <w:t>General Fund Overview</w:t>
      </w:r>
    </w:p>
    <w:p w:rsidR="00DD4B54" w:rsidRDefault="00017235" w:rsidP="00017235">
      <w:pPr>
        <w:pStyle w:val="BodyText1"/>
      </w:pPr>
      <w:r w:rsidRPr="00017235">
        <w:t>The following table summarizes the actual revenues, expenditures and changes in fund balances for the General Fund for the past five Fiscal Years, as well as the current OSPB es</w:t>
      </w:r>
      <w:r w:rsidR="00672B2A">
        <w:t>timates for Fiscal Years 2020-21 and 2021-22</w:t>
      </w:r>
      <w:r w:rsidRPr="00017235">
        <w:t xml:space="preserve"> from the OSPB September 2020 Revenue Forecast.  The overview incorporates the budget </w:t>
      </w:r>
      <w:r w:rsidR="008414F7">
        <w:t>under current law as of the publication of the OSPB September 2020 Revenue Forecast</w:t>
      </w:r>
      <w:r w:rsidRPr="00017235">
        <w:t xml:space="preserve">.  Any new budget information will be incorporated in subsequent OSPB revenue forecasts.  The format of the following table is used by the State in developing its annual budget, as discussed </w:t>
      </w:r>
      <w:r>
        <w:t xml:space="preserve">in “STATE FINANCIAL INFORMATION – </w:t>
      </w:r>
      <w:r w:rsidRPr="00017235">
        <w:t>Budget Process and Other Considerations.”  See also “Revenue Estimation; OSPB Revenue and Economic Forecasts” i</w:t>
      </w:r>
      <w:r>
        <w:t xml:space="preserve">n this Appendix and “APPENDIX F – </w:t>
      </w:r>
      <w:r w:rsidRPr="00017235">
        <w:t>OSPB SEPTEMBER 2020 REVENUE FORECAST,” as well as “CERTAIN RISK FACT</w:t>
      </w:r>
      <w:r>
        <w:t xml:space="preserve">ORS – </w:t>
      </w:r>
      <w:r w:rsidRPr="00017235">
        <w:t>Poten</w:t>
      </w:r>
      <w:r w:rsidR="0028401F">
        <w:t>tial Impact of COVID-19 (Coronavirus)</w:t>
      </w:r>
      <w:r w:rsidRPr="00017235">
        <w:t>” and “USE OF INFORMA</w:t>
      </w:r>
      <w:r>
        <w:t xml:space="preserve">TION IN THIS OFFICIAL STATEMENT – </w:t>
      </w:r>
      <w:r w:rsidRPr="00017235">
        <w:t>CAUTIONARY STATEMENT REGARDING PROJECTIONS, ESTIMATES AND OTHER FORWARD-LOOKING STATEMENTS IN THIS OFFICIAL STATEMENT” in the forepart of this Official Statement.</w:t>
      </w:r>
    </w:p>
    <w:p w:rsidR="00DD4B54" w:rsidRPr="0000186C" w:rsidRDefault="00DD4B54" w:rsidP="00DD4B54">
      <w:pPr>
        <w:keepNext/>
        <w:keepLines/>
        <w:jc w:val="center"/>
        <w:rPr>
          <w:b/>
          <w:sz w:val="20"/>
        </w:rPr>
      </w:pPr>
      <w:r w:rsidRPr="0000186C">
        <w:rPr>
          <w:b/>
          <w:sz w:val="20"/>
        </w:rPr>
        <w:t>State of Colorado</w:t>
      </w:r>
    </w:p>
    <w:p w:rsidR="00DD4B54" w:rsidRPr="0000186C" w:rsidRDefault="00DD4B54" w:rsidP="00DD4B54">
      <w:pPr>
        <w:keepNext/>
        <w:keepLines/>
        <w:jc w:val="center"/>
        <w:rPr>
          <w:b/>
          <w:sz w:val="20"/>
        </w:rPr>
      </w:pPr>
      <w:r w:rsidRPr="0000186C">
        <w:rPr>
          <w:b/>
          <w:sz w:val="20"/>
        </w:rPr>
        <w:t>General Fund Overview</w:t>
      </w:r>
      <w:r>
        <w:rPr>
          <w:b/>
          <w:sz w:val="20"/>
        </w:rPr>
        <w:t xml:space="preserve"> </w:t>
      </w:r>
    </w:p>
    <w:p w:rsidR="00DD4B54" w:rsidRPr="00133702" w:rsidRDefault="00DD4B54" w:rsidP="00DD4B54">
      <w:pPr>
        <w:keepNext/>
        <w:keepLines/>
        <w:jc w:val="center"/>
        <w:rPr>
          <w:b/>
          <w:sz w:val="20"/>
        </w:rPr>
      </w:pPr>
      <w:r w:rsidRPr="00133702">
        <w:rPr>
          <w:b/>
          <w:sz w:val="20"/>
        </w:rPr>
        <w:t>Fiscal Years 201</w:t>
      </w:r>
      <w:r w:rsidR="00E0739C">
        <w:rPr>
          <w:b/>
          <w:sz w:val="20"/>
        </w:rPr>
        <w:t>5</w:t>
      </w:r>
      <w:r w:rsidRPr="00133702">
        <w:rPr>
          <w:b/>
          <w:sz w:val="20"/>
        </w:rPr>
        <w:t>-1</w:t>
      </w:r>
      <w:r w:rsidR="00E0739C">
        <w:rPr>
          <w:b/>
          <w:sz w:val="20"/>
        </w:rPr>
        <w:t>6</w:t>
      </w:r>
      <w:r w:rsidRPr="00133702">
        <w:rPr>
          <w:b/>
          <w:sz w:val="20"/>
        </w:rPr>
        <w:t xml:space="preserve"> through 20</w:t>
      </w:r>
      <w:r w:rsidR="00017235">
        <w:rPr>
          <w:b/>
          <w:sz w:val="20"/>
        </w:rPr>
        <w:t>2</w:t>
      </w:r>
      <w:r w:rsidR="00E0739C">
        <w:rPr>
          <w:b/>
          <w:sz w:val="20"/>
        </w:rPr>
        <w:t>1</w:t>
      </w:r>
      <w:r w:rsidRPr="00133702">
        <w:rPr>
          <w:b/>
          <w:sz w:val="20"/>
        </w:rPr>
        <w:noBreakHyphen/>
      </w:r>
      <w:r w:rsidR="00791FFE">
        <w:rPr>
          <w:b/>
          <w:sz w:val="20"/>
        </w:rPr>
        <w:t>2</w:t>
      </w:r>
      <w:r w:rsidR="00E0739C">
        <w:rPr>
          <w:b/>
          <w:sz w:val="20"/>
        </w:rPr>
        <w:t>2</w:t>
      </w:r>
    </w:p>
    <w:p w:rsidR="00DD4B54" w:rsidRPr="001E67A3" w:rsidRDefault="00DD4B54" w:rsidP="00DD4B54">
      <w:pPr>
        <w:keepNext/>
        <w:keepLines/>
        <w:spacing w:after="120"/>
        <w:jc w:val="center"/>
        <w:rPr>
          <w:sz w:val="20"/>
        </w:rPr>
      </w:pPr>
      <w:r w:rsidRPr="00133702">
        <w:rPr>
          <w:sz w:val="16"/>
          <w:szCs w:val="16"/>
        </w:rPr>
        <w:t>(Dollar amo</w:t>
      </w:r>
      <w:r w:rsidRPr="0000186C">
        <w:rPr>
          <w:sz w:val="16"/>
          <w:szCs w:val="16"/>
        </w:rPr>
        <w:t>unts expressed in millions; totals may not add due to rounding)</w:t>
      </w:r>
      <w:r w:rsidRPr="001E67A3">
        <w:rPr>
          <w:sz w:val="20"/>
        </w:rPr>
        <w:t xml:space="preserve"> </w:t>
      </w:r>
    </w:p>
    <w:tbl>
      <w:tblPr>
        <w:tblStyle w:val="TableGrid10"/>
        <w:tblW w:w="107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74"/>
        <w:gridCol w:w="990"/>
        <w:gridCol w:w="991"/>
        <w:gridCol w:w="990"/>
        <w:gridCol w:w="991"/>
        <w:gridCol w:w="992"/>
        <w:gridCol w:w="991"/>
        <w:gridCol w:w="991"/>
      </w:tblGrid>
      <w:tr w:rsidR="00C6439D" w:rsidRPr="00C003FA" w:rsidTr="00C6439D">
        <w:trPr>
          <w:jc w:val="center"/>
        </w:trPr>
        <w:tc>
          <w:tcPr>
            <w:tcW w:w="3776" w:type="dxa"/>
            <w:vAlign w:val="bottom"/>
          </w:tcPr>
          <w:p w:rsidR="00C6439D" w:rsidRPr="00C003FA" w:rsidRDefault="00C6439D" w:rsidP="006C0B9E">
            <w:pPr>
              <w:keepNext/>
              <w:spacing w:after="60"/>
              <w:jc w:val="left"/>
              <w:rPr>
                <w:sz w:val="15"/>
                <w:szCs w:val="15"/>
              </w:rPr>
            </w:pPr>
          </w:p>
        </w:tc>
        <w:tc>
          <w:tcPr>
            <w:tcW w:w="3960" w:type="dxa"/>
            <w:gridSpan w:val="4"/>
            <w:vAlign w:val="bottom"/>
          </w:tcPr>
          <w:p w:rsidR="00C6439D" w:rsidRPr="00C003FA" w:rsidRDefault="00C6439D" w:rsidP="006C0B9E">
            <w:pPr>
              <w:keepNext/>
              <w:pBdr>
                <w:bottom w:val="single" w:sz="4" w:space="1" w:color="auto"/>
              </w:pBdr>
              <w:spacing w:after="60"/>
              <w:jc w:val="center"/>
              <w:rPr>
                <w:sz w:val="15"/>
                <w:szCs w:val="15"/>
              </w:rPr>
            </w:pPr>
            <w:r>
              <w:rPr>
                <w:sz w:val="15"/>
                <w:szCs w:val="15"/>
              </w:rPr>
              <w:t>`</w:t>
            </w:r>
            <w:r w:rsidRPr="00C003FA">
              <w:rPr>
                <w:sz w:val="15"/>
                <w:szCs w:val="15"/>
              </w:rPr>
              <w:t>Actual (Unaudited)</w:t>
            </w:r>
            <w:r w:rsidRPr="00C003FA">
              <w:rPr>
                <w:sz w:val="15"/>
                <w:szCs w:val="15"/>
                <w:vertAlign w:val="superscript"/>
              </w:rPr>
              <w:t>1</w:t>
            </w:r>
          </w:p>
        </w:tc>
        <w:tc>
          <w:tcPr>
            <w:tcW w:w="992" w:type="dxa"/>
            <w:tcBorders>
              <w:right w:val="single" w:sz="4" w:space="0" w:color="auto"/>
            </w:tcBorders>
            <w:vAlign w:val="bottom"/>
          </w:tcPr>
          <w:p w:rsidR="00C6439D" w:rsidRPr="00C003FA" w:rsidRDefault="00C6439D" w:rsidP="00C6439D">
            <w:pPr>
              <w:keepNext/>
              <w:pBdr>
                <w:bottom w:val="single" w:sz="4" w:space="1" w:color="auto"/>
              </w:pBdr>
              <w:spacing w:after="60"/>
              <w:jc w:val="center"/>
              <w:rPr>
                <w:sz w:val="15"/>
                <w:szCs w:val="15"/>
              </w:rPr>
            </w:pPr>
            <w:r>
              <w:rPr>
                <w:sz w:val="15"/>
                <w:szCs w:val="15"/>
              </w:rPr>
              <w:t>Preliminary</w:t>
            </w:r>
          </w:p>
        </w:tc>
        <w:tc>
          <w:tcPr>
            <w:tcW w:w="1982" w:type="dxa"/>
            <w:gridSpan w:val="2"/>
            <w:tcBorders>
              <w:left w:val="single" w:sz="4" w:space="0" w:color="auto"/>
            </w:tcBorders>
            <w:vAlign w:val="bottom"/>
          </w:tcPr>
          <w:p w:rsidR="00C6439D" w:rsidRPr="00C003FA" w:rsidRDefault="00C6439D" w:rsidP="006C0B9E">
            <w:pPr>
              <w:keepNext/>
              <w:pBdr>
                <w:bottom w:val="single" w:sz="4" w:space="1" w:color="auto"/>
              </w:pBdr>
              <w:spacing w:after="60"/>
              <w:jc w:val="center"/>
              <w:rPr>
                <w:sz w:val="15"/>
                <w:szCs w:val="15"/>
              </w:rPr>
            </w:pPr>
            <w:r w:rsidRPr="00C003FA">
              <w:rPr>
                <w:sz w:val="15"/>
                <w:szCs w:val="15"/>
              </w:rPr>
              <w:t>OSPB September 2020</w:t>
            </w:r>
            <w:r w:rsidRPr="00C003FA">
              <w:rPr>
                <w:sz w:val="15"/>
                <w:szCs w:val="15"/>
              </w:rPr>
              <w:br/>
              <w:t>Revenue Forecast</w:t>
            </w:r>
          </w:p>
        </w:tc>
      </w:tr>
      <w:tr w:rsidR="00017235" w:rsidRPr="00C003FA" w:rsidTr="006C0B9E">
        <w:trPr>
          <w:jc w:val="center"/>
        </w:trPr>
        <w:tc>
          <w:tcPr>
            <w:tcW w:w="3776" w:type="dxa"/>
            <w:vAlign w:val="bottom"/>
          </w:tcPr>
          <w:p w:rsidR="00017235" w:rsidRPr="00C003FA" w:rsidRDefault="00017235" w:rsidP="006C0B9E">
            <w:pPr>
              <w:keepNext/>
              <w:spacing w:after="60"/>
              <w:jc w:val="left"/>
              <w:rPr>
                <w:sz w:val="15"/>
                <w:szCs w:val="15"/>
              </w:rPr>
            </w:pPr>
          </w:p>
        </w:tc>
        <w:tc>
          <w:tcPr>
            <w:tcW w:w="990" w:type="dxa"/>
            <w:vAlign w:val="bottom"/>
          </w:tcPr>
          <w:p w:rsidR="00017235" w:rsidRPr="00C003FA" w:rsidRDefault="00017235" w:rsidP="007466CE">
            <w:pPr>
              <w:keepNext/>
              <w:pBdr>
                <w:bottom w:val="single" w:sz="4" w:space="1" w:color="auto"/>
              </w:pBdr>
              <w:spacing w:after="60"/>
              <w:jc w:val="center"/>
              <w:rPr>
                <w:sz w:val="15"/>
                <w:szCs w:val="15"/>
              </w:rPr>
            </w:pPr>
            <w:r w:rsidRPr="00C003FA">
              <w:rPr>
                <w:sz w:val="15"/>
                <w:szCs w:val="15"/>
              </w:rPr>
              <w:t>Fiscal Year 201</w:t>
            </w:r>
            <w:r w:rsidR="007466CE">
              <w:rPr>
                <w:sz w:val="15"/>
                <w:szCs w:val="15"/>
              </w:rPr>
              <w:t>5</w:t>
            </w:r>
            <w:r w:rsidRPr="00C003FA">
              <w:rPr>
                <w:sz w:val="15"/>
                <w:szCs w:val="15"/>
              </w:rPr>
              <w:t>-1</w:t>
            </w:r>
            <w:r w:rsidR="007466CE">
              <w:rPr>
                <w:sz w:val="15"/>
                <w:szCs w:val="15"/>
              </w:rPr>
              <w:t>6</w:t>
            </w:r>
          </w:p>
        </w:tc>
        <w:tc>
          <w:tcPr>
            <w:tcW w:w="991" w:type="dxa"/>
            <w:vAlign w:val="bottom"/>
          </w:tcPr>
          <w:p w:rsidR="00017235" w:rsidRPr="00C003FA" w:rsidRDefault="00017235" w:rsidP="007466CE">
            <w:pPr>
              <w:keepNext/>
              <w:pBdr>
                <w:bottom w:val="single" w:sz="4" w:space="1" w:color="auto"/>
              </w:pBdr>
              <w:spacing w:after="60"/>
              <w:jc w:val="center"/>
              <w:rPr>
                <w:sz w:val="15"/>
                <w:szCs w:val="15"/>
              </w:rPr>
            </w:pPr>
            <w:r w:rsidRPr="00C003FA">
              <w:rPr>
                <w:sz w:val="15"/>
                <w:szCs w:val="15"/>
              </w:rPr>
              <w:t>F</w:t>
            </w:r>
            <w:r w:rsidR="007466CE">
              <w:rPr>
                <w:sz w:val="15"/>
                <w:szCs w:val="15"/>
              </w:rPr>
              <w:t>iscal Year 2016</w:t>
            </w:r>
            <w:r w:rsidRPr="00C003FA">
              <w:rPr>
                <w:sz w:val="15"/>
                <w:szCs w:val="15"/>
              </w:rPr>
              <w:t>-1</w:t>
            </w:r>
            <w:r w:rsidR="007466CE">
              <w:rPr>
                <w:sz w:val="15"/>
                <w:szCs w:val="15"/>
              </w:rPr>
              <w:t>7</w:t>
            </w:r>
          </w:p>
        </w:tc>
        <w:tc>
          <w:tcPr>
            <w:tcW w:w="990" w:type="dxa"/>
            <w:vAlign w:val="bottom"/>
          </w:tcPr>
          <w:p w:rsidR="00017235" w:rsidRPr="00C003FA" w:rsidRDefault="00017235" w:rsidP="007466CE">
            <w:pPr>
              <w:keepNext/>
              <w:pBdr>
                <w:bottom w:val="single" w:sz="4" w:space="1" w:color="auto"/>
              </w:pBdr>
              <w:spacing w:after="60"/>
              <w:jc w:val="center"/>
              <w:rPr>
                <w:sz w:val="15"/>
                <w:szCs w:val="15"/>
              </w:rPr>
            </w:pPr>
            <w:r w:rsidRPr="00C003FA">
              <w:rPr>
                <w:sz w:val="15"/>
                <w:szCs w:val="15"/>
              </w:rPr>
              <w:t>F</w:t>
            </w:r>
            <w:r w:rsidR="007466CE">
              <w:rPr>
                <w:sz w:val="15"/>
                <w:szCs w:val="15"/>
              </w:rPr>
              <w:t>iscal Year 2017</w:t>
            </w:r>
            <w:r w:rsidRPr="00C003FA">
              <w:rPr>
                <w:sz w:val="15"/>
                <w:szCs w:val="15"/>
              </w:rPr>
              <w:t>-1</w:t>
            </w:r>
            <w:r w:rsidR="007466CE">
              <w:rPr>
                <w:sz w:val="15"/>
                <w:szCs w:val="15"/>
              </w:rPr>
              <w:t>8</w:t>
            </w:r>
          </w:p>
        </w:tc>
        <w:tc>
          <w:tcPr>
            <w:tcW w:w="991" w:type="dxa"/>
            <w:vAlign w:val="bottom"/>
          </w:tcPr>
          <w:p w:rsidR="00017235" w:rsidRPr="00C003FA" w:rsidRDefault="00017235" w:rsidP="007466CE">
            <w:pPr>
              <w:keepNext/>
              <w:pBdr>
                <w:bottom w:val="single" w:sz="4" w:space="1" w:color="auto"/>
              </w:pBdr>
              <w:spacing w:after="60"/>
              <w:jc w:val="center"/>
              <w:rPr>
                <w:sz w:val="15"/>
                <w:szCs w:val="15"/>
              </w:rPr>
            </w:pPr>
            <w:r w:rsidRPr="00C003FA">
              <w:rPr>
                <w:sz w:val="15"/>
                <w:szCs w:val="15"/>
              </w:rPr>
              <w:t>F</w:t>
            </w:r>
            <w:r w:rsidR="007466CE">
              <w:rPr>
                <w:sz w:val="15"/>
                <w:szCs w:val="15"/>
              </w:rPr>
              <w:t>iscal Year 2018</w:t>
            </w:r>
            <w:r w:rsidRPr="00C003FA">
              <w:rPr>
                <w:sz w:val="15"/>
                <w:szCs w:val="15"/>
              </w:rPr>
              <w:t>-1</w:t>
            </w:r>
            <w:r w:rsidR="007466CE">
              <w:rPr>
                <w:sz w:val="15"/>
                <w:szCs w:val="15"/>
              </w:rPr>
              <w:t>9</w:t>
            </w:r>
          </w:p>
        </w:tc>
        <w:tc>
          <w:tcPr>
            <w:tcW w:w="990" w:type="dxa"/>
            <w:tcBorders>
              <w:right w:val="single" w:sz="4" w:space="0" w:color="auto"/>
            </w:tcBorders>
            <w:vAlign w:val="bottom"/>
          </w:tcPr>
          <w:p w:rsidR="00017235" w:rsidRPr="00C003FA" w:rsidRDefault="00017235" w:rsidP="007466CE">
            <w:pPr>
              <w:keepNext/>
              <w:pBdr>
                <w:bottom w:val="single" w:sz="4" w:space="1" w:color="auto"/>
              </w:pBdr>
              <w:spacing w:after="60"/>
              <w:jc w:val="center"/>
              <w:rPr>
                <w:sz w:val="15"/>
                <w:szCs w:val="15"/>
              </w:rPr>
            </w:pPr>
            <w:r w:rsidRPr="00C003FA">
              <w:rPr>
                <w:sz w:val="15"/>
                <w:szCs w:val="15"/>
              </w:rPr>
              <w:t>F</w:t>
            </w:r>
            <w:r w:rsidR="007466CE">
              <w:rPr>
                <w:sz w:val="15"/>
                <w:szCs w:val="15"/>
              </w:rPr>
              <w:t>iscal Year 2019</w:t>
            </w:r>
            <w:r w:rsidRPr="00C003FA">
              <w:rPr>
                <w:sz w:val="15"/>
                <w:szCs w:val="15"/>
              </w:rPr>
              <w:t>-</w:t>
            </w:r>
            <w:r w:rsidR="007466CE">
              <w:rPr>
                <w:sz w:val="15"/>
                <w:szCs w:val="15"/>
              </w:rPr>
              <w:t>20</w:t>
            </w:r>
          </w:p>
        </w:tc>
        <w:tc>
          <w:tcPr>
            <w:tcW w:w="991" w:type="dxa"/>
            <w:tcBorders>
              <w:left w:val="single" w:sz="4" w:space="0" w:color="auto"/>
            </w:tcBorders>
            <w:vAlign w:val="bottom"/>
          </w:tcPr>
          <w:p w:rsidR="00017235" w:rsidRPr="00C003FA" w:rsidRDefault="00017235" w:rsidP="007466CE">
            <w:pPr>
              <w:keepNext/>
              <w:pBdr>
                <w:bottom w:val="single" w:sz="4" w:space="1" w:color="auto"/>
              </w:pBdr>
              <w:spacing w:after="60"/>
              <w:jc w:val="center"/>
              <w:rPr>
                <w:sz w:val="15"/>
                <w:szCs w:val="15"/>
              </w:rPr>
            </w:pPr>
            <w:r w:rsidRPr="00C003FA">
              <w:rPr>
                <w:sz w:val="15"/>
                <w:szCs w:val="15"/>
              </w:rPr>
              <w:t xml:space="preserve">Fiscal Year </w:t>
            </w:r>
            <w:r w:rsidR="007466CE">
              <w:rPr>
                <w:sz w:val="15"/>
                <w:szCs w:val="15"/>
              </w:rPr>
              <w:t>2020</w:t>
            </w:r>
            <w:r w:rsidRPr="00C003FA">
              <w:rPr>
                <w:sz w:val="15"/>
                <w:szCs w:val="15"/>
              </w:rPr>
              <w:t>-2</w:t>
            </w:r>
            <w:r w:rsidR="007466CE">
              <w:rPr>
                <w:sz w:val="15"/>
                <w:szCs w:val="15"/>
              </w:rPr>
              <w:t>1</w:t>
            </w:r>
          </w:p>
        </w:tc>
        <w:tc>
          <w:tcPr>
            <w:tcW w:w="991" w:type="dxa"/>
          </w:tcPr>
          <w:p w:rsidR="00017235" w:rsidRPr="00C003FA" w:rsidRDefault="00017235" w:rsidP="007466CE">
            <w:pPr>
              <w:keepNext/>
              <w:pBdr>
                <w:bottom w:val="single" w:sz="4" w:space="1" w:color="auto"/>
              </w:pBdr>
              <w:spacing w:after="60"/>
              <w:jc w:val="center"/>
              <w:rPr>
                <w:sz w:val="15"/>
                <w:szCs w:val="15"/>
              </w:rPr>
            </w:pPr>
            <w:r w:rsidRPr="00C003FA">
              <w:rPr>
                <w:sz w:val="15"/>
                <w:szCs w:val="15"/>
              </w:rPr>
              <w:t>F</w:t>
            </w:r>
            <w:r w:rsidR="007466CE">
              <w:rPr>
                <w:sz w:val="15"/>
                <w:szCs w:val="15"/>
              </w:rPr>
              <w:t>iscal Year 2021</w:t>
            </w:r>
            <w:r w:rsidRPr="00C003FA">
              <w:rPr>
                <w:sz w:val="15"/>
                <w:szCs w:val="15"/>
              </w:rPr>
              <w:t>-2</w:t>
            </w:r>
            <w:r w:rsidR="007466CE">
              <w:rPr>
                <w:sz w:val="15"/>
                <w:szCs w:val="15"/>
              </w:rPr>
              <w:t>2</w:t>
            </w:r>
          </w:p>
        </w:tc>
      </w:tr>
      <w:tr w:rsidR="00017235" w:rsidRPr="00C003FA" w:rsidTr="006C0B9E">
        <w:trPr>
          <w:jc w:val="center"/>
        </w:trPr>
        <w:tc>
          <w:tcPr>
            <w:tcW w:w="3776" w:type="dxa"/>
            <w:vAlign w:val="bottom"/>
          </w:tcPr>
          <w:p w:rsidR="00017235" w:rsidRPr="00C003FA" w:rsidRDefault="00017235" w:rsidP="006C0B9E">
            <w:pPr>
              <w:keepNext/>
              <w:jc w:val="left"/>
              <w:rPr>
                <w:sz w:val="15"/>
                <w:szCs w:val="15"/>
              </w:rPr>
            </w:pPr>
            <w:r w:rsidRPr="00C003FA">
              <w:rPr>
                <w:sz w:val="15"/>
                <w:szCs w:val="15"/>
              </w:rPr>
              <w:t>Revenue:</w:t>
            </w:r>
          </w:p>
        </w:tc>
        <w:tc>
          <w:tcPr>
            <w:tcW w:w="990" w:type="dxa"/>
            <w:vAlign w:val="bottom"/>
          </w:tcPr>
          <w:p w:rsidR="00017235" w:rsidRPr="00C003FA" w:rsidRDefault="00017235" w:rsidP="006C0B9E">
            <w:pPr>
              <w:keepNext/>
              <w:jc w:val="center"/>
              <w:rPr>
                <w:sz w:val="15"/>
                <w:szCs w:val="15"/>
              </w:rPr>
            </w:pPr>
          </w:p>
        </w:tc>
        <w:tc>
          <w:tcPr>
            <w:tcW w:w="991" w:type="dxa"/>
            <w:vAlign w:val="bottom"/>
          </w:tcPr>
          <w:p w:rsidR="00017235" w:rsidRPr="00C003FA" w:rsidRDefault="00017235" w:rsidP="006C0B9E">
            <w:pPr>
              <w:keepNext/>
              <w:jc w:val="center"/>
              <w:rPr>
                <w:sz w:val="15"/>
                <w:szCs w:val="15"/>
              </w:rPr>
            </w:pPr>
          </w:p>
        </w:tc>
        <w:tc>
          <w:tcPr>
            <w:tcW w:w="990" w:type="dxa"/>
            <w:vAlign w:val="bottom"/>
          </w:tcPr>
          <w:p w:rsidR="00017235" w:rsidRPr="00C003FA" w:rsidRDefault="00017235" w:rsidP="006C0B9E">
            <w:pPr>
              <w:keepNext/>
              <w:tabs>
                <w:tab w:val="decimal" w:pos="485"/>
              </w:tabs>
              <w:jc w:val="left"/>
              <w:rPr>
                <w:sz w:val="15"/>
                <w:szCs w:val="15"/>
              </w:rPr>
            </w:pPr>
          </w:p>
        </w:tc>
        <w:tc>
          <w:tcPr>
            <w:tcW w:w="991" w:type="dxa"/>
            <w:vAlign w:val="bottom"/>
          </w:tcPr>
          <w:p w:rsidR="00017235" w:rsidRPr="00C003FA" w:rsidRDefault="00017235" w:rsidP="006C0B9E">
            <w:pPr>
              <w:keepNext/>
              <w:tabs>
                <w:tab w:val="decimal" w:pos="473"/>
              </w:tabs>
              <w:jc w:val="left"/>
              <w:rPr>
                <w:sz w:val="15"/>
                <w:szCs w:val="15"/>
              </w:rPr>
            </w:pPr>
          </w:p>
        </w:tc>
        <w:tc>
          <w:tcPr>
            <w:tcW w:w="990" w:type="dxa"/>
            <w:tcBorders>
              <w:right w:val="single" w:sz="4" w:space="0" w:color="auto"/>
            </w:tcBorders>
            <w:vAlign w:val="bottom"/>
          </w:tcPr>
          <w:p w:rsidR="00017235" w:rsidRPr="00C003FA" w:rsidRDefault="00017235" w:rsidP="006C0B9E">
            <w:pPr>
              <w:keepNext/>
              <w:tabs>
                <w:tab w:val="decimal" w:pos="459"/>
              </w:tabs>
              <w:jc w:val="left"/>
              <w:rPr>
                <w:sz w:val="15"/>
                <w:szCs w:val="15"/>
              </w:rPr>
            </w:pPr>
          </w:p>
        </w:tc>
        <w:tc>
          <w:tcPr>
            <w:tcW w:w="991" w:type="dxa"/>
            <w:tcBorders>
              <w:left w:val="single" w:sz="4" w:space="0" w:color="auto"/>
            </w:tcBorders>
            <w:vAlign w:val="bottom"/>
          </w:tcPr>
          <w:p w:rsidR="00017235" w:rsidRPr="00C003FA" w:rsidRDefault="00017235" w:rsidP="006C0B9E">
            <w:pPr>
              <w:keepNext/>
              <w:tabs>
                <w:tab w:val="decimal" w:pos="447"/>
              </w:tabs>
              <w:jc w:val="left"/>
              <w:rPr>
                <w:sz w:val="15"/>
                <w:szCs w:val="15"/>
              </w:rPr>
            </w:pPr>
          </w:p>
        </w:tc>
        <w:tc>
          <w:tcPr>
            <w:tcW w:w="991" w:type="dxa"/>
          </w:tcPr>
          <w:p w:rsidR="00017235" w:rsidRPr="00C003FA" w:rsidRDefault="00017235" w:rsidP="006C0B9E">
            <w:pPr>
              <w:keepNext/>
              <w:tabs>
                <w:tab w:val="decimal" w:pos="447"/>
              </w:tabs>
              <w:jc w:val="left"/>
              <w:rPr>
                <w:sz w:val="15"/>
                <w:szCs w:val="15"/>
              </w:rPr>
            </w:pPr>
          </w:p>
        </w:tc>
      </w:tr>
      <w:tr w:rsidR="007466CE" w:rsidRPr="00C003FA" w:rsidTr="006C0B9E">
        <w:trPr>
          <w:jc w:val="center"/>
        </w:trPr>
        <w:tc>
          <w:tcPr>
            <w:tcW w:w="3776" w:type="dxa"/>
            <w:vAlign w:val="bottom"/>
          </w:tcPr>
          <w:p w:rsidR="007466CE" w:rsidRPr="00C003FA" w:rsidRDefault="007466CE" w:rsidP="007466CE">
            <w:pPr>
              <w:keepNext/>
              <w:ind w:left="157"/>
              <w:jc w:val="left"/>
              <w:rPr>
                <w:sz w:val="15"/>
                <w:szCs w:val="15"/>
              </w:rPr>
            </w:pPr>
            <w:r w:rsidRPr="00C003FA">
              <w:rPr>
                <w:sz w:val="15"/>
                <w:szCs w:val="15"/>
              </w:rPr>
              <w:t>Beginning Reserve</w:t>
            </w:r>
          </w:p>
        </w:tc>
        <w:tc>
          <w:tcPr>
            <w:tcW w:w="990" w:type="dxa"/>
            <w:vAlign w:val="bottom"/>
          </w:tcPr>
          <w:p w:rsidR="007466CE" w:rsidRPr="00C003FA" w:rsidRDefault="007466CE" w:rsidP="007466CE">
            <w:pPr>
              <w:keepNext/>
              <w:tabs>
                <w:tab w:val="decimal" w:pos="473"/>
              </w:tabs>
              <w:rPr>
                <w:sz w:val="15"/>
                <w:szCs w:val="15"/>
              </w:rPr>
            </w:pPr>
            <w:r w:rsidRPr="00C003FA">
              <w:rPr>
                <w:sz w:val="15"/>
                <w:szCs w:val="15"/>
              </w:rPr>
              <w:t>$   689.6</w:t>
            </w:r>
          </w:p>
        </w:tc>
        <w:tc>
          <w:tcPr>
            <w:tcW w:w="991" w:type="dxa"/>
            <w:vAlign w:val="bottom"/>
          </w:tcPr>
          <w:p w:rsidR="007466CE" w:rsidRPr="00C003FA" w:rsidRDefault="007466CE" w:rsidP="007466CE">
            <w:pPr>
              <w:keepNext/>
              <w:tabs>
                <w:tab w:val="decimal" w:pos="485"/>
              </w:tabs>
              <w:jc w:val="left"/>
              <w:rPr>
                <w:sz w:val="15"/>
                <w:szCs w:val="15"/>
              </w:rPr>
            </w:pPr>
            <w:r w:rsidRPr="00C003FA">
              <w:rPr>
                <w:sz w:val="15"/>
                <w:szCs w:val="15"/>
              </w:rPr>
              <w:t>$     512.7</w:t>
            </w:r>
          </w:p>
        </w:tc>
        <w:tc>
          <w:tcPr>
            <w:tcW w:w="990" w:type="dxa"/>
            <w:vAlign w:val="bottom"/>
          </w:tcPr>
          <w:p w:rsidR="007466CE" w:rsidRPr="00C003FA" w:rsidRDefault="007466CE" w:rsidP="007466CE">
            <w:pPr>
              <w:keepNext/>
              <w:tabs>
                <w:tab w:val="decimal" w:pos="473"/>
              </w:tabs>
              <w:rPr>
                <w:sz w:val="15"/>
                <w:szCs w:val="15"/>
              </w:rPr>
            </w:pPr>
            <w:r w:rsidRPr="00C003FA">
              <w:rPr>
                <w:sz w:val="15"/>
                <w:szCs w:val="15"/>
              </w:rPr>
              <w:t>$     614.5</w:t>
            </w:r>
          </w:p>
        </w:tc>
        <w:tc>
          <w:tcPr>
            <w:tcW w:w="991" w:type="dxa"/>
            <w:vAlign w:val="bottom"/>
          </w:tcPr>
          <w:p w:rsidR="007466CE" w:rsidRPr="00C003FA" w:rsidRDefault="007466CE" w:rsidP="007466CE">
            <w:pPr>
              <w:keepNext/>
              <w:tabs>
                <w:tab w:val="decimal" w:pos="530"/>
              </w:tabs>
              <w:rPr>
                <w:sz w:val="15"/>
                <w:szCs w:val="15"/>
              </w:rPr>
            </w:pPr>
            <w:r w:rsidRPr="00C003FA">
              <w:rPr>
                <w:sz w:val="15"/>
                <w:szCs w:val="15"/>
              </w:rPr>
              <w:t>$  1,366.0</w:t>
            </w:r>
          </w:p>
        </w:tc>
        <w:tc>
          <w:tcPr>
            <w:tcW w:w="990" w:type="dxa"/>
            <w:tcBorders>
              <w:right w:val="single" w:sz="4" w:space="0" w:color="auto"/>
            </w:tcBorders>
            <w:vAlign w:val="bottom"/>
          </w:tcPr>
          <w:p w:rsidR="007466CE" w:rsidRPr="00C003FA" w:rsidRDefault="007466CE" w:rsidP="007466CE">
            <w:pPr>
              <w:keepNext/>
              <w:tabs>
                <w:tab w:val="decimal" w:pos="518"/>
              </w:tabs>
              <w:rPr>
                <w:sz w:val="15"/>
                <w:szCs w:val="15"/>
              </w:rPr>
            </w:pPr>
            <w:r w:rsidRPr="00C003FA">
              <w:rPr>
                <w:sz w:val="15"/>
                <w:szCs w:val="15"/>
              </w:rPr>
              <w:t>$  1,262.5</w:t>
            </w:r>
          </w:p>
        </w:tc>
        <w:tc>
          <w:tcPr>
            <w:tcW w:w="991" w:type="dxa"/>
            <w:tcBorders>
              <w:left w:val="single" w:sz="4" w:space="0" w:color="auto"/>
            </w:tcBorders>
            <w:vAlign w:val="bottom"/>
          </w:tcPr>
          <w:p w:rsidR="007466CE" w:rsidRPr="00C003FA" w:rsidRDefault="007466CE" w:rsidP="007466CE">
            <w:pPr>
              <w:tabs>
                <w:tab w:val="decimal" w:pos="461"/>
              </w:tabs>
              <w:rPr>
                <w:sz w:val="15"/>
                <w:szCs w:val="15"/>
              </w:rPr>
            </w:pPr>
            <w:r w:rsidRPr="00C003FA">
              <w:rPr>
                <w:sz w:val="15"/>
                <w:szCs w:val="15"/>
              </w:rPr>
              <w:t>$  1,664.1</w:t>
            </w:r>
          </w:p>
        </w:tc>
        <w:tc>
          <w:tcPr>
            <w:tcW w:w="991" w:type="dxa"/>
            <w:vAlign w:val="bottom"/>
          </w:tcPr>
          <w:p w:rsidR="007466CE" w:rsidRPr="00C003FA" w:rsidRDefault="00450641" w:rsidP="007466CE">
            <w:pPr>
              <w:tabs>
                <w:tab w:val="decimal" w:pos="461"/>
              </w:tabs>
              <w:rPr>
                <w:sz w:val="15"/>
                <w:szCs w:val="15"/>
              </w:rPr>
            </w:pPr>
            <w:r>
              <w:rPr>
                <w:sz w:val="15"/>
                <w:szCs w:val="15"/>
              </w:rPr>
              <w:t>$  2,933.9</w:t>
            </w:r>
          </w:p>
        </w:tc>
      </w:tr>
      <w:tr w:rsidR="007466CE" w:rsidRPr="00C003FA" w:rsidTr="006C0B9E">
        <w:trPr>
          <w:jc w:val="center"/>
        </w:trPr>
        <w:tc>
          <w:tcPr>
            <w:tcW w:w="3776" w:type="dxa"/>
            <w:vAlign w:val="bottom"/>
          </w:tcPr>
          <w:p w:rsidR="007466CE" w:rsidRPr="00C003FA" w:rsidRDefault="007466CE" w:rsidP="007466CE">
            <w:pPr>
              <w:keepNext/>
              <w:ind w:left="157"/>
              <w:jc w:val="left"/>
              <w:rPr>
                <w:sz w:val="15"/>
                <w:szCs w:val="15"/>
              </w:rPr>
            </w:pPr>
            <w:r w:rsidRPr="00C003FA">
              <w:rPr>
                <w:sz w:val="15"/>
                <w:szCs w:val="15"/>
              </w:rPr>
              <w:t>Gross General Fund Revenue</w:t>
            </w:r>
          </w:p>
        </w:tc>
        <w:tc>
          <w:tcPr>
            <w:tcW w:w="990" w:type="dxa"/>
            <w:vAlign w:val="bottom"/>
          </w:tcPr>
          <w:p w:rsidR="007466CE" w:rsidRPr="00C003FA" w:rsidRDefault="007466CE" w:rsidP="007466CE">
            <w:pPr>
              <w:keepNext/>
              <w:tabs>
                <w:tab w:val="decimal" w:pos="473"/>
              </w:tabs>
              <w:rPr>
                <w:sz w:val="15"/>
                <w:szCs w:val="15"/>
              </w:rPr>
            </w:pPr>
            <w:r w:rsidRPr="00C003FA">
              <w:rPr>
                <w:sz w:val="15"/>
                <w:szCs w:val="15"/>
              </w:rPr>
              <w:t>9,971.4</w:t>
            </w:r>
          </w:p>
        </w:tc>
        <w:tc>
          <w:tcPr>
            <w:tcW w:w="991" w:type="dxa"/>
            <w:vAlign w:val="bottom"/>
          </w:tcPr>
          <w:p w:rsidR="007466CE" w:rsidRPr="00C003FA" w:rsidRDefault="007466CE" w:rsidP="007466CE">
            <w:pPr>
              <w:keepNext/>
              <w:tabs>
                <w:tab w:val="decimal" w:pos="485"/>
              </w:tabs>
              <w:jc w:val="left"/>
              <w:rPr>
                <w:sz w:val="15"/>
                <w:szCs w:val="15"/>
              </w:rPr>
            </w:pPr>
            <w:r w:rsidRPr="00C003FA">
              <w:rPr>
                <w:sz w:val="15"/>
                <w:szCs w:val="15"/>
              </w:rPr>
              <w:t>10,275.8</w:t>
            </w:r>
          </w:p>
        </w:tc>
        <w:tc>
          <w:tcPr>
            <w:tcW w:w="990" w:type="dxa"/>
            <w:vAlign w:val="bottom"/>
          </w:tcPr>
          <w:p w:rsidR="007466CE" w:rsidRPr="00C003FA" w:rsidRDefault="007466CE" w:rsidP="007466CE">
            <w:pPr>
              <w:keepNext/>
              <w:tabs>
                <w:tab w:val="decimal" w:pos="473"/>
              </w:tabs>
              <w:rPr>
                <w:sz w:val="15"/>
                <w:szCs w:val="15"/>
              </w:rPr>
            </w:pPr>
            <w:r w:rsidRPr="00C003FA">
              <w:rPr>
                <w:sz w:val="15"/>
                <w:szCs w:val="15"/>
              </w:rPr>
              <w:t>11,723.9</w:t>
            </w:r>
          </w:p>
        </w:tc>
        <w:tc>
          <w:tcPr>
            <w:tcW w:w="991" w:type="dxa"/>
            <w:vAlign w:val="bottom"/>
          </w:tcPr>
          <w:p w:rsidR="007466CE" w:rsidRPr="00C003FA" w:rsidRDefault="007466CE" w:rsidP="007466CE">
            <w:pPr>
              <w:keepNext/>
              <w:tabs>
                <w:tab w:val="decimal" w:pos="530"/>
              </w:tabs>
              <w:rPr>
                <w:sz w:val="15"/>
                <w:szCs w:val="15"/>
              </w:rPr>
            </w:pPr>
            <w:r w:rsidRPr="00C003FA">
              <w:rPr>
                <w:sz w:val="15"/>
                <w:szCs w:val="15"/>
              </w:rPr>
              <w:t>12,564.0</w:t>
            </w:r>
          </w:p>
        </w:tc>
        <w:tc>
          <w:tcPr>
            <w:tcW w:w="990" w:type="dxa"/>
            <w:tcBorders>
              <w:right w:val="single" w:sz="4" w:space="0" w:color="auto"/>
            </w:tcBorders>
            <w:vAlign w:val="bottom"/>
          </w:tcPr>
          <w:p w:rsidR="007466CE" w:rsidRPr="00C003FA" w:rsidRDefault="007466CE" w:rsidP="007466CE">
            <w:pPr>
              <w:keepNext/>
              <w:tabs>
                <w:tab w:val="decimal" w:pos="518"/>
              </w:tabs>
              <w:rPr>
                <w:sz w:val="15"/>
                <w:szCs w:val="15"/>
              </w:rPr>
            </w:pPr>
            <w:r w:rsidRPr="00C003FA">
              <w:rPr>
                <w:sz w:val="15"/>
                <w:szCs w:val="15"/>
              </w:rPr>
              <w:t>12,868.5</w:t>
            </w:r>
          </w:p>
        </w:tc>
        <w:tc>
          <w:tcPr>
            <w:tcW w:w="991" w:type="dxa"/>
            <w:tcBorders>
              <w:left w:val="single" w:sz="4" w:space="0" w:color="auto"/>
            </w:tcBorders>
            <w:vAlign w:val="bottom"/>
          </w:tcPr>
          <w:p w:rsidR="007466CE" w:rsidRPr="00C003FA" w:rsidRDefault="007466CE" w:rsidP="007466CE">
            <w:pPr>
              <w:tabs>
                <w:tab w:val="decimal" w:pos="461"/>
              </w:tabs>
              <w:rPr>
                <w:sz w:val="15"/>
                <w:szCs w:val="15"/>
              </w:rPr>
            </w:pPr>
            <w:r w:rsidRPr="00C003FA">
              <w:rPr>
                <w:sz w:val="15"/>
                <w:szCs w:val="15"/>
              </w:rPr>
              <w:t>12,262.4</w:t>
            </w:r>
          </w:p>
        </w:tc>
        <w:tc>
          <w:tcPr>
            <w:tcW w:w="991" w:type="dxa"/>
            <w:vAlign w:val="bottom"/>
          </w:tcPr>
          <w:p w:rsidR="007466CE" w:rsidRPr="00C003FA" w:rsidRDefault="00450641" w:rsidP="007466CE">
            <w:pPr>
              <w:tabs>
                <w:tab w:val="decimal" w:pos="461"/>
              </w:tabs>
              <w:rPr>
                <w:sz w:val="15"/>
                <w:szCs w:val="15"/>
              </w:rPr>
            </w:pPr>
            <w:r>
              <w:rPr>
                <w:sz w:val="15"/>
                <w:szCs w:val="15"/>
              </w:rPr>
              <w:t>12,840.3</w:t>
            </w:r>
          </w:p>
        </w:tc>
      </w:tr>
      <w:tr w:rsidR="007466CE" w:rsidRPr="00C003FA" w:rsidTr="006C0B9E">
        <w:trPr>
          <w:jc w:val="center"/>
        </w:trPr>
        <w:tc>
          <w:tcPr>
            <w:tcW w:w="3776" w:type="dxa"/>
            <w:vAlign w:val="bottom"/>
          </w:tcPr>
          <w:p w:rsidR="007466CE" w:rsidRPr="00C003FA" w:rsidRDefault="007466CE" w:rsidP="007466CE">
            <w:pPr>
              <w:keepNext/>
              <w:ind w:left="337"/>
              <w:jc w:val="left"/>
              <w:rPr>
                <w:sz w:val="15"/>
                <w:szCs w:val="15"/>
              </w:rPr>
            </w:pPr>
            <w:r w:rsidRPr="00C003FA">
              <w:rPr>
                <w:sz w:val="15"/>
                <w:szCs w:val="15"/>
              </w:rPr>
              <w:t>Transfers to the General Fund</w:t>
            </w:r>
          </w:p>
        </w:tc>
        <w:tc>
          <w:tcPr>
            <w:tcW w:w="990" w:type="dxa"/>
            <w:vAlign w:val="bottom"/>
          </w:tcPr>
          <w:p w:rsidR="007466CE" w:rsidRPr="00C003FA" w:rsidRDefault="007466CE" w:rsidP="007466CE">
            <w:pPr>
              <w:keepNext/>
              <w:tabs>
                <w:tab w:val="decimal" w:pos="473"/>
              </w:tabs>
              <w:rPr>
                <w:sz w:val="15"/>
                <w:szCs w:val="15"/>
                <w:u w:val="single"/>
              </w:rPr>
            </w:pPr>
            <w:r w:rsidRPr="00C003FA">
              <w:rPr>
                <w:sz w:val="15"/>
                <w:szCs w:val="15"/>
                <w:u w:val="single"/>
              </w:rPr>
              <w:t xml:space="preserve">     24.1</w:t>
            </w:r>
          </w:p>
        </w:tc>
        <w:tc>
          <w:tcPr>
            <w:tcW w:w="991" w:type="dxa"/>
            <w:vAlign w:val="bottom"/>
          </w:tcPr>
          <w:p w:rsidR="007466CE" w:rsidRPr="00C003FA" w:rsidRDefault="007466CE" w:rsidP="007466CE">
            <w:pPr>
              <w:keepNext/>
              <w:tabs>
                <w:tab w:val="decimal" w:pos="485"/>
              </w:tabs>
              <w:jc w:val="left"/>
              <w:rPr>
                <w:sz w:val="15"/>
                <w:szCs w:val="15"/>
                <w:u w:val="single"/>
              </w:rPr>
            </w:pPr>
            <w:r w:rsidRPr="00C003FA">
              <w:rPr>
                <w:sz w:val="15"/>
                <w:szCs w:val="15"/>
                <w:u w:val="single"/>
              </w:rPr>
              <w:t xml:space="preserve">      44.8</w:t>
            </w:r>
          </w:p>
        </w:tc>
        <w:tc>
          <w:tcPr>
            <w:tcW w:w="990" w:type="dxa"/>
            <w:vAlign w:val="bottom"/>
          </w:tcPr>
          <w:p w:rsidR="007466CE" w:rsidRPr="00C003FA" w:rsidRDefault="007466CE" w:rsidP="007466CE">
            <w:pPr>
              <w:keepNext/>
              <w:tabs>
                <w:tab w:val="decimal" w:pos="473"/>
              </w:tabs>
              <w:rPr>
                <w:sz w:val="15"/>
                <w:szCs w:val="15"/>
                <w:u w:val="single"/>
              </w:rPr>
            </w:pPr>
            <w:r w:rsidRPr="00C003FA">
              <w:rPr>
                <w:sz w:val="15"/>
                <w:szCs w:val="15"/>
                <w:u w:val="single"/>
              </w:rPr>
              <w:t xml:space="preserve">       98.6</w:t>
            </w:r>
          </w:p>
        </w:tc>
        <w:tc>
          <w:tcPr>
            <w:tcW w:w="991" w:type="dxa"/>
            <w:vAlign w:val="bottom"/>
          </w:tcPr>
          <w:p w:rsidR="007466CE" w:rsidRPr="00C003FA" w:rsidRDefault="007466CE" w:rsidP="007466CE">
            <w:pPr>
              <w:keepNext/>
              <w:tabs>
                <w:tab w:val="decimal" w:pos="530"/>
              </w:tabs>
              <w:rPr>
                <w:sz w:val="15"/>
                <w:szCs w:val="15"/>
                <w:u w:val="single"/>
              </w:rPr>
            </w:pPr>
            <w:r w:rsidRPr="00C003FA">
              <w:rPr>
                <w:sz w:val="15"/>
                <w:szCs w:val="15"/>
                <w:u w:val="single"/>
              </w:rPr>
              <w:t xml:space="preserve">      17.2</w:t>
            </w:r>
          </w:p>
        </w:tc>
        <w:tc>
          <w:tcPr>
            <w:tcW w:w="990" w:type="dxa"/>
            <w:tcBorders>
              <w:right w:val="single" w:sz="4" w:space="0" w:color="auto"/>
            </w:tcBorders>
            <w:vAlign w:val="bottom"/>
          </w:tcPr>
          <w:p w:rsidR="007466CE" w:rsidRPr="00C003FA" w:rsidRDefault="007466CE" w:rsidP="007466CE">
            <w:pPr>
              <w:keepNext/>
              <w:tabs>
                <w:tab w:val="decimal" w:pos="518"/>
              </w:tabs>
              <w:rPr>
                <w:sz w:val="15"/>
                <w:szCs w:val="15"/>
                <w:u w:val="single"/>
              </w:rPr>
            </w:pPr>
            <w:r w:rsidRPr="00C003FA">
              <w:rPr>
                <w:sz w:val="15"/>
                <w:szCs w:val="15"/>
                <w:u w:val="single"/>
              </w:rPr>
              <w:t xml:space="preserve">     248.7</w:t>
            </w:r>
          </w:p>
        </w:tc>
        <w:tc>
          <w:tcPr>
            <w:tcW w:w="991" w:type="dxa"/>
            <w:tcBorders>
              <w:left w:val="single" w:sz="4" w:space="0" w:color="auto"/>
            </w:tcBorders>
            <w:vAlign w:val="bottom"/>
          </w:tcPr>
          <w:p w:rsidR="007466CE" w:rsidRPr="00C003FA" w:rsidRDefault="007466CE" w:rsidP="007466CE">
            <w:pPr>
              <w:tabs>
                <w:tab w:val="decimal" w:pos="461"/>
              </w:tabs>
              <w:rPr>
                <w:sz w:val="15"/>
                <w:szCs w:val="15"/>
                <w:u w:val="single"/>
              </w:rPr>
            </w:pPr>
            <w:r w:rsidRPr="00C003FA">
              <w:rPr>
                <w:sz w:val="15"/>
                <w:szCs w:val="15"/>
                <w:u w:val="single"/>
              </w:rPr>
              <w:t xml:space="preserve">    323.5</w:t>
            </w:r>
          </w:p>
        </w:tc>
        <w:tc>
          <w:tcPr>
            <w:tcW w:w="991" w:type="dxa"/>
            <w:vAlign w:val="bottom"/>
          </w:tcPr>
          <w:p w:rsidR="007466CE" w:rsidRPr="00C003FA" w:rsidRDefault="00450641" w:rsidP="007466CE">
            <w:pPr>
              <w:tabs>
                <w:tab w:val="decimal" w:pos="461"/>
              </w:tabs>
              <w:rPr>
                <w:sz w:val="15"/>
                <w:szCs w:val="15"/>
                <w:u w:val="single"/>
              </w:rPr>
            </w:pPr>
            <w:r>
              <w:rPr>
                <w:sz w:val="15"/>
                <w:szCs w:val="15"/>
                <w:u w:val="single"/>
              </w:rPr>
              <w:t>12.2</w:t>
            </w:r>
          </w:p>
        </w:tc>
      </w:tr>
      <w:tr w:rsidR="007466CE" w:rsidRPr="00C003FA" w:rsidTr="006C0B9E">
        <w:trPr>
          <w:jc w:val="center"/>
        </w:trPr>
        <w:tc>
          <w:tcPr>
            <w:tcW w:w="3776" w:type="dxa"/>
            <w:vAlign w:val="bottom"/>
          </w:tcPr>
          <w:p w:rsidR="007466CE" w:rsidRPr="00C003FA" w:rsidRDefault="007466CE" w:rsidP="007466CE">
            <w:pPr>
              <w:keepNext/>
              <w:ind w:left="607" w:hanging="90"/>
              <w:jc w:val="left"/>
              <w:rPr>
                <w:sz w:val="15"/>
                <w:szCs w:val="15"/>
              </w:rPr>
            </w:pPr>
            <w:r w:rsidRPr="00C003FA">
              <w:rPr>
                <w:sz w:val="15"/>
                <w:szCs w:val="15"/>
              </w:rPr>
              <w:t>Total General Fund Revenue Available for Expenditure</w:t>
            </w:r>
          </w:p>
        </w:tc>
        <w:tc>
          <w:tcPr>
            <w:tcW w:w="990" w:type="dxa"/>
            <w:vAlign w:val="bottom"/>
          </w:tcPr>
          <w:p w:rsidR="007466CE" w:rsidRPr="00C003FA" w:rsidRDefault="007466CE" w:rsidP="007466CE">
            <w:pPr>
              <w:keepNext/>
              <w:tabs>
                <w:tab w:val="decimal" w:pos="473"/>
              </w:tabs>
              <w:rPr>
                <w:sz w:val="15"/>
                <w:szCs w:val="15"/>
              </w:rPr>
            </w:pPr>
            <w:r w:rsidRPr="00C003FA">
              <w:rPr>
                <w:sz w:val="15"/>
                <w:szCs w:val="15"/>
              </w:rPr>
              <w:t>10,685.1</w:t>
            </w:r>
          </w:p>
        </w:tc>
        <w:tc>
          <w:tcPr>
            <w:tcW w:w="991" w:type="dxa"/>
            <w:vAlign w:val="bottom"/>
          </w:tcPr>
          <w:p w:rsidR="007466CE" w:rsidRPr="00C003FA" w:rsidRDefault="007466CE" w:rsidP="007466CE">
            <w:pPr>
              <w:keepNext/>
              <w:tabs>
                <w:tab w:val="decimal" w:pos="485"/>
              </w:tabs>
              <w:jc w:val="left"/>
              <w:rPr>
                <w:sz w:val="15"/>
                <w:szCs w:val="15"/>
              </w:rPr>
            </w:pPr>
            <w:r w:rsidRPr="00C003FA">
              <w:rPr>
                <w:sz w:val="15"/>
                <w:szCs w:val="15"/>
              </w:rPr>
              <w:t>10,833.4</w:t>
            </w:r>
          </w:p>
        </w:tc>
        <w:tc>
          <w:tcPr>
            <w:tcW w:w="990" w:type="dxa"/>
            <w:vAlign w:val="bottom"/>
          </w:tcPr>
          <w:p w:rsidR="007466CE" w:rsidRPr="00C003FA" w:rsidRDefault="007466CE" w:rsidP="007466CE">
            <w:pPr>
              <w:keepNext/>
              <w:tabs>
                <w:tab w:val="decimal" w:pos="473"/>
              </w:tabs>
              <w:rPr>
                <w:sz w:val="15"/>
                <w:szCs w:val="15"/>
              </w:rPr>
            </w:pPr>
            <w:r w:rsidRPr="00C003FA">
              <w:rPr>
                <w:sz w:val="15"/>
                <w:szCs w:val="15"/>
              </w:rPr>
              <w:t>12,436.9</w:t>
            </w:r>
          </w:p>
        </w:tc>
        <w:tc>
          <w:tcPr>
            <w:tcW w:w="991" w:type="dxa"/>
            <w:vAlign w:val="bottom"/>
          </w:tcPr>
          <w:p w:rsidR="007466CE" w:rsidRPr="00C003FA" w:rsidRDefault="007466CE" w:rsidP="007466CE">
            <w:pPr>
              <w:keepNext/>
              <w:tabs>
                <w:tab w:val="decimal" w:pos="530"/>
              </w:tabs>
              <w:rPr>
                <w:sz w:val="15"/>
                <w:szCs w:val="15"/>
              </w:rPr>
            </w:pPr>
            <w:r w:rsidRPr="00C003FA">
              <w:rPr>
                <w:sz w:val="15"/>
                <w:szCs w:val="15"/>
              </w:rPr>
              <w:t>13,947.2</w:t>
            </w:r>
          </w:p>
        </w:tc>
        <w:tc>
          <w:tcPr>
            <w:tcW w:w="990" w:type="dxa"/>
            <w:tcBorders>
              <w:right w:val="single" w:sz="4" w:space="0" w:color="auto"/>
            </w:tcBorders>
            <w:vAlign w:val="bottom"/>
          </w:tcPr>
          <w:p w:rsidR="007466CE" w:rsidRPr="00C003FA" w:rsidRDefault="007466CE" w:rsidP="007466CE">
            <w:pPr>
              <w:keepNext/>
              <w:tabs>
                <w:tab w:val="decimal" w:pos="518"/>
              </w:tabs>
              <w:rPr>
                <w:sz w:val="15"/>
                <w:szCs w:val="15"/>
              </w:rPr>
            </w:pPr>
            <w:r w:rsidRPr="00C003FA">
              <w:rPr>
                <w:sz w:val="15"/>
                <w:szCs w:val="15"/>
              </w:rPr>
              <w:t>14,379.8</w:t>
            </w:r>
          </w:p>
        </w:tc>
        <w:tc>
          <w:tcPr>
            <w:tcW w:w="991" w:type="dxa"/>
            <w:tcBorders>
              <w:left w:val="single" w:sz="4" w:space="0" w:color="auto"/>
            </w:tcBorders>
            <w:vAlign w:val="bottom"/>
          </w:tcPr>
          <w:p w:rsidR="007466CE" w:rsidRPr="00C003FA" w:rsidRDefault="007466CE" w:rsidP="007466CE">
            <w:pPr>
              <w:tabs>
                <w:tab w:val="decimal" w:pos="461"/>
              </w:tabs>
              <w:rPr>
                <w:sz w:val="15"/>
                <w:szCs w:val="15"/>
              </w:rPr>
            </w:pPr>
            <w:r w:rsidRPr="00C003FA">
              <w:rPr>
                <w:sz w:val="15"/>
                <w:szCs w:val="15"/>
              </w:rPr>
              <w:t>14,250.1</w:t>
            </w:r>
          </w:p>
        </w:tc>
        <w:tc>
          <w:tcPr>
            <w:tcW w:w="991" w:type="dxa"/>
            <w:vAlign w:val="bottom"/>
          </w:tcPr>
          <w:p w:rsidR="007466CE" w:rsidRPr="00C003FA" w:rsidRDefault="0093605E" w:rsidP="007466CE">
            <w:pPr>
              <w:tabs>
                <w:tab w:val="decimal" w:pos="461"/>
              </w:tabs>
              <w:rPr>
                <w:sz w:val="15"/>
                <w:szCs w:val="15"/>
              </w:rPr>
            </w:pPr>
            <w:r>
              <w:rPr>
                <w:sz w:val="15"/>
                <w:szCs w:val="15"/>
              </w:rPr>
              <w:t>15,786</w:t>
            </w:r>
            <w:r w:rsidR="00450641">
              <w:rPr>
                <w:sz w:val="15"/>
                <w:szCs w:val="15"/>
              </w:rPr>
              <w:t>.4</w:t>
            </w:r>
          </w:p>
        </w:tc>
      </w:tr>
      <w:tr w:rsidR="007466CE" w:rsidRPr="00C003FA" w:rsidTr="006C0B9E">
        <w:trPr>
          <w:jc w:val="center"/>
        </w:trPr>
        <w:tc>
          <w:tcPr>
            <w:tcW w:w="3776" w:type="dxa"/>
            <w:vAlign w:val="bottom"/>
          </w:tcPr>
          <w:p w:rsidR="007466CE" w:rsidRPr="00C003FA" w:rsidRDefault="007466CE" w:rsidP="007466CE">
            <w:pPr>
              <w:keepNext/>
              <w:jc w:val="left"/>
              <w:rPr>
                <w:sz w:val="15"/>
                <w:szCs w:val="15"/>
              </w:rPr>
            </w:pPr>
          </w:p>
        </w:tc>
        <w:tc>
          <w:tcPr>
            <w:tcW w:w="990" w:type="dxa"/>
            <w:vAlign w:val="bottom"/>
          </w:tcPr>
          <w:p w:rsidR="007466CE" w:rsidRPr="00C003FA" w:rsidRDefault="007466CE" w:rsidP="007466CE">
            <w:pPr>
              <w:keepNext/>
              <w:tabs>
                <w:tab w:val="decimal" w:pos="473"/>
              </w:tabs>
              <w:rPr>
                <w:sz w:val="15"/>
                <w:szCs w:val="15"/>
              </w:rPr>
            </w:pPr>
          </w:p>
        </w:tc>
        <w:tc>
          <w:tcPr>
            <w:tcW w:w="991" w:type="dxa"/>
            <w:vAlign w:val="bottom"/>
          </w:tcPr>
          <w:p w:rsidR="007466CE" w:rsidRPr="00C003FA" w:rsidRDefault="007466CE" w:rsidP="007466CE">
            <w:pPr>
              <w:keepNext/>
              <w:tabs>
                <w:tab w:val="decimal" w:pos="485"/>
              </w:tabs>
              <w:jc w:val="left"/>
              <w:rPr>
                <w:sz w:val="15"/>
                <w:szCs w:val="15"/>
              </w:rPr>
            </w:pPr>
          </w:p>
        </w:tc>
        <w:tc>
          <w:tcPr>
            <w:tcW w:w="990" w:type="dxa"/>
            <w:vAlign w:val="bottom"/>
          </w:tcPr>
          <w:p w:rsidR="007466CE" w:rsidRPr="00C003FA" w:rsidRDefault="007466CE" w:rsidP="007466CE">
            <w:pPr>
              <w:keepNext/>
              <w:tabs>
                <w:tab w:val="decimal" w:pos="473"/>
              </w:tabs>
              <w:rPr>
                <w:sz w:val="15"/>
                <w:szCs w:val="15"/>
              </w:rPr>
            </w:pPr>
          </w:p>
        </w:tc>
        <w:tc>
          <w:tcPr>
            <w:tcW w:w="991" w:type="dxa"/>
            <w:vAlign w:val="bottom"/>
          </w:tcPr>
          <w:p w:rsidR="007466CE" w:rsidRPr="00C003FA" w:rsidRDefault="007466CE" w:rsidP="007466CE">
            <w:pPr>
              <w:keepNext/>
              <w:tabs>
                <w:tab w:val="decimal" w:pos="530"/>
              </w:tabs>
              <w:rPr>
                <w:sz w:val="15"/>
                <w:szCs w:val="15"/>
              </w:rPr>
            </w:pPr>
          </w:p>
        </w:tc>
        <w:tc>
          <w:tcPr>
            <w:tcW w:w="990" w:type="dxa"/>
            <w:tcBorders>
              <w:right w:val="single" w:sz="4" w:space="0" w:color="auto"/>
            </w:tcBorders>
            <w:vAlign w:val="bottom"/>
          </w:tcPr>
          <w:p w:rsidR="007466CE" w:rsidRPr="00C003FA" w:rsidRDefault="007466CE" w:rsidP="007466CE">
            <w:pPr>
              <w:keepNext/>
              <w:tabs>
                <w:tab w:val="decimal" w:pos="518"/>
              </w:tabs>
              <w:rPr>
                <w:sz w:val="15"/>
                <w:szCs w:val="15"/>
              </w:rPr>
            </w:pPr>
          </w:p>
        </w:tc>
        <w:tc>
          <w:tcPr>
            <w:tcW w:w="991" w:type="dxa"/>
            <w:tcBorders>
              <w:left w:val="single" w:sz="4" w:space="0" w:color="auto"/>
            </w:tcBorders>
            <w:vAlign w:val="bottom"/>
          </w:tcPr>
          <w:p w:rsidR="007466CE" w:rsidRPr="00C003FA" w:rsidRDefault="007466CE" w:rsidP="007466CE">
            <w:pPr>
              <w:tabs>
                <w:tab w:val="decimal" w:pos="461"/>
              </w:tabs>
              <w:rPr>
                <w:sz w:val="15"/>
                <w:szCs w:val="15"/>
              </w:rPr>
            </w:pPr>
          </w:p>
        </w:tc>
        <w:tc>
          <w:tcPr>
            <w:tcW w:w="991" w:type="dxa"/>
            <w:vAlign w:val="bottom"/>
          </w:tcPr>
          <w:p w:rsidR="007466CE" w:rsidRPr="00C003FA" w:rsidRDefault="007466CE" w:rsidP="007466CE">
            <w:pPr>
              <w:tabs>
                <w:tab w:val="decimal" w:pos="461"/>
              </w:tabs>
              <w:rPr>
                <w:sz w:val="15"/>
                <w:szCs w:val="15"/>
              </w:rPr>
            </w:pPr>
          </w:p>
        </w:tc>
      </w:tr>
      <w:tr w:rsidR="007466CE" w:rsidRPr="00C003FA" w:rsidTr="006C0B9E">
        <w:trPr>
          <w:jc w:val="center"/>
        </w:trPr>
        <w:tc>
          <w:tcPr>
            <w:tcW w:w="3776" w:type="dxa"/>
            <w:vAlign w:val="bottom"/>
          </w:tcPr>
          <w:p w:rsidR="007466CE" w:rsidRPr="00C003FA" w:rsidRDefault="007466CE" w:rsidP="007466CE">
            <w:pPr>
              <w:keepNext/>
              <w:jc w:val="left"/>
              <w:rPr>
                <w:sz w:val="15"/>
                <w:szCs w:val="15"/>
              </w:rPr>
            </w:pPr>
            <w:r w:rsidRPr="00C003FA">
              <w:rPr>
                <w:sz w:val="15"/>
                <w:szCs w:val="15"/>
              </w:rPr>
              <w:t>Expenditures:</w:t>
            </w:r>
          </w:p>
        </w:tc>
        <w:tc>
          <w:tcPr>
            <w:tcW w:w="990" w:type="dxa"/>
            <w:vAlign w:val="bottom"/>
          </w:tcPr>
          <w:p w:rsidR="007466CE" w:rsidRPr="00C003FA" w:rsidRDefault="007466CE" w:rsidP="007466CE">
            <w:pPr>
              <w:keepNext/>
              <w:tabs>
                <w:tab w:val="decimal" w:pos="473"/>
              </w:tabs>
              <w:rPr>
                <w:sz w:val="15"/>
                <w:szCs w:val="15"/>
              </w:rPr>
            </w:pPr>
          </w:p>
        </w:tc>
        <w:tc>
          <w:tcPr>
            <w:tcW w:w="991" w:type="dxa"/>
            <w:vAlign w:val="bottom"/>
          </w:tcPr>
          <w:p w:rsidR="007466CE" w:rsidRPr="00C003FA" w:rsidRDefault="007466CE" w:rsidP="007466CE">
            <w:pPr>
              <w:keepNext/>
              <w:tabs>
                <w:tab w:val="decimal" w:pos="485"/>
              </w:tabs>
              <w:jc w:val="left"/>
              <w:rPr>
                <w:sz w:val="15"/>
                <w:szCs w:val="15"/>
              </w:rPr>
            </w:pPr>
          </w:p>
        </w:tc>
        <w:tc>
          <w:tcPr>
            <w:tcW w:w="990" w:type="dxa"/>
            <w:vAlign w:val="bottom"/>
          </w:tcPr>
          <w:p w:rsidR="007466CE" w:rsidRPr="00C003FA" w:rsidRDefault="007466CE" w:rsidP="007466CE">
            <w:pPr>
              <w:keepNext/>
              <w:tabs>
                <w:tab w:val="decimal" w:pos="473"/>
              </w:tabs>
              <w:rPr>
                <w:sz w:val="15"/>
                <w:szCs w:val="15"/>
              </w:rPr>
            </w:pPr>
          </w:p>
        </w:tc>
        <w:tc>
          <w:tcPr>
            <w:tcW w:w="991" w:type="dxa"/>
            <w:vAlign w:val="bottom"/>
          </w:tcPr>
          <w:p w:rsidR="007466CE" w:rsidRPr="00C003FA" w:rsidRDefault="007466CE" w:rsidP="007466CE">
            <w:pPr>
              <w:keepNext/>
              <w:tabs>
                <w:tab w:val="decimal" w:pos="530"/>
              </w:tabs>
              <w:rPr>
                <w:sz w:val="15"/>
                <w:szCs w:val="15"/>
              </w:rPr>
            </w:pPr>
          </w:p>
        </w:tc>
        <w:tc>
          <w:tcPr>
            <w:tcW w:w="990" w:type="dxa"/>
            <w:tcBorders>
              <w:right w:val="single" w:sz="4" w:space="0" w:color="auto"/>
            </w:tcBorders>
            <w:vAlign w:val="bottom"/>
          </w:tcPr>
          <w:p w:rsidR="007466CE" w:rsidRPr="00C003FA" w:rsidRDefault="007466CE" w:rsidP="007466CE">
            <w:pPr>
              <w:keepNext/>
              <w:tabs>
                <w:tab w:val="decimal" w:pos="518"/>
              </w:tabs>
              <w:rPr>
                <w:sz w:val="15"/>
                <w:szCs w:val="15"/>
              </w:rPr>
            </w:pPr>
          </w:p>
        </w:tc>
        <w:tc>
          <w:tcPr>
            <w:tcW w:w="991" w:type="dxa"/>
            <w:tcBorders>
              <w:left w:val="single" w:sz="4" w:space="0" w:color="auto"/>
            </w:tcBorders>
            <w:vAlign w:val="bottom"/>
          </w:tcPr>
          <w:p w:rsidR="007466CE" w:rsidRPr="00C003FA" w:rsidRDefault="007466CE" w:rsidP="007466CE">
            <w:pPr>
              <w:tabs>
                <w:tab w:val="decimal" w:pos="461"/>
              </w:tabs>
              <w:rPr>
                <w:sz w:val="15"/>
                <w:szCs w:val="15"/>
              </w:rPr>
            </w:pPr>
          </w:p>
        </w:tc>
        <w:tc>
          <w:tcPr>
            <w:tcW w:w="991" w:type="dxa"/>
            <w:vAlign w:val="bottom"/>
          </w:tcPr>
          <w:p w:rsidR="007466CE" w:rsidRPr="00C003FA" w:rsidRDefault="007466CE" w:rsidP="007466CE">
            <w:pPr>
              <w:tabs>
                <w:tab w:val="decimal" w:pos="461"/>
              </w:tabs>
              <w:rPr>
                <w:sz w:val="15"/>
                <w:szCs w:val="15"/>
              </w:rPr>
            </w:pPr>
          </w:p>
        </w:tc>
      </w:tr>
      <w:tr w:rsidR="007466CE" w:rsidRPr="00C003FA" w:rsidTr="006C0B9E">
        <w:trPr>
          <w:jc w:val="center"/>
        </w:trPr>
        <w:tc>
          <w:tcPr>
            <w:tcW w:w="3776" w:type="dxa"/>
            <w:vAlign w:val="bottom"/>
          </w:tcPr>
          <w:p w:rsidR="007466CE" w:rsidRPr="00C003FA" w:rsidRDefault="007466CE" w:rsidP="007466CE">
            <w:pPr>
              <w:keepNext/>
              <w:ind w:left="157"/>
              <w:jc w:val="left"/>
              <w:rPr>
                <w:sz w:val="15"/>
                <w:szCs w:val="15"/>
              </w:rPr>
            </w:pPr>
            <w:r w:rsidRPr="00C003FA">
              <w:rPr>
                <w:sz w:val="15"/>
                <w:szCs w:val="15"/>
              </w:rPr>
              <w:t>Appropriation Subject to Limit</w:t>
            </w:r>
            <w:r w:rsidRPr="00C003FA">
              <w:rPr>
                <w:sz w:val="15"/>
                <w:szCs w:val="15"/>
                <w:vertAlign w:val="superscript"/>
              </w:rPr>
              <w:t>2</w:t>
            </w:r>
          </w:p>
        </w:tc>
        <w:tc>
          <w:tcPr>
            <w:tcW w:w="990" w:type="dxa"/>
            <w:vAlign w:val="bottom"/>
          </w:tcPr>
          <w:p w:rsidR="007466CE" w:rsidRPr="00C003FA" w:rsidRDefault="007466CE" w:rsidP="007466CE">
            <w:pPr>
              <w:keepNext/>
              <w:tabs>
                <w:tab w:val="decimal" w:pos="473"/>
              </w:tabs>
              <w:rPr>
                <w:sz w:val="15"/>
                <w:szCs w:val="15"/>
              </w:rPr>
            </w:pPr>
            <w:r w:rsidRPr="00C003FA">
              <w:rPr>
                <w:sz w:val="15"/>
                <w:szCs w:val="15"/>
              </w:rPr>
              <w:t>9,335.6</w:t>
            </w:r>
          </w:p>
        </w:tc>
        <w:tc>
          <w:tcPr>
            <w:tcW w:w="991" w:type="dxa"/>
            <w:vAlign w:val="bottom"/>
          </w:tcPr>
          <w:p w:rsidR="007466CE" w:rsidRPr="00C003FA" w:rsidRDefault="007466CE" w:rsidP="007466CE">
            <w:pPr>
              <w:keepNext/>
              <w:tabs>
                <w:tab w:val="decimal" w:pos="485"/>
              </w:tabs>
              <w:jc w:val="left"/>
              <w:rPr>
                <w:sz w:val="15"/>
                <w:szCs w:val="15"/>
              </w:rPr>
            </w:pPr>
            <w:r w:rsidRPr="00C003FA">
              <w:rPr>
                <w:sz w:val="15"/>
                <w:szCs w:val="15"/>
              </w:rPr>
              <w:t>9,784.5</w:t>
            </w:r>
          </w:p>
        </w:tc>
        <w:tc>
          <w:tcPr>
            <w:tcW w:w="990" w:type="dxa"/>
            <w:vAlign w:val="bottom"/>
          </w:tcPr>
          <w:p w:rsidR="007466CE" w:rsidRPr="00C003FA" w:rsidRDefault="007466CE" w:rsidP="007466CE">
            <w:pPr>
              <w:keepNext/>
              <w:tabs>
                <w:tab w:val="decimal" w:pos="473"/>
              </w:tabs>
              <w:rPr>
                <w:sz w:val="15"/>
                <w:szCs w:val="15"/>
              </w:rPr>
            </w:pPr>
            <w:r w:rsidRPr="00C003FA">
              <w:rPr>
                <w:sz w:val="15"/>
                <w:szCs w:val="15"/>
              </w:rPr>
              <w:t>10,430.9</w:t>
            </w:r>
          </w:p>
        </w:tc>
        <w:tc>
          <w:tcPr>
            <w:tcW w:w="991" w:type="dxa"/>
            <w:vAlign w:val="bottom"/>
          </w:tcPr>
          <w:p w:rsidR="007466CE" w:rsidRPr="00C003FA" w:rsidRDefault="007466CE" w:rsidP="007466CE">
            <w:pPr>
              <w:keepNext/>
              <w:tabs>
                <w:tab w:val="decimal" w:pos="530"/>
              </w:tabs>
              <w:rPr>
                <w:sz w:val="15"/>
                <w:szCs w:val="15"/>
              </w:rPr>
            </w:pPr>
            <w:r w:rsidRPr="00C003FA">
              <w:rPr>
                <w:sz w:val="15"/>
                <w:szCs w:val="15"/>
              </w:rPr>
              <w:t>11,258.7</w:t>
            </w:r>
          </w:p>
        </w:tc>
        <w:tc>
          <w:tcPr>
            <w:tcW w:w="990" w:type="dxa"/>
            <w:tcBorders>
              <w:right w:val="single" w:sz="4" w:space="0" w:color="auto"/>
            </w:tcBorders>
            <w:vAlign w:val="bottom"/>
          </w:tcPr>
          <w:p w:rsidR="007466CE" w:rsidRPr="00C003FA" w:rsidRDefault="007466CE" w:rsidP="007466CE">
            <w:pPr>
              <w:keepNext/>
              <w:tabs>
                <w:tab w:val="decimal" w:pos="518"/>
              </w:tabs>
              <w:rPr>
                <w:sz w:val="15"/>
                <w:szCs w:val="15"/>
              </w:rPr>
            </w:pPr>
            <w:r w:rsidRPr="00C003FA">
              <w:rPr>
                <w:sz w:val="15"/>
                <w:szCs w:val="15"/>
              </w:rPr>
              <w:t>11,805.2</w:t>
            </w:r>
          </w:p>
        </w:tc>
        <w:tc>
          <w:tcPr>
            <w:tcW w:w="991" w:type="dxa"/>
            <w:tcBorders>
              <w:left w:val="single" w:sz="4" w:space="0" w:color="auto"/>
            </w:tcBorders>
            <w:vAlign w:val="bottom"/>
          </w:tcPr>
          <w:p w:rsidR="007466CE" w:rsidRPr="00C003FA" w:rsidRDefault="007466CE" w:rsidP="007466CE">
            <w:pPr>
              <w:tabs>
                <w:tab w:val="decimal" w:pos="461"/>
              </w:tabs>
              <w:rPr>
                <w:sz w:val="15"/>
                <w:szCs w:val="15"/>
              </w:rPr>
            </w:pPr>
            <w:r w:rsidRPr="00C003FA">
              <w:rPr>
                <w:sz w:val="15"/>
                <w:szCs w:val="15"/>
              </w:rPr>
              <w:t>10,658.5</w:t>
            </w:r>
          </w:p>
        </w:tc>
        <w:tc>
          <w:tcPr>
            <w:tcW w:w="991" w:type="dxa"/>
            <w:vAlign w:val="bottom"/>
          </w:tcPr>
          <w:p w:rsidR="007466CE" w:rsidRPr="00C003FA" w:rsidRDefault="00450641" w:rsidP="007466CE">
            <w:pPr>
              <w:tabs>
                <w:tab w:val="decimal" w:pos="461"/>
              </w:tabs>
              <w:rPr>
                <w:sz w:val="15"/>
                <w:szCs w:val="15"/>
              </w:rPr>
            </w:pPr>
            <w:r>
              <w:rPr>
                <w:sz w:val="15"/>
                <w:szCs w:val="15"/>
              </w:rPr>
              <w:t>14,743.4</w:t>
            </w:r>
          </w:p>
        </w:tc>
      </w:tr>
      <w:tr w:rsidR="007466CE" w:rsidRPr="00C003FA" w:rsidTr="006C0B9E">
        <w:trPr>
          <w:jc w:val="center"/>
        </w:trPr>
        <w:tc>
          <w:tcPr>
            <w:tcW w:w="3776" w:type="dxa"/>
            <w:vAlign w:val="bottom"/>
          </w:tcPr>
          <w:p w:rsidR="007466CE" w:rsidRPr="00C003FA" w:rsidRDefault="007466CE" w:rsidP="007466CE">
            <w:pPr>
              <w:keepNext/>
              <w:ind w:left="337"/>
              <w:jc w:val="left"/>
              <w:rPr>
                <w:sz w:val="15"/>
                <w:szCs w:val="15"/>
              </w:rPr>
            </w:pPr>
            <w:r w:rsidRPr="00C003FA">
              <w:rPr>
                <w:sz w:val="15"/>
                <w:szCs w:val="15"/>
              </w:rPr>
              <w:t>Dollar Change From Prior Year</w:t>
            </w:r>
          </w:p>
        </w:tc>
        <w:tc>
          <w:tcPr>
            <w:tcW w:w="990" w:type="dxa"/>
            <w:vAlign w:val="bottom"/>
          </w:tcPr>
          <w:p w:rsidR="007466CE" w:rsidRPr="00C003FA" w:rsidRDefault="007466CE" w:rsidP="007466CE">
            <w:pPr>
              <w:keepNext/>
              <w:tabs>
                <w:tab w:val="decimal" w:pos="473"/>
              </w:tabs>
              <w:rPr>
                <w:sz w:val="15"/>
                <w:szCs w:val="15"/>
              </w:rPr>
            </w:pPr>
            <w:r w:rsidRPr="00C003FA">
              <w:rPr>
                <w:sz w:val="15"/>
                <w:szCs w:val="15"/>
              </w:rPr>
              <w:t>466.6</w:t>
            </w:r>
          </w:p>
        </w:tc>
        <w:tc>
          <w:tcPr>
            <w:tcW w:w="991" w:type="dxa"/>
            <w:vAlign w:val="bottom"/>
          </w:tcPr>
          <w:p w:rsidR="007466CE" w:rsidRPr="00C003FA" w:rsidRDefault="007466CE" w:rsidP="007466CE">
            <w:pPr>
              <w:keepNext/>
              <w:tabs>
                <w:tab w:val="decimal" w:pos="485"/>
              </w:tabs>
              <w:jc w:val="left"/>
              <w:rPr>
                <w:sz w:val="15"/>
                <w:szCs w:val="15"/>
              </w:rPr>
            </w:pPr>
            <w:r w:rsidRPr="00C003FA">
              <w:rPr>
                <w:sz w:val="15"/>
                <w:szCs w:val="15"/>
              </w:rPr>
              <w:t>448.9</w:t>
            </w:r>
          </w:p>
        </w:tc>
        <w:tc>
          <w:tcPr>
            <w:tcW w:w="990" w:type="dxa"/>
            <w:vAlign w:val="bottom"/>
          </w:tcPr>
          <w:p w:rsidR="007466CE" w:rsidRPr="00C003FA" w:rsidRDefault="007466CE" w:rsidP="007466CE">
            <w:pPr>
              <w:keepNext/>
              <w:tabs>
                <w:tab w:val="decimal" w:pos="473"/>
              </w:tabs>
              <w:rPr>
                <w:sz w:val="15"/>
                <w:szCs w:val="15"/>
              </w:rPr>
            </w:pPr>
            <w:r w:rsidRPr="00C003FA">
              <w:rPr>
                <w:sz w:val="15"/>
                <w:szCs w:val="15"/>
              </w:rPr>
              <w:t>646.4</w:t>
            </w:r>
          </w:p>
        </w:tc>
        <w:tc>
          <w:tcPr>
            <w:tcW w:w="991" w:type="dxa"/>
            <w:vAlign w:val="bottom"/>
          </w:tcPr>
          <w:p w:rsidR="007466CE" w:rsidRPr="00C003FA" w:rsidRDefault="007466CE" w:rsidP="007466CE">
            <w:pPr>
              <w:keepNext/>
              <w:tabs>
                <w:tab w:val="decimal" w:pos="530"/>
              </w:tabs>
              <w:rPr>
                <w:sz w:val="15"/>
                <w:szCs w:val="15"/>
              </w:rPr>
            </w:pPr>
            <w:r w:rsidRPr="00C003FA">
              <w:rPr>
                <w:sz w:val="15"/>
                <w:szCs w:val="15"/>
              </w:rPr>
              <w:t>827.8</w:t>
            </w:r>
          </w:p>
        </w:tc>
        <w:tc>
          <w:tcPr>
            <w:tcW w:w="990" w:type="dxa"/>
            <w:tcBorders>
              <w:right w:val="single" w:sz="4" w:space="0" w:color="auto"/>
            </w:tcBorders>
            <w:vAlign w:val="bottom"/>
          </w:tcPr>
          <w:p w:rsidR="007466CE" w:rsidRPr="00C003FA" w:rsidRDefault="007466CE" w:rsidP="007466CE">
            <w:pPr>
              <w:keepNext/>
              <w:tabs>
                <w:tab w:val="decimal" w:pos="518"/>
              </w:tabs>
              <w:rPr>
                <w:sz w:val="15"/>
                <w:szCs w:val="15"/>
              </w:rPr>
            </w:pPr>
            <w:r w:rsidRPr="00C003FA">
              <w:rPr>
                <w:sz w:val="15"/>
                <w:szCs w:val="15"/>
              </w:rPr>
              <w:t>546.4</w:t>
            </w:r>
          </w:p>
        </w:tc>
        <w:tc>
          <w:tcPr>
            <w:tcW w:w="991" w:type="dxa"/>
            <w:tcBorders>
              <w:left w:val="single" w:sz="4" w:space="0" w:color="auto"/>
            </w:tcBorders>
            <w:vAlign w:val="bottom"/>
          </w:tcPr>
          <w:p w:rsidR="007466CE" w:rsidRPr="00C003FA" w:rsidRDefault="007466CE" w:rsidP="007466CE">
            <w:pPr>
              <w:tabs>
                <w:tab w:val="decimal" w:pos="461"/>
              </w:tabs>
              <w:rPr>
                <w:sz w:val="15"/>
                <w:szCs w:val="15"/>
              </w:rPr>
            </w:pPr>
            <w:r w:rsidRPr="00C003FA">
              <w:rPr>
                <w:sz w:val="15"/>
                <w:szCs w:val="15"/>
              </w:rPr>
              <w:t>(1,146.7)</w:t>
            </w:r>
          </w:p>
        </w:tc>
        <w:tc>
          <w:tcPr>
            <w:tcW w:w="991" w:type="dxa"/>
            <w:vAlign w:val="bottom"/>
          </w:tcPr>
          <w:p w:rsidR="007466CE" w:rsidRPr="00C003FA" w:rsidRDefault="00450641" w:rsidP="007466CE">
            <w:pPr>
              <w:tabs>
                <w:tab w:val="decimal" w:pos="461"/>
              </w:tabs>
              <w:rPr>
                <w:sz w:val="15"/>
                <w:szCs w:val="15"/>
              </w:rPr>
            </w:pPr>
            <w:r>
              <w:rPr>
                <w:sz w:val="15"/>
                <w:szCs w:val="15"/>
              </w:rPr>
              <w:t>4,085.0</w:t>
            </w:r>
          </w:p>
        </w:tc>
      </w:tr>
      <w:tr w:rsidR="007466CE" w:rsidRPr="00C003FA" w:rsidTr="006C0B9E">
        <w:trPr>
          <w:jc w:val="center"/>
        </w:trPr>
        <w:tc>
          <w:tcPr>
            <w:tcW w:w="3776" w:type="dxa"/>
            <w:vAlign w:val="bottom"/>
          </w:tcPr>
          <w:p w:rsidR="007466CE" w:rsidRPr="00C003FA" w:rsidRDefault="007466CE" w:rsidP="007466CE">
            <w:pPr>
              <w:keepNext/>
              <w:ind w:left="337"/>
              <w:jc w:val="left"/>
              <w:rPr>
                <w:sz w:val="15"/>
                <w:szCs w:val="15"/>
              </w:rPr>
            </w:pPr>
            <w:r w:rsidRPr="00C003FA">
              <w:rPr>
                <w:sz w:val="15"/>
                <w:szCs w:val="15"/>
              </w:rPr>
              <w:t>Percent Change From Prior Year</w:t>
            </w:r>
          </w:p>
        </w:tc>
        <w:tc>
          <w:tcPr>
            <w:tcW w:w="990" w:type="dxa"/>
            <w:vAlign w:val="bottom"/>
          </w:tcPr>
          <w:p w:rsidR="007466CE" w:rsidRPr="00C003FA" w:rsidRDefault="007466CE" w:rsidP="007466CE">
            <w:pPr>
              <w:keepNext/>
              <w:tabs>
                <w:tab w:val="decimal" w:pos="473"/>
              </w:tabs>
              <w:rPr>
                <w:sz w:val="15"/>
                <w:szCs w:val="15"/>
              </w:rPr>
            </w:pPr>
            <w:r w:rsidRPr="00C003FA">
              <w:rPr>
                <w:sz w:val="15"/>
                <w:szCs w:val="15"/>
              </w:rPr>
              <w:t>5.3%</w:t>
            </w:r>
          </w:p>
        </w:tc>
        <w:tc>
          <w:tcPr>
            <w:tcW w:w="991" w:type="dxa"/>
            <w:vAlign w:val="bottom"/>
          </w:tcPr>
          <w:p w:rsidR="007466CE" w:rsidRPr="00C003FA" w:rsidRDefault="007466CE" w:rsidP="007466CE">
            <w:pPr>
              <w:keepNext/>
              <w:tabs>
                <w:tab w:val="decimal" w:pos="485"/>
              </w:tabs>
              <w:jc w:val="left"/>
              <w:rPr>
                <w:sz w:val="15"/>
                <w:szCs w:val="15"/>
              </w:rPr>
            </w:pPr>
            <w:r w:rsidRPr="00C003FA">
              <w:rPr>
                <w:sz w:val="15"/>
                <w:szCs w:val="15"/>
              </w:rPr>
              <w:t>4.8%</w:t>
            </w:r>
          </w:p>
        </w:tc>
        <w:tc>
          <w:tcPr>
            <w:tcW w:w="990" w:type="dxa"/>
            <w:vAlign w:val="bottom"/>
          </w:tcPr>
          <w:p w:rsidR="007466CE" w:rsidRPr="00C003FA" w:rsidRDefault="007466CE" w:rsidP="007466CE">
            <w:pPr>
              <w:keepNext/>
              <w:tabs>
                <w:tab w:val="decimal" w:pos="473"/>
              </w:tabs>
              <w:rPr>
                <w:sz w:val="15"/>
                <w:szCs w:val="15"/>
              </w:rPr>
            </w:pPr>
            <w:r w:rsidRPr="00C003FA">
              <w:rPr>
                <w:sz w:val="15"/>
                <w:szCs w:val="15"/>
              </w:rPr>
              <w:t>6.6%</w:t>
            </w:r>
          </w:p>
        </w:tc>
        <w:tc>
          <w:tcPr>
            <w:tcW w:w="991" w:type="dxa"/>
            <w:vAlign w:val="bottom"/>
          </w:tcPr>
          <w:p w:rsidR="007466CE" w:rsidRPr="00C003FA" w:rsidRDefault="007466CE" w:rsidP="007466CE">
            <w:pPr>
              <w:keepNext/>
              <w:tabs>
                <w:tab w:val="decimal" w:pos="530"/>
              </w:tabs>
              <w:rPr>
                <w:sz w:val="15"/>
                <w:szCs w:val="15"/>
              </w:rPr>
            </w:pPr>
            <w:r w:rsidRPr="00C003FA">
              <w:rPr>
                <w:sz w:val="15"/>
                <w:szCs w:val="15"/>
              </w:rPr>
              <w:t>7.9%</w:t>
            </w:r>
          </w:p>
        </w:tc>
        <w:tc>
          <w:tcPr>
            <w:tcW w:w="990" w:type="dxa"/>
            <w:tcBorders>
              <w:right w:val="single" w:sz="4" w:space="0" w:color="auto"/>
            </w:tcBorders>
            <w:vAlign w:val="bottom"/>
          </w:tcPr>
          <w:p w:rsidR="007466CE" w:rsidRPr="00C003FA" w:rsidRDefault="007466CE" w:rsidP="007466CE">
            <w:pPr>
              <w:keepNext/>
              <w:tabs>
                <w:tab w:val="decimal" w:pos="518"/>
              </w:tabs>
              <w:rPr>
                <w:sz w:val="15"/>
                <w:szCs w:val="15"/>
              </w:rPr>
            </w:pPr>
            <w:r w:rsidRPr="00C003FA">
              <w:rPr>
                <w:sz w:val="15"/>
                <w:szCs w:val="15"/>
              </w:rPr>
              <w:t>4.9%</w:t>
            </w:r>
          </w:p>
        </w:tc>
        <w:tc>
          <w:tcPr>
            <w:tcW w:w="991" w:type="dxa"/>
            <w:tcBorders>
              <w:left w:val="single" w:sz="4" w:space="0" w:color="auto"/>
            </w:tcBorders>
            <w:vAlign w:val="bottom"/>
          </w:tcPr>
          <w:p w:rsidR="007466CE" w:rsidRPr="00C003FA" w:rsidRDefault="007466CE" w:rsidP="007466CE">
            <w:pPr>
              <w:tabs>
                <w:tab w:val="decimal" w:pos="461"/>
              </w:tabs>
              <w:rPr>
                <w:sz w:val="15"/>
                <w:szCs w:val="15"/>
              </w:rPr>
            </w:pPr>
            <w:r w:rsidRPr="00C003FA">
              <w:rPr>
                <w:sz w:val="15"/>
                <w:szCs w:val="15"/>
              </w:rPr>
              <w:t>(9.7)%</w:t>
            </w:r>
          </w:p>
        </w:tc>
        <w:tc>
          <w:tcPr>
            <w:tcW w:w="991" w:type="dxa"/>
            <w:vAlign w:val="bottom"/>
          </w:tcPr>
          <w:p w:rsidR="007466CE" w:rsidRPr="00C003FA" w:rsidRDefault="00450641" w:rsidP="00450641">
            <w:pPr>
              <w:tabs>
                <w:tab w:val="decimal" w:pos="461"/>
              </w:tabs>
              <w:rPr>
                <w:sz w:val="15"/>
                <w:szCs w:val="15"/>
              </w:rPr>
            </w:pPr>
            <w:r>
              <w:rPr>
                <w:sz w:val="15"/>
                <w:szCs w:val="15"/>
              </w:rPr>
              <w:t>38.3%</w:t>
            </w:r>
          </w:p>
        </w:tc>
      </w:tr>
      <w:tr w:rsidR="007466CE" w:rsidRPr="00C003FA" w:rsidTr="006C0B9E">
        <w:trPr>
          <w:jc w:val="center"/>
        </w:trPr>
        <w:tc>
          <w:tcPr>
            <w:tcW w:w="3776" w:type="dxa"/>
            <w:vAlign w:val="bottom"/>
          </w:tcPr>
          <w:p w:rsidR="007466CE" w:rsidRPr="00C003FA" w:rsidRDefault="007466CE" w:rsidP="007466CE">
            <w:pPr>
              <w:keepNext/>
              <w:ind w:left="157"/>
              <w:jc w:val="left"/>
              <w:rPr>
                <w:sz w:val="15"/>
                <w:szCs w:val="15"/>
              </w:rPr>
            </w:pPr>
            <w:r w:rsidRPr="00C003FA">
              <w:rPr>
                <w:sz w:val="15"/>
                <w:szCs w:val="15"/>
              </w:rPr>
              <w:t>Spending Outside Limit</w:t>
            </w:r>
          </w:p>
        </w:tc>
        <w:tc>
          <w:tcPr>
            <w:tcW w:w="990" w:type="dxa"/>
            <w:vAlign w:val="bottom"/>
          </w:tcPr>
          <w:p w:rsidR="007466CE" w:rsidRPr="00C003FA" w:rsidRDefault="007466CE" w:rsidP="007466CE">
            <w:pPr>
              <w:keepNext/>
              <w:tabs>
                <w:tab w:val="decimal" w:pos="473"/>
              </w:tabs>
              <w:rPr>
                <w:sz w:val="15"/>
                <w:szCs w:val="15"/>
              </w:rPr>
            </w:pPr>
            <w:r w:rsidRPr="00C003FA">
              <w:rPr>
                <w:sz w:val="15"/>
                <w:szCs w:val="15"/>
              </w:rPr>
              <w:t>895.1</w:t>
            </w:r>
          </w:p>
        </w:tc>
        <w:tc>
          <w:tcPr>
            <w:tcW w:w="991" w:type="dxa"/>
            <w:vAlign w:val="bottom"/>
          </w:tcPr>
          <w:p w:rsidR="007466CE" w:rsidRPr="00C003FA" w:rsidRDefault="007466CE" w:rsidP="007466CE">
            <w:pPr>
              <w:keepNext/>
              <w:tabs>
                <w:tab w:val="decimal" w:pos="485"/>
              </w:tabs>
              <w:jc w:val="left"/>
              <w:rPr>
                <w:sz w:val="15"/>
                <w:szCs w:val="15"/>
              </w:rPr>
            </w:pPr>
            <w:r w:rsidRPr="00C003FA">
              <w:rPr>
                <w:sz w:val="15"/>
                <w:szCs w:val="15"/>
              </w:rPr>
              <w:t>640.1</w:t>
            </w:r>
          </w:p>
        </w:tc>
        <w:tc>
          <w:tcPr>
            <w:tcW w:w="990" w:type="dxa"/>
            <w:vAlign w:val="bottom"/>
          </w:tcPr>
          <w:p w:rsidR="007466CE" w:rsidRPr="00C003FA" w:rsidRDefault="007466CE" w:rsidP="007466CE">
            <w:pPr>
              <w:keepNext/>
              <w:tabs>
                <w:tab w:val="decimal" w:pos="473"/>
              </w:tabs>
              <w:rPr>
                <w:sz w:val="15"/>
                <w:szCs w:val="15"/>
              </w:rPr>
            </w:pPr>
            <w:r w:rsidRPr="00C003FA">
              <w:rPr>
                <w:sz w:val="15"/>
                <w:szCs w:val="15"/>
              </w:rPr>
              <w:t>784.5</w:t>
            </w:r>
          </w:p>
        </w:tc>
        <w:tc>
          <w:tcPr>
            <w:tcW w:w="991" w:type="dxa"/>
            <w:vAlign w:val="bottom"/>
          </w:tcPr>
          <w:p w:rsidR="007466CE" w:rsidRPr="00C003FA" w:rsidRDefault="007466CE" w:rsidP="007466CE">
            <w:pPr>
              <w:keepNext/>
              <w:tabs>
                <w:tab w:val="decimal" w:pos="530"/>
              </w:tabs>
              <w:rPr>
                <w:sz w:val="15"/>
                <w:szCs w:val="15"/>
              </w:rPr>
            </w:pPr>
            <w:r w:rsidRPr="00C003FA">
              <w:rPr>
                <w:sz w:val="15"/>
                <w:szCs w:val="15"/>
              </w:rPr>
              <w:t>1,596.3</w:t>
            </w:r>
          </w:p>
        </w:tc>
        <w:tc>
          <w:tcPr>
            <w:tcW w:w="990" w:type="dxa"/>
            <w:tcBorders>
              <w:right w:val="single" w:sz="4" w:space="0" w:color="auto"/>
            </w:tcBorders>
            <w:vAlign w:val="bottom"/>
          </w:tcPr>
          <w:p w:rsidR="007466CE" w:rsidRPr="00C003FA" w:rsidRDefault="007466CE" w:rsidP="007466CE">
            <w:pPr>
              <w:keepNext/>
              <w:tabs>
                <w:tab w:val="decimal" w:pos="518"/>
              </w:tabs>
              <w:rPr>
                <w:sz w:val="15"/>
                <w:szCs w:val="15"/>
              </w:rPr>
            </w:pPr>
            <w:r w:rsidRPr="00C003FA">
              <w:rPr>
                <w:sz w:val="15"/>
                <w:szCs w:val="15"/>
              </w:rPr>
              <w:t>910.5</w:t>
            </w:r>
          </w:p>
        </w:tc>
        <w:tc>
          <w:tcPr>
            <w:tcW w:w="991" w:type="dxa"/>
            <w:tcBorders>
              <w:left w:val="single" w:sz="4" w:space="0" w:color="auto"/>
            </w:tcBorders>
            <w:vAlign w:val="bottom"/>
          </w:tcPr>
          <w:p w:rsidR="007466CE" w:rsidRPr="00C003FA" w:rsidRDefault="007466CE" w:rsidP="007466CE">
            <w:pPr>
              <w:tabs>
                <w:tab w:val="decimal" w:pos="461"/>
              </w:tabs>
              <w:rPr>
                <w:sz w:val="15"/>
                <w:szCs w:val="15"/>
              </w:rPr>
            </w:pPr>
            <w:r w:rsidRPr="00C003FA">
              <w:rPr>
                <w:sz w:val="15"/>
                <w:szCs w:val="15"/>
              </w:rPr>
              <w:t>657.7</w:t>
            </w:r>
          </w:p>
        </w:tc>
        <w:tc>
          <w:tcPr>
            <w:tcW w:w="991" w:type="dxa"/>
            <w:vAlign w:val="bottom"/>
          </w:tcPr>
          <w:p w:rsidR="007466CE" w:rsidRPr="00C003FA" w:rsidRDefault="00450641" w:rsidP="007466CE">
            <w:pPr>
              <w:tabs>
                <w:tab w:val="decimal" w:pos="461"/>
              </w:tabs>
              <w:rPr>
                <w:sz w:val="15"/>
                <w:szCs w:val="15"/>
              </w:rPr>
            </w:pPr>
            <w:r>
              <w:rPr>
                <w:sz w:val="15"/>
                <w:szCs w:val="15"/>
              </w:rPr>
              <w:t>621.3</w:t>
            </w:r>
          </w:p>
        </w:tc>
      </w:tr>
      <w:tr w:rsidR="007466CE" w:rsidRPr="00C003FA" w:rsidTr="006C0B9E">
        <w:trPr>
          <w:jc w:val="center"/>
        </w:trPr>
        <w:tc>
          <w:tcPr>
            <w:tcW w:w="3776" w:type="dxa"/>
            <w:vAlign w:val="bottom"/>
          </w:tcPr>
          <w:p w:rsidR="007466CE" w:rsidRPr="00C003FA" w:rsidRDefault="007466CE" w:rsidP="007466CE">
            <w:pPr>
              <w:keepNext/>
              <w:ind w:left="517" w:hanging="180"/>
              <w:jc w:val="left"/>
              <w:rPr>
                <w:sz w:val="15"/>
                <w:szCs w:val="15"/>
              </w:rPr>
            </w:pPr>
            <w:r w:rsidRPr="00C003FA">
              <w:rPr>
                <w:sz w:val="15"/>
                <w:szCs w:val="15"/>
              </w:rPr>
              <w:t>TABOR Refund under Subsection (7)(d)</w:t>
            </w:r>
            <w:r w:rsidRPr="00C003FA">
              <w:rPr>
                <w:sz w:val="15"/>
                <w:szCs w:val="15"/>
                <w:vertAlign w:val="superscript"/>
              </w:rPr>
              <w:t>3</w:t>
            </w:r>
          </w:p>
        </w:tc>
        <w:tc>
          <w:tcPr>
            <w:tcW w:w="990" w:type="dxa"/>
            <w:vAlign w:val="bottom"/>
          </w:tcPr>
          <w:p w:rsidR="007466CE" w:rsidRPr="00C003FA" w:rsidRDefault="007466CE" w:rsidP="007466CE">
            <w:pPr>
              <w:keepNext/>
              <w:tabs>
                <w:tab w:val="decimal" w:pos="580"/>
              </w:tabs>
              <w:rPr>
                <w:sz w:val="15"/>
                <w:szCs w:val="15"/>
              </w:rPr>
            </w:pPr>
            <w:r w:rsidRPr="00C003FA">
              <w:rPr>
                <w:sz w:val="15"/>
                <w:szCs w:val="15"/>
              </w:rPr>
              <w:t>–</w:t>
            </w:r>
          </w:p>
        </w:tc>
        <w:tc>
          <w:tcPr>
            <w:tcW w:w="991" w:type="dxa"/>
            <w:vAlign w:val="bottom"/>
          </w:tcPr>
          <w:p w:rsidR="007466CE" w:rsidRPr="00C003FA" w:rsidRDefault="007466CE" w:rsidP="007466CE">
            <w:pPr>
              <w:keepNext/>
              <w:tabs>
                <w:tab w:val="decimal" w:pos="580"/>
              </w:tabs>
              <w:jc w:val="left"/>
              <w:rPr>
                <w:sz w:val="15"/>
                <w:szCs w:val="15"/>
              </w:rPr>
            </w:pPr>
            <w:r w:rsidRPr="00C003FA">
              <w:rPr>
                <w:sz w:val="15"/>
                <w:szCs w:val="15"/>
              </w:rPr>
              <w:t>–</w:t>
            </w:r>
          </w:p>
        </w:tc>
        <w:tc>
          <w:tcPr>
            <w:tcW w:w="990" w:type="dxa"/>
            <w:vAlign w:val="bottom"/>
          </w:tcPr>
          <w:p w:rsidR="007466CE" w:rsidRPr="00C003FA" w:rsidRDefault="007466CE" w:rsidP="007466CE">
            <w:pPr>
              <w:keepNext/>
              <w:tabs>
                <w:tab w:val="decimal" w:pos="473"/>
              </w:tabs>
              <w:rPr>
                <w:sz w:val="15"/>
                <w:szCs w:val="15"/>
              </w:rPr>
            </w:pPr>
            <w:r w:rsidRPr="00C003FA">
              <w:rPr>
                <w:sz w:val="15"/>
                <w:szCs w:val="15"/>
              </w:rPr>
              <w:t>39.8</w:t>
            </w:r>
          </w:p>
        </w:tc>
        <w:tc>
          <w:tcPr>
            <w:tcW w:w="991" w:type="dxa"/>
            <w:vAlign w:val="bottom"/>
          </w:tcPr>
          <w:p w:rsidR="007466CE" w:rsidRPr="00C003FA" w:rsidRDefault="007466CE" w:rsidP="007466CE">
            <w:pPr>
              <w:keepNext/>
              <w:tabs>
                <w:tab w:val="decimal" w:pos="530"/>
              </w:tabs>
              <w:rPr>
                <w:sz w:val="15"/>
                <w:szCs w:val="15"/>
              </w:rPr>
            </w:pPr>
            <w:r w:rsidRPr="00C003FA">
              <w:rPr>
                <w:sz w:val="15"/>
                <w:szCs w:val="15"/>
              </w:rPr>
              <w:t>428.5</w:t>
            </w:r>
          </w:p>
        </w:tc>
        <w:tc>
          <w:tcPr>
            <w:tcW w:w="990" w:type="dxa"/>
            <w:tcBorders>
              <w:right w:val="single" w:sz="4" w:space="0" w:color="auto"/>
            </w:tcBorders>
            <w:vAlign w:val="bottom"/>
          </w:tcPr>
          <w:p w:rsidR="007466CE" w:rsidRPr="00C003FA" w:rsidRDefault="007466CE" w:rsidP="007466CE">
            <w:pPr>
              <w:keepNext/>
              <w:tabs>
                <w:tab w:val="decimal" w:pos="580"/>
              </w:tabs>
              <w:rPr>
                <w:sz w:val="15"/>
                <w:szCs w:val="15"/>
              </w:rPr>
            </w:pPr>
            <w:r w:rsidRPr="00C003FA">
              <w:rPr>
                <w:sz w:val="15"/>
                <w:szCs w:val="15"/>
              </w:rPr>
              <w:t>–</w:t>
            </w:r>
          </w:p>
        </w:tc>
        <w:tc>
          <w:tcPr>
            <w:tcW w:w="991" w:type="dxa"/>
            <w:tcBorders>
              <w:left w:val="single" w:sz="4" w:space="0" w:color="auto"/>
            </w:tcBorders>
            <w:vAlign w:val="bottom"/>
          </w:tcPr>
          <w:p w:rsidR="007466CE" w:rsidRPr="00C003FA" w:rsidRDefault="007466CE" w:rsidP="007466CE">
            <w:pPr>
              <w:tabs>
                <w:tab w:val="decimal" w:pos="550"/>
              </w:tabs>
              <w:rPr>
                <w:sz w:val="15"/>
                <w:szCs w:val="15"/>
              </w:rPr>
            </w:pPr>
            <w:r w:rsidRPr="00C003FA">
              <w:rPr>
                <w:sz w:val="15"/>
                <w:szCs w:val="15"/>
              </w:rPr>
              <w:t>–</w:t>
            </w:r>
          </w:p>
        </w:tc>
        <w:tc>
          <w:tcPr>
            <w:tcW w:w="991" w:type="dxa"/>
            <w:vAlign w:val="bottom"/>
          </w:tcPr>
          <w:p w:rsidR="007466CE" w:rsidRPr="00C003FA" w:rsidRDefault="00450641" w:rsidP="007466CE">
            <w:pPr>
              <w:tabs>
                <w:tab w:val="decimal" w:pos="550"/>
              </w:tabs>
              <w:rPr>
                <w:sz w:val="15"/>
                <w:szCs w:val="15"/>
              </w:rPr>
            </w:pPr>
            <w:r>
              <w:rPr>
                <w:sz w:val="15"/>
                <w:szCs w:val="15"/>
              </w:rPr>
              <w:t>--</w:t>
            </w:r>
          </w:p>
        </w:tc>
      </w:tr>
      <w:tr w:rsidR="007466CE" w:rsidRPr="00C003FA" w:rsidTr="006C0B9E">
        <w:trPr>
          <w:jc w:val="center"/>
        </w:trPr>
        <w:tc>
          <w:tcPr>
            <w:tcW w:w="3776" w:type="dxa"/>
            <w:vAlign w:val="bottom"/>
          </w:tcPr>
          <w:p w:rsidR="007466CE" w:rsidRPr="00C003FA" w:rsidRDefault="007466CE" w:rsidP="007466CE">
            <w:pPr>
              <w:keepNext/>
              <w:ind w:left="517" w:hanging="180"/>
              <w:jc w:val="left"/>
              <w:rPr>
                <w:sz w:val="15"/>
                <w:szCs w:val="15"/>
              </w:rPr>
            </w:pPr>
            <w:r w:rsidRPr="00C003FA">
              <w:rPr>
                <w:sz w:val="15"/>
                <w:szCs w:val="15"/>
              </w:rPr>
              <w:t>TABOR Refund under Subsection (3)(c)</w:t>
            </w:r>
            <w:r w:rsidRPr="00C003FA">
              <w:rPr>
                <w:sz w:val="15"/>
                <w:szCs w:val="15"/>
                <w:vertAlign w:val="superscript"/>
              </w:rPr>
              <w:t>4</w:t>
            </w:r>
          </w:p>
        </w:tc>
        <w:tc>
          <w:tcPr>
            <w:tcW w:w="990" w:type="dxa"/>
            <w:vAlign w:val="bottom"/>
          </w:tcPr>
          <w:p w:rsidR="007466CE" w:rsidRPr="00C003FA" w:rsidRDefault="007466CE" w:rsidP="007466CE">
            <w:pPr>
              <w:keepNext/>
              <w:tabs>
                <w:tab w:val="decimal" w:pos="473"/>
              </w:tabs>
              <w:rPr>
                <w:sz w:val="15"/>
                <w:szCs w:val="15"/>
              </w:rPr>
            </w:pPr>
            <w:r w:rsidRPr="00C003FA">
              <w:rPr>
                <w:sz w:val="15"/>
                <w:szCs w:val="15"/>
              </w:rPr>
              <w:t>(58.0)</w:t>
            </w:r>
          </w:p>
        </w:tc>
        <w:tc>
          <w:tcPr>
            <w:tcW w:w="991" w:type="dxa"/>
            <w:vAlign w:val="bottom"/>
          </w:tcPr>
          <w:p w:rsidR="007466CE" w:rsidRPr="00C003FA" w:rsidRDefault="007466CE" w:rsidP="007466CE">
            <w:pPr>
              <w:keepNext/>
              <w:tabs>
                <w:tab w:val="decimal" w:pos="580"/>
              </w:tabs>
              <w:jc w:val="left"/>
              <w:rPr>
                <w:sz w:val="15"/>
                <w:szCs w:val="15"/>
              </w:rPr>
            </w:pPr>
            <w:r w:rsidRPr="00C003FA">
              <w:rPr>
                <w:sz w:val="15"/>
                <w:szCs w:val="15"/>
              </w:rPr>
              <w:t>–</w:t>
            </w:r>
          </w:p>
        </w:tc>
        <w:tc>
          <w:tcPr>
            <w:tcW w:w="990" w:type="dxa"/>
            <w:vAlign w:val="bottom"/>
          </w:tcPr>
          <w:p w:rsidR="007466CE" w:rsidRPr="00C003FA" w:rsidRDefault="007466CE" w:rsidP="007466CE">
            <w:pPr>
              <w:keepNext/>
              <w:tabs>
                <w:tab w:val="decimal" w:pos="550"/>
              </w:tabs>
              <w:rPr>
                <w:sz w:val="15"/>
                <w:szCs w:val="15"/>
              </w:rPr>
            </w:pPr>
            <w:r w:rsidRPr="00C003FA">
              <w:rPr>
                <w:sz w:val="15"/>
                <w:szCs w:val="15"/>
              </w:rPr>
              <w:t>–</w:t>
            </w:r>
          </w:p>
        </w:tc>
        <w:tc>
          <w:tcPr>
            <w:tcW w:w="991" w:type="dxa"/>
            <w:vAlign w:val="bottom"/>
          </w:tcPr>
          <w:p w:rsidR="007466CE" w:rsidRPr="00C003FA" w:rsidRDefault="007466CE" w:rsidP="007466CE">
            <w:pPr>
              <w:keepNext/>
              <w:tabs>
                <w:tab w:val="decimal" w:pos="530"/>
              </w:tabs>
              <w:rPr>
                <w:sz w:val="15"/>
                <w:szCs w:val="15"/>
              </w:rPr>
            </w:pPr>
            <w:r w:rsidRPr="00C003FA">
              <w:rPr>
                <w:sz w:val="15"/>
                <w:szCs w:val="15"/>
              </w:rPr>
              <w:t>–</w:t>
            </w:r>
          </w:p>
        </w:tc>
        <w:tc>
          <w:tcPr>
            <w:tcW w:w="990" w:type="dxa"/>
            <w:tcBorders>
              <w:right w:val="single" w:sz="4" w:space="0" w:color="auto"/>
            </w:tcBorders>
            <w:vAlign w:val="bottom"/>
          </w:tcPr>
          <w:p w:rsidR="007466CE" w:rsidRPr="00C003FA" w:rsidRDefault="007466CE" w:rsidP="007466CE">
            <w:pPr>
              <w:keepNext/>
              <w:tabs>
                <w:tab w:val="decimal" w:pos="580"/>
              </w:tabs>
              <w:rPr>
                <w:sz w:val="15"/>
                <w:szCs w:val="15"/>
              </w:rPr>
            </w:pPr>
            <w:r w:rsidRPr="00C003FA">
              <w:rPr>
                <w:sz w:val="15"/>
                <w:szCs w:val="15"/>
              </w:rPr>
              <w:t>–</w:t>
            </w:r>
          </w:p>
        </w:tc>
        <w:tc>
          <w:tcPr>
            <w:tcW w:w="991" w:type="dxa"/>
            <w:tcBorders>
              <w:left w:val="single" w:sz="4" w:space="0" w:color="auto"/>
            </w:tcBorders>
            <w:vAlign w:val="bottom"/>
          </w:tcPr>
          <w:p w:rsidR="007466CE" w:rsidRPr="00C003FA" w:rsidRDefault="007466CE" w:rsidP="007466CE">
            <w:pPr>
              <w:tabs>
                <w:tab w:val="decimal" w:pos="550"/>
              </w:tabs>
              <w:rPr>
                <w:sz w:val="15"/>
                <w:szCs w:val="15"/>
              </w:rPr>
            </w:pPr>
            <w:r w:rsidRPr="00C003FA">
              <w:rPr>
                <w:sz w:val="15"/>
                <w:szCs w:val="15"/>
              </w:rPr>
              <w:t>–</w:t>
            </w:r>
          </w:p>
        </w:tc>
        <w:tc>
          <w:tcPr>
            <w:tcW w:w="991" w:type="dxa"/>
            <w:vAlign w:val="bottom"/>
          </w:tcPr>
          <w:p w:rsidR="007466CE" w:rsidRPr="00C003FA" w:rsidRDefault="00450641" w:rsidP="007466CE">
            <w:pPr>
              <w:tabs>
                <w:tab w:val="decimal" w:pos="550"/>
              </w:tabs>
              <w:rPr>
                <w:sz w:val="15"/>
                <w:szCs w:val="15"/>
              </w:rPr>
            </w:pPr>
            <w:r>
              <w:rPr>
                <w:sz w:val="15"/>
                <w:szCs w:val="15"/>
              </w:rPr>
              <w:t>--</w:t>
            </w:r>
          </w:p>
        </w:tc>
      </w:tr>
      <w:tr w:rsidR="007466CE" w:rsidRPr="00C003FA" w:rsidTr="006C0B9E">
        <w:trPr>
          <w:jc w:val="center"/>
        </w:trPr>
        <w:tc>
          <w:tcPr>
            <w:tcW w:w="3776" w:type="dxa"/>
            <w:vAlign w:val="bottom"/>
          </w:tcPr>
          <w:p w:rsidR="007466CE" w:rsidRPr="00C003FA" w:rsidRDefault="007466CE" w:rsidP="007466CE">
            <w:pPr>
              <w:keepNext/>
              <w:ind w:left="517" w:hanging="180"/>
              <w:jc w:val="left"/>
              <w:rPr>
                <w:sz w:val="15"/>
                <w:szCs w:val="15"/>
              </w:rPr>
            </w:pPr>
            <w:r w:rsidRPr="00C003FA">
              <w:rPr>
                <w:sz w:val="15"/>
                <w:szCs w:val="15"/>
              </w:rPr>
              <w:t>Homestead Exemption (Net of TABOR Refund)</w:t>
            </w:r>
            <w:r w:rsidRPr="00C003FA">
              <w:rPr>
                <w:sz w:val="15"/>
                <w:szCs w:val="15"/>
                <w:vertAlign w:val="superscript"/>
              </w:rPr>
              <w:t>5</w:t>
            </w:r>
          </w:p>
        </w:tc>
        <w:tc>
          <w:tcPr>
            <w:tcW w:w="990" w:type="dxa"/>
            <w:vAlign w:val="bottom"/>
          </w:tcPr>
          <w:p w:rsidR="007466CE" w:rsidRPr="00C003FA" w:rsidRDefault="007466CE" w:rsidP="007466CE">
            <w:pPr>
              <w:keepNext/>
              <w:tabs>
                <w:tab w:val="decimal" w:pos="550"/>
              </w:tabs>
              <w:rPr>
                <w:sz w:val="15"/>
                <w:szCs w:val="15"/>
              </w:rPr>
            </w:pPr>
            <w:r w:rsidRPr="00C003FA">
              <w:rPr>
                <w:sz w:val="15"/>
                <w:szCs w:val="15"/>
              </w:rPr>
              <w:t>–</w:t>
            </w:r>
          </w:p>
        </w:tc>
        <w:tc>
          <w:tcPr>
            <w:tcW w:w="991" w:type="dxa"/>
            <w:vAlign w:val="bottom"/>
          </w:tcPr>
          <w:p w:rsidR="007466CE" w:rsidRPr="00C003FA" w:rsidRDefault="007466CE" w:rsidP="007466CE">
            <w:pPr>
              <w:keepNext/>
              <w:tabs>
                <w:tab w:val="decimal" w:pos="580"/>
              </w:tabs>
              <w:jc w:val="left"/>
              <w:rPr>
                <w:sz w:val="15"/>
                <w:szCs w:val="15"/>
              </w:rPr>
            </w:pPr>
            <w:r w:rsidRPr="00C003FA">
              <w:rPr>
                <w:sz w:val="15"/>
                <w:szCs w:val="15"/>
              </w:rPr>
              <w:t>–</w:t>
            </w:r>
          </w:p>
        </w:tc>
        <w:tc>
          <w:tcPr>
            <w:tcW w:w="990" w:type="dxa"/>
            <w:vAlign w:val="bottom"/>
          </w:tcPr>
          <w:p w:rsidR="007466CE" w:rsidRPr="00C003FA" w:rsidRDefault="007466CE" w:rsidP="007466CE">
            <w:pPr>
              <w:keepNext/>
              <w:tabs>
                <w:tab w:val="decimal" w:pos="473"/>
              </w:tabs>
              <w:rPr>
                <w:sz w:val="15"/>
                <w:szCs w:val="15"/>
              </w:rPr>
            </w:pPr>
            <w:r w:rsidRPr="00C003FA">
              <w:rPr>
                <w:sz w:val="15"/>
                <w:szCs w:val="15"/>
              </w:rPr>
              <w:t>132.3</w:t>
            </w:r>
          </w:p>
        </w:tc>
        <w:tc>
          <w:tcPr>
            <w:tcW w:w="991" w:type="dxa"/>
            <w:vAlign w:val="bottom"/>
          </w:tcPr>
          <w:p w:rsidR="007466CE" w:rsidRPr="00C003FA" w:rsidRDefault="007466CE" w:rsidP="007466CE">
            <w:pPr>
              <w:keepNext/>
              <w:tabs>
                <w:tab w:val="decimal" w:pos="530"/>
              </w:tabs>
              <w:rPr>
                <w:sz w:val="15"/>
                <w:szCs w:val="15"/>
              </w:rPr>
            </w:pPr>
            <w:r w:rsidRPr="00C003FA">
              <w:rPr>
                <w:sz w:val="15"/>
                <w:szCs w:val="15"/>
              </w:rPr>
              <w:t>106.4</w:t>
            </w:r>
          </w:p>
        </w:tc>
        <w:tc>
          <w:tcPr>
            <w:tcW w:w="990" w:type="dxa"/>
            <w:tcBorders>
              <w:right w:val="single" w:sz="4" w:space="0" w:color="auto"/>
            </w:tcBorders>
            <w:vAlign w:val="bottom"/>
          </w:tcPr>
          <w:p w:rsidR="007466CE" w:rsidRPr="00C003FA" w:rsidRDefault="007466CE" w:rsidP="007466CE">
            <w:pPr>
              <w:keepNext/>
              <w:tabs>
                <w:tab w:val="decimal" w:pos="580"/>
              </w:tabs>
              <w:rPr>
                <w:sz w:val="15"/>
                <w:szCs w:val="15"/>
              </w:rPr>
            </w:pPr>
            <w:r w:rsidRPr="00C003FA">
              <w:rPr>
                <w:sz w:val="15"/>
                <w:szCs w:val="15"/>
              </w:rPr>
              <w:t>–</w:t>
            </w:r>
          </w:p>
        </w:tc>
        <w:tc>
          <w:tcPr>
            <w:tcW w:w="991" w:type="dxa"/>
            <w:tcBorders>
              <w:left w:val="single" w:sz="4" w:space="0" w:color="auto"/>
            </w:tcBorders>
            <w:vAlign w:val="bottom"/>
          </w:tcPr>
          <w:p w:rsidR="007466CE" w:rsidRPr="00C003FA" w:rsidRDefault="007466CE" w:rsidP="007466CE">
            <w:pPr>
              <w:tabs>
                <w:tab w:val="decimal" w:pos="461"/>
              </w:tabs>
              <w:rPr>
                <w:sz w:val="15"/>
                <w:szCs w:val="15"/>
              </w:rPr>
            </w:pPr>
            <w:r w:rsidRPr="00C003FA">
              <w:rPr>
                <w:sz w:val="15"/>
                <w:szCs w:val="15"/>
              </w:rPr>
              <w:t>164.2</w:t>
            </w:r>
          </w:p>
        </w:tc>
        <w:tc>
          <w:tcPr>
            <w:tcW w:w="991" w:type="dxa"/>
            <w:vAlign w:val="bottom"/>
          </w:tcPr>
          <w:p w:rsidR="007466CE" w:rsidRPr="00C003FA" w:rsidRDefault="00450641" w:rsidP="007466CE">
            <w:pPr>
              <w:tabs>
                <w:tab w:val="decimal" w:pos="461"/>
              </w:tabs>
              <w:rPr>
                <w:sz w:val="15"/>
                <w:szCs w:val="15"/>
              </w:rPr>
            </w:pPr>
            <w:r>
              <w:rPr>
                <w:sz w:val="15"/>
                <w:szCs w:val="15"/>
              </w:rPr>
              <w:t>174.9</w:t>
            </w:r>
          </w:p>
        </w:tc>
      </w:tr>
      <w:tr w:rsidR="007466CE" w:rsidRPr="00C003FA" w:rsidTr="006C0B9E">
        <w:trPr>
          <w:jc w:val="center"/>
        </w:trPr>
        <w:tc>
          <w:tcPr>
            <w:tcW w:w="3776" w:type="dxa"/>
            <w:vAlign w:val="bottom"/>
          </w:tcPr>
          <w:p w:rsidR="007466CE" w:rsidRPr="00C003FA" w:rsidRDefault="007466CE" w:rsidP="007466CE">
            <w:pPr>
              <w:keepNext/>
              <w:ind w:left="517" w:hanging="180"/>
              <w:jc w:val="left"/>
              <w:rPr>
                <w:sz w:val="15"/>
                <w:szCs w:val="15"/>
              </w:rPr>
            </w:pPr>
            <w:r w:rsidRPr="00C003FA">
              <w:rPr>
                <w:sz w:val="15"/>
                <w:szCs w:val="15"/>
              </w:rPr>
              <w:t>Other Rebates and Expenditures</w:t>
            </w:r>
            <w:r w:rsidRPr="00C003FA">
              <w:rPr>
                <w:sz w:val="15"/>
                <w:szCs w:val="15"/>
                <w:vertAlign w:val="superscript"/>
              </w:rPr>
              <w:t>5</w:t>
            </w:r>
          </w:p>
        </w:tc>
        <w:tc>
          <w:tcPr>
            <w:tcW w:w="990" w:type="dxa"/>
            <w:vAlign w:val="bottom"/>
          </w:tcPr>
          <w:p w:rsidR="007466CE" w:rsidRPr="00C003FA" w:rsidRDefault="007466CE" w:rsidP="007466CE">
            <w:pPr>
              <w:keepNext/>
              <w:tabs>
                <w:tab w:val="decimal" w:pos="473"/>
              </w:tabs>
              <w:rPr>
                <w:sz w:val="15"/>
                <w:szCs w:val="15"/>
              </w:rPr>
            </w:pPr>
            <w:r w:rsidRPr="00C003FA">
              <w:rPr>
                <w:sz w:val="15"/>
                <w:szCs w:val="15"/>
              </w:rPr>
              <w:t>281.3</w:t>
            </w:r>
          </w:p>
        </w:tc>
        <w:tc>
          <w:tcPr>
            <w:tcW w:w="991" w:type="dxa"/>
            <w:vAlign w:val="bottom"/>
          </w:tcPr>
          <w:p w:rsidR="007466CE" w:rsidRPr="00C003FA" w:rsidRDefault="007466CE" w:rsidP="007466CE">
            <w:pPr>
              <w:keepNext/>
              <w:tabs>
                <w:tab w:val="decimal" w:pos="485"/>
              </w:tabs>
              <w:jc w:val="left"/>
              <w:rPr>
                <w:sz w:val="15"/>
                <w:szCs w:val="15"/>
              </w:rPr>
            </w:pPr>
            <w:r w:rsidRPr="00C003FA">
              <w:rPr>
                <w:sz w:val="15"/>
                <w:szCs w:val="15"/>
              </w:rPr>
              <w:t>285.0</w:t>
            </w:r>
          </w:p>
        </w:tc>
        <w:tc>
          <w:tcPr>
            <w:tcW w:w="990" w:type="dxa"/>
            <w:vAlign w:val="bottom"/>
          </w:tcPr>
          <w:p w:rsidR="007466CE" w:rsidRPr="00C003FA" w:rsidRDefault="007466CE" w:rsidP="007466CE">
            <w:pPr>
              <w:keepNext/>
              <w:tabs>
                <w:tab w:val="decimal" w:pos="473"/>
              </w:tabs>
              <w:rPr>
                <w:sz w:val="15"/>
                <w:szCs w:val="15"/>
              </w:rPr>
            </w:pPr>
            <w:r w:rsidRPr="00C003FA">
              <w:rPr>
                <w:sz w:val="15"/>
                <w:szCs w:val="15"/>
              </w:rPr>
              <w:t>158.5</w:t>
            </w:r>
          </w:p>
        </w:tc>
        <w:tc>
          <w:tcPr>
            <w:tcW w:w="991" w:type="dxa"/>
            <w:vAlign w:val="bottom"/>
          </w:tcPr>
          <w:p w:rsidR="007466CE" w:rsidRPr="00C003FA" w:rsidRDefault="007466CE" w:rsidP="007466CE">
            <w:pPr>
              <w:keepNext/>
              <w:tabs>
                <w:tab w:val="decimal" w:pos="530"/>
              </w:tabs>
              <w:rPr>
                <w:sz w:val="15"/>
                <w:szCs w:val="15"/>
              </w:rPr>
            </w:pPr>
            <w:r w:rsidRPr="00C003FA">
              <w:rPr>
                <w:sz w:val="15"/>
                <w:szCs w:val="15"/>
              </w:rPr>
              <w:t>159.7</w:t>
            </w:r>
          </w:p>
        </w:tc>
        <w:tc>
          <w:tcPr>
            <w:tcW w:w="990" w:type="dxa"/>
            <w:tcBorders>
              <w:right w:val="single" w:sz="4" w:space="0" w:color="auto"/>
            </w:tcBorders>
            <w:vAlign w:val="bottom"/>
          </w:tcPr>
          <w:p w:rsidR="007466CE" w:rsidRPr="00C003FA" w:rsidRDefault="007466CE" w:rsidP="007466CE">
            <w:pPr>
              <w:keepNext/>
              <w:tabs>
                <w:tab w:val="decimal" w:pos="518"/>
              </w:tabs>
              <w:rPr>
                <w:sz w:val="15"/>
                <w:szCs w:val="15"/>
              </w:rPr>
            </w:pPr>
            <w:r w:rsidRPr="00C003FA">
              <w:rPr>
                <w:sz w:val="15"/>
                <w:szCs w:val="15"/>
              </w:rPr>
              <w:t>145.7</w:t>
            </w:r>
          </w:p>
        </w:tc>
        <w:tc>
          <w:tcPr>
            <w:tcW w:w="991" w:type="dxa"/>
            <w:tcBorders>
              <w:left w:val="single" w:sz="4" w:space="0" w:color="auto"/>
            </w:tcBorders>
            <w:vAlign w:val="bottom"/>
          </w:tcPr>
          <w:p w:rsidR="007466CE" w:rsidRPr="00C003FA" w:rsidRDefault="007466CE" w:rsidP="007466CE">
            <w:pPr>
              <w:tabs>
                <w:tab w:val="decimal" w:pos="461"/>
              </w:tabs>
              <w:rPr>
                <w:sz w:val="15"/>
                <w:szCs w:val="15"/>
              </w:rPr>
            </w:pPr>
            <w:r w:rsidRPr="00C003FA">
              <w:rPr>
                <w:sz w:val="15"/>
                <w:szCs w:val="15"/>
              </w:rPr>
              <w:t>142.5</w:t>
            </w:r>
          </w:p>
        </w:tc>
        <w:tc>
          <w:tcPr>
            <w:tcW w:w="991" w:type="dxa"/>
            <w:vAlign w:val="bottom"/>
          </w:tcPr>
          <w:p w:rsidR="007466CE" w:rsidRPr="00C003FA" w:rsidRDefault="00450641" w:rsidP="007466CE">
            <w:pPr>
              <w:tabs>
                <w:tab w:val="decimal" w:pos="461"/>
              </w:tabs>
              <w:rPr>
                <w:sz w:val="15"/>
                <w:szCs w:val="15"/>
              </w:rPr>
            </w:pPr>
            <w:r>
              <w:rPr>
                <w:sz w:val="15"/>
                <w:szCs w:val="15"/>
              </w:rPr>
              <w:t>149.7</w:t>
            </w:r>
          </w:p>
        </w:tc>
      </w:tr>
      <w:tr w:rsidR="007466CE" w:rsidRPr="00C003FA" w:rsidTr="006C0B9E">
        <w:trPr>
          <w:jc w:val="center"/>
        </w:trPr>
        <w:tc>
          <w:tcPr>
            <w:tcW w:w="3776" w:type="dxa"/>
            <w:vAlign w:val="bottom"/>
          </w:tcPr>
          <w:p w:rsidR="007466CE" w:rsidRPr="00C003FA" w:rsidRDefault="007466CE" w:rsidP="007466CE">
            <w:pPr>
              <w:keepNext/>
              <w:ind w:left="517" w:hanging="180"/>
              <w:jc w:val="left"/>
              <w:rPr>
                <w:sz w:val="15"/>
                <w:szCs w:val="15"/>
              </w:rPr>
            </w:pPr>
            <w:r w:rsidRPr="00C003FA">
              <w:rPr>
                <w:sz w:val="15"/>
                <w:szCs w:val="15"/>
              </w:rPr>
              <w:t>Transfer for Capital Construction</w:t>
            </w:r>
            <w:r w:rsidRPr="00C003FA">
              <w:rPr>
                <w:sz w:val="15"/>
                <w:szCs w:val="15"/>
                <w:vertAlign w:val="superscript"/>
              </w:rPr>
              <w:t>6</w:t>
            </w:r>
          </w:p>
        </w:tc>
        <w:tc>
          <w:tcPr>
            <w:tcW w:w="990" w:type="dxa"/>
            <w:vAlign w:val="bottom"/>
          </w:tcPr>
          <w:p w:rsidR="007466CE" w:rsidRPr="00C003FA" w:rsidRDefault="007466CE" w:rsidP="007466CE">
            <w:pPr>
              <w:keepNext/>
              <w:tabs>
                <w:tab w:val="decimal" w:pos="473"/>
              </w:tabs>
              <w:rPr>
                <w:sz w:val="15"/>
                <w:szCs w:val="15"/>
              </w:rPr>
            </w:pPr>
            <w:r w:rsidRPr="00C003FA">
              <w:rPr>
                <w:sz w:val="15"/>
                <w:szCs w:val="15"/>
              </w:rPr>
              <w:t>271.1</w:t>
            </w:r>
          </w:p>
        </w:tc>
        <w:tc>
          <w:tcPr>
            <w:tcW w:w="991" w:type="dxa"/>
            <w:vAlign w:val="bottom"/>
          </w:tcPr>
          <w:p w:rsidR="007466CE" w:rsidRPr="00C003FA" w:rsidRDefault="007466CE" w:rsidP="007466CE">
            <w:pPr>
              <w:keepNext/>
              <w:tabs>
                <w:tab w:val="decimal" w:pos="485"/>
              </w:tabs>
              <w:jc w:val="left"/>
              <w:rPr>
                <w:sz w:val="15"/>
                <w:szCs w:val="15"/>
              </w:rPr>
            </w:pPr>
            <w:r w:rsidRPr="00C003FA">
              <w:rPr>
                <w:sz w:val="15"/>
                <w:szCs w:val="15"/>
              </w:rPr>
              <w:t>84.5</w:t>
            </w:r>
          </w:p>
        </w:tc>
        <w:tc>
          <w:tcPr>
            <w:tcW w:w="990" w:type="dxa"/>
            <w:vAlign w:val="bottom"/>
          </w:tcPr>
          <w:p w:rsidR="007466CE" w:rsidRPr="00C003FA" w:rsidRDefault="007466CE" w:rsidP="007466CE">
            <w:pPr>
              <w:keepNext/>
              <w:tabs>
                <w:tab w:val="decimal" w:pos="473"/>
              </w:tabs>
              <w:rPr>
                <w:sz w:val="15"/>
                <w:szCs w:val="15"/>
              </w:rPr>
            </w:pPr>
            <w:r w:rsidRPr="00C003FA">
              <w:rPr>
                <w:sz w:val="15"/>
                <w:szCs w:val="15"/>
              </w:rPr>
              <w:t>112.1</w:t>
            </w:r>
          </w:p>
        </w:tc>
        <w:tc>
          <w:tcPr>
            <w:tcW w:w="991" w:type="dxa"/>
            <w:vAlign w:val="bottom"/>
          </w:tcPr>
          <w:p w:rsidR="007466CE" w:rsidRPr="00C003FA" w:rsidRDefault="007466CE" w:rsidP="007466CE">
            <w:pPr>
              <w:keepNext/>
              <w:tabs>
                <w:tab w:val="decimal" w:pos="530"/>
              </w:tabs>
              <w:rPr>
                <w:sz w:val="15"/>
                <w:szCs w:val="15"/>
              </w:rPr>
            </w:pPr>
            <w:r w:rsidRPr="00C003FA">
              <w:rPr>
                <w:sz w:val="15"/>
                <w:szCs w:val="15"/>
              </w:rPr>
              <w:t>180.5</w:t>
            </w:r>
          </w:p>
        </w:tc>
        <w:tc>
          <w:tcPr>
            <w:tcW w:w="990" w:type="dxa"/>
            <w:tcBorders>
              <w:right w:val="single" w:sz="4" w:space="0" w:color="auto"/>
            </w:tcBorders>
            <w:vAlign w:val="bottom"/>
          </w:tcPr>
          <w:p w:rsidR="007466CE" w:rsidRPr="00C003FA" w:rsidRDefault="007466CE" w:rsidP="007466CE">
            <w:pPr>
              <w:keepNext/>
              <w:tabs>
                <w:tab w:val="decimal" w:pos="518"/>
              </w:tabs>
              <w:rPr>
                <w:sz w:val="15"/>
                <w:szCs w:val="15"/>
              </w:rPr>
            </w:pPr>
            <w:r w:rsidRPr="00C003FA">
              <w:rPr>
                <w:sz w:val="15"/>
                <w:szCs w:val="15"/>
              </w:rPr>
              <w:t>213.6</w:t>
            </w:r>
          </w:p>
        </w:tc>
        <w:tc>
          <w:tcPr>
            <w:tcW w:w="991" w:type="dxa"/>
            <w:tcBorders>
              <w:left w:val="single" w:sz="4" w:space="0" w:color="auto"/>
            </w:tcBorders>
            <w:vAlign w:val="bottom"/>
          </w:tcPr>
          <w:p w:rsidR="007466CE" w:rsidRPr="00C003FA" w:rsidRDefault="007466CE" w:rsidP="007466CE">
            <w:pPr>
              <w:tabs>
                <w:tab w:val="decimal" w:pos="461"/>
              </w:tabs>
              <w:rPr>
                <w:sz w:val="15"/>
                <w:szCs w:val="15"/>
              </w:rPr>
            </w:pPr>
            <w:r w:rsidRPr="00C003FA">
              <w:rPr>
                <w:sz w:val="15"/>
                <w:szCs w:val="15"/>
              </w:rPr>
              <w:t>23.0</w:t>
            </w:r>
          </w:p>
        </w:tc>
        <w:tc>
          <w:tcPr>
            <w:tcW w:w="991" w:type="dxa"/>
            <w:vAlign w:val="bottom"/>
          </w:tcPr>
          <w:p w:rsidR="007466CE" w:rsidRPr="00C003FA" w:rsidRDefault="00450641" w:rsidP="007466CE">
            <w:pPr>
              <w:tabs>
                <w:tab w:val="decimal" w:pos="461"/>
              </w:tabs>
              <w:rPr>
                <w:sz w:val="15"/>
                <w:szCs w:val="15"/>
              </w:rPr>
            </w:pPr>
            <w:r>
              <w:rPr>
                <w:sz w:val="15"/>
                <w:szCs w:val="15"/>
              </w:rPr>
              <w:t>20.0</w:t>
            </w:r>
          </w:p>
        </w:tc>
      </w:tr>
      <w:tr w:rsidR="007466CE" w:rsidRPr="00C003FA" w:rsidTr="006C0B9E">
        <w:trPr>
          <w:jc w:val="center"/>
        </w:trPr>
        <w:tc>
          <w:tcPr>
            <w:tcW w:w="3776" w:type="dxa"/>
            <w:vAlign w:val="bottom"/>
          </w:tcPr>
          <w:p w:rsidR="007466CE" w:rsidRPr="00C003FA" w:rsidRDefault="007466CE" w:rsidP="007466CE">
            <w:pPr>
              <w:keepNext/>
              <w:ind w:left="517" w:hanging="180"/>
              <w:jc w:val="left"/>
              <w:rPr>
                <w:sz w:val="15"/>
                <w:szCs w:val="15"/>
              </w:rPr>
            </w:pPr>
            <w:r w:rsidRPr="00C003FA">
              <w:rPr>
                <w:sz w:val="15"/>
                <w:szCs w:val="15"/>
              </w:rPr>
              <w:t>Transfers for Transportation</w:t>
            </w:r>
            <w:r w:rsidRPr="00C003FA">
              <w:rPr>
                <w:sz w:val="15"/>
                <w:szCs w:val="15"/>
                <w:vertAlign w:val="superscript"/>
              </w:rPr>
              <w:t>6</w:t>
            </w:r>
          </w:p>
        </w:tc>
        <w:tc>
          <w:tcPr>
            <w:tcW w:w="990" w:type="dxa"/>
            <w:vAlign w:val="bottom"/>
          </w:tcPr>
          <w:p w:rsidR="007466CE" w:rsidRPr="00C003FA" w:rsidRDefault="007466CE" w:rsidP="007466CE">
            <w:pPr>
              <w:keepNext/>
              <w:tabs>
                <w:tab w:val="decimal" w:pos="473"/>
              </w:tabs>
              <w:rPr>
                <w:sz w:val="15"/>
                <w:szCs w:val="15"/>
              </w:rPr>
            </w:pPr>
            <w:r w:rsidRPr="00C003FA">
              <w:rPr>
                <w:sz w:val="15"/>
                <w:szCs w:val="15"/>
              </w:rPr>
              <w:t>199.2</w:t>
            </w:r>
          </w:p>
        </w:tc>
        <w:tc>
          <w:tcPr>
            <w:tcW w:w="991" w:type="dxa"/>
            <w:vAlign w:val="bottom"/>
          </w:tcPr>
          <w:p w:rsidR="007466CE" w:rsidRPr="00C003FA" w:rsidRDefault="007466CE" w:rsidP="007466CE">
            <w:pPr>
              <w:keepNext/>
              <w:tabs>
                <w:tab w:val="decimal" w:pos="485"/>
              </w:tabs>
              <w:jc w:val="left"/>
              <w:rPr>
                <w:sz w:val="15"/>
                <w:szCs w:val="15"/>
              </w:rPr>
            </w:pPr>
            <w:r w:rsidRPr="00C003FA">
              <w:rPr>
                <w:sz w:val="15"/>
                <w:szCs w:val="15"/>
              </w:rPr>
              <w:t>79.0</w:t>
            </w:r>
          </w:p>
        </w:tc>
        <w:tc>
          <w:tcPr>
            <w:tcW w:w="990" w:type="dxa"/>
            <w:vAlign w:val="bottom"/>
          </w:tcPr>
          <w:p w:rsidR="007466CE" w:rsidRPr="00C003FA" w:rsidRDefault="007466CE" w:rsidP="007466CE">
            <w:pPr>
              <w:keepNext/>
              <w:tabs>
                <w:tab w:val="decimal" w:pos="473"/>
              </w:tabs>
              <w:rPr>
                <w:sz w:val="15"/>
                <w:szCs w:val="15"/>
              </w:rPr>
            </w:pPr>
            <w:r w:rsidRPr="00C003FA">
              <w:rPr>
                <w:sz w:val="15"/>
                <w:szCs w:val="15"/>
              </w:rPr>
              <w:t>79.0</w:t>
            </w:r>
          </w:p>
        </w:tc>
        <w:tc>
          <w:tcPr>
            <w:tcW w:w="991" w:type="dxa"/>
            <w:vAlign w:val="bottom"/>
          </w:tcPr>
          <w:p w:rsidR="007466CE" w:rsidRPr="00C003FA" w:rsidRDefault="007466CE" w:rsidP="007466CE">
            <w:pPr>
              <w:keepNext/>
              <w:tabs>
                <w:tab w:val="decimal" w:pos="530"/>
              </w:tabs>
              <w:rPr>
                <w:sz w:val="15"/>
                <w:szCs w:val="15"/>
              </w:rPr>
            </w:pPr>
            <w:r w:rsidRPr="00C003FA">
              <w:rPr>
                <w:sz w:val="15"/>
                <w:szCs w:val="15"/>
              </w:rPr>
              <w:t>495.0</w:t>
            </w:r>
          </w:p>
        </w:tc>
        <w:tc>
          <w:tcPr>
            <w:tcW w:w="990" w:type="dxa"/>
            <w:tcBorders>
              <w:right w:val="single" w:sz="4" w:space="0" w:color="auto"/>
            </w:tcBorders>
            <w:vAlign w:val="bottom"/>
          </w:tcPr>
          <w:p w:rsidR="007466CE" w:rsidRPr="00C003FA" w:rsidRDefault="007466CE" w:rsidP="007466CE">
            <w:pPr>
              <w:keepNext/>
              <w:tabs>
                <w:tab w:val="decimal" w:pos="518"/>
              </w:tabs>
              <w:rPr>
                <w:sz w:val="15"/>
                <w:szCs w:val="15"/>
              </w:rPr>
            </w:pPr>
            <w:r w:rsidRPr="00C003FA">
              <w:rPr>
                <w:sz w:val="15"/>
                <w:szCs w:val="15"/>
              </w:rPr>
              <w:t>300.0</w:t>
            </w:r>
          </w:p>
        </w:tc>
        <w:tc>
          <w:tcPr>
            <w:tcW w:w="991" w:type="dxa"/>
            <w:tcBorders>
              <w:left w:val="single" w:sz="4" w:space="0" w:color="auto"/>
            </w:tcBorders>
            <w:vAlign w:val="bottom"/>
          </w:tcPr>
          <w:p w:rsidR="007466CE" w:rsidRPr="00C003FA" w:rsidRDefault="007466CE" w:rsidP="007466CE">
            <w:pPr>
              <w:tabs>
                <w:tab w:val="decimal" w:pos="550"/>
              </w:tabs>
              <w:rPr>
                <w:sz w:val="15"/>
                <w:szCs w:val="15"/>
              </w:rPr>
            </w:pPr>
            <w:r w:rsidRPr="00C003FA">
              <w:rPr>
                <w:sz w:val="15"/>
                <w:szCs w:val="15"/>
              </w:rPr>
              <w:t>–</w:t>
            </w:r>
          </w:p>
        </w:tc>
        <w:tc>
          <w:tcPr>
            <w:tcW w:w="991" w:type="dxa"/>
            <w:vAlign w:val="bottom"/>
          </w:tcPr>
          <w:p w:rsidR="007466CE" w:rsidRPr="00C003FA" w:rsidRDefault="00450641" w:rsidP="007466CE">
            <w:pPr>
              <w:tabs>
                <w:tab w:val="decimal" w:pos="550"/>
              </w:tabs>
              <w:rPr>
                <w:sz w:val="15"/>
                <w:szCs w:val="15"/>
              </w:rPr>
            </w:pPr>
            <w:r>
              <w:rPr>
                <w:sz w:val="15"/>
                <w:szCs w:val="15"/>
              </w:rPr>
              <w:t>--</w:t>
            </w:r>
          </w:p>
        </w:tc>
      </w:tr>
      <w:tr w:rsidR="007466CE" w:rsidRPr="00C003FA" w:rsidTr="006C0B9E">
        <w:trPr>
          <w:jc w:val="center"/>
        </w:trPr>
        <w:tc>
          <w:tcPr>
            <w:tcW w:w="3776" w:type="dxa"/>
            <w:vAlign w:val="bottom"/>
          </w:tcPr>
          <w:p w:rsidR="007466CE" w:rsidRPr="00C003FA" w:rsidRDefault="007466CE" w:rsidP="007466CE">
            <w:pPr>
              <w:keepNext/>
              <w:ind w:left="427" w:hanging="90"/>
              <w:jc w:val="left"/>
              <w:rPr>
                <w:sz w:val="15"/>
                <w:szCs w:val="15"/>
              </w:rPr>
            </w:pPr>
            <w:r w:rsidRPr="00C003FA">
              <w:rPr>
                <w:sz w:val="15"/>
                <w:szCs w:val="15"/>
              </w:rPr>
              <w:t>Transfers to State Education Fund</w:t>
            </w:r>
          </w:p>
        </w:tc>
        <w:tc>
          <w:tcPr>
            <w:tcW w:w="990" w:type="dxa"/>
            <w:vAlign w:val="bottom"/>
          </w:tcPr>
          <w:p w:rsidR="007466CE" w:rsidRPr="00C003FA" w:rsidRDefault="007466CE" w:rsidP="007466CE">
            <w:pPr>
              <w:keepNext/>
              <w:tabs>
                <w:tab w:val="decimal" w:pos="473"/>
              </w:tabs>
              <w:rPr>
                <w:sz w:val="15"/>
                <w:szCs w:val="15"/>
              </w:rPr>
            </w:pPr>
            <w:r w:rsidRPr="00C003FA">
              <w:rPr>
                <w:sz w:val="15"/>
                <w:szCs w:val="15"/>
              </w:rPr>
              <w:t>25.3</w:t>
            </w:r>
          </w:p>
        </w:tc>
        <w:tc>
          <w:tcPr>
            <w:tcW w:w="991" w:type="dxa"/>
            <w:vAlign w:val="bottom"/>
          </w:tcPr>
          <w:p w:rsidR="007466CE" w:rsidRPr="00C003FA" w:rsidRDefault="007466CE" w:rsidP="007466CE">
            <w:pPr>
              <w:keepNext/>
              <w:tabs>
                <w:tab w:val="decimal" w:pos="485"/>
              </w:tabs>
              <w:jc w:val="left"/>
              <w:rPr>
                <w:sz w:val="15"/>
                <w:szCs w:val="15"/>
              </w:rPr>
            </w:pPr>
            <w:r w:rsidRPr="00C003FA">
              <w:rPr>
                <w:sz w:val="15"/>
                <w:szCs w:val="15"/>
              </w:rPr>
              <w:t>25.3</w:t>
            </w:r>
          </w:p>
        </w:tc>
        <w:tc>
          <w:tcPr>
            <w:tcW w:w="990" w:type="dxa"/>
            <w:vAlign w:val="bottom"/>
          </w:tcPr>
          <w:p w:rsidR="007466CE" w:rsidRPr="00C003FA" w:rsidRDefault="007466CE" w:rsidP="007466CE">
            <w:pPr>
              <w:keepNext/>
              <w:tabs>
                <w:tab w:val="decimal" w:pos="473"/>
              </w:tabs>
              <w:rPr>
                <w:sz w:val="15"/>
                <w:szCs w:val="15"/>
              </w:rPr>
            </w:pPr>
            <w:r w:rsidRPr="00C003FA">
              <w:rPr>
                <w:sz w:val="15"/>
                <w:szCs w:val="15"/>
              </w:rPr>
              <w:t>25.3</w:t>
            </w:r>
          </w:p>
        </w:tc>
        <w:tc>
          <w:tcPr>
            <w:tcW w:w="991" w:type="dxa"/>
            <w:vAlign w:val="bottom"/>
          </w:tcPr>
          <w:p w:rsidR="007466CE" w:rsidRPr="00C003FA" w:rsidRDefault="007466CE" w:rsidP="007466CE">
            <w:pPr>
              <w:keepNext/>
              <w:tabs>
                <w:tab w:val="decimal" w:pos="530"/>
              </w:tabs>
              <w:rPr>
                <w:sz w:val="15"/>
                <w:szCs w:val="15"/>
              </w:rPr>
            </w:pPr>
            <w:r w:rsidRPr="00C003FA">
              <w:rPr>
                <w:sz w:val="15"/>
                <w:szCs w:val="15"/>
              </w:rPr>
              <w:t>25.0</w:t>
            </w:r>
          </w:p>
        </w:tc>
        <w:tc>
          <w:tcPr>
            <w:tcW w:w="990" w:type="dxa"/>
            <w:tcBorders>
              <w:right w:val="single" w:sz="4" w:space="0" w:color="auto"/>
            </w:tcBorders>
            <w:vAlign w:val="bottom"/>
          </w:tcPr>
          <w:p w:rsidR="007466CE" w:rsidRPr="00C003FA" w:rsidRDefault="007466CE" w:rsidP="007466CE">
            <w:pPr>
              <w:keepNext/>
              <w:tabs>
                <w:tab w:val="decimal" w:pos="518"/>
              </w:tabs>
              <w:rPr>
                <w:sz w:val="15"/>
                <w:szCs w:val="15"/>
              </w:rPr>
            </w:pPr>
            <w:r w:rsidRPr="00C003FA">
              <w:rPr>
                <w:sz w:val="15"/>
                <w:szCs w:val="15"/>
              </w:rPr>
              <w:t>40.3</w:t>
            </w:r>
          </w:p>
        </w:tc>
        <w:tc>
          <w:tcPr>
            <w:tcW w:w="991" w:type="dxa"/>
            <w:tcBorders>
              <w:left w:val="single" w:sz="4" w:space="0" w:color="auto"/>
            </w:tcBorders>
            <w:vAlign w:val="bottom"/>
          </w:tcPr>
          <w:p w:rsidR="007466CE" w:rsidRPr="00C003FA" w:rsidRDefault="007466CE" w:rsidP="007466CE">
            <w:pPr>
              <w:tabs>
                <w:tab w:val="decimal" w:pos="461"/>
              </w:tabs>
              <w:rPr>
                <w:sz w:val="15"/>
                <w:szCs w:val="15"/>
              </w:rPr>
            </w:pPr>
            <w:r w:rsidRPr="00C003FA">
              <w:rPr>
                <w:sz w:val="15"/>
                <w:szCs w:val="15"/>
              </w:rPr>
              <w:t>113.0</w:t>
            </w:r>
          </w:p>
        </w:tc>
        <w:tc>
          <w:tcPr>
            <w:tcW w:w="991" w:type="dxa"/>
            <w:vAlign w:val="bottom"/>
          </w:tcPr>
          <w:p w:rsidR="007466CE" w:rsidRPr="00C003FA" w:rsidRDefault="00450641" w:rsidP="007466CE">
            <w:pPr>
              <w:tabs>
                <w:tab w:val="decimal" w:pos="461"/>
              </w:tabs>
              <w:rPr>
                <w:sz w:val="15"/>
                <w:szCs w:val="15"/>
              </w:rPr>
            </w:pPr>
            <w:r>
              <w:rPr>
                <w:sz w:val="15"/>
                <w:szCs w:val="15"/>
              </w:rPr>
              <w:t>23.0</w:t>
            </w:r>
          </w:p>
        </w:tc>
      </w:tr>
      <w:tr w:rsidR="007466CE" w:rsidRPr="00C003FA" w:rsidTr="006C0B9E">
        <w:trPr>
          <w:jc w:val="center"/>
        </w:trPr>
        <w:tc>
          <w:tcPr>
            <w:tcW w:w="3776" w:type="dxa"/>
            <w:vAlign w:val="bottom"/>
          </w:tcPr>
          <w:p w:rsidR="007466CE" w:rsidRPr="00C003FA" w:rsidRDefault="007466CE" w:rsidP="007466CE">
            <w:pPr>
              <w:keepNext/>
              <w:ind w:left="517" w:hanging="180"/>
              <w:jc w:val="left"/>
              <w:rPr>
                <w:sz w:val="15"/>
                <w:szCs w:val="15"/>
              </w:rPr>
            </w:pPr>
            <w:r w:rsidRPr="00C003FA">
              <w:rPr>
                <w:sz w:val="15"/>
                <w:szCs w:val="15"/>
              </w:rPr>
              <w:t>Transfers to Other Funds</w:t>
            </w:r>
            <w:r w:rsidRPr="00C003FA">
              <w:rPr>
                <w:sz w:val="15"/>
                <w:szCs w:val="15"/>
                <w:vertAlign w:val="superscript"/>
              </w:rPr>
              <w:t>7</w:t>
            </w:r>
          </w:p>
        </w:tc>
        <w:tc>
          <w:tcPr>
            <w:tcW w:w="990" w:type="dxa"/>
            <w:vAlign w:val="bottom"/>
          </w:tcPr>
          <w:p w:rsidR="007466CE" w:rsidRPr="00C003FA" w:rsidRDefault="007466CE" w:rsidP="007466CE">
            <w:pPr>
              <w:keepNext/>
              <w:tabs>
                <w:tab w:val="decimal" w:pos="473"/>
              </w:tabs>
              <w:rPr>
                <w:sz w:val="15"/>
                <w:szCs w:val="15"/>
              </w:rPr>
            </w:pPr>
            <w:r w:rsidRPr="00C003FA">
              <w:rPr>
                <w:sz w:val="15"/>
                <w:szCs w:val="15"/>
              </w:rPr>
              <w:t>176.2</w:t>
            </w:r>
          </w:p>
        </w:tc>
        <w:tc>
          <w:tcPr>
            <w:tcW w:w="991" w:type="dxa"/>
            <w:vAlign w:val="bottom"/>
          </w:tcPr>
          <w:p w:rsidR="007466CE" w:rsidRPr="00C003FA" w:rsidRDefault="007466CE" w:rsidP="007466CE">
            <w:pPr>
              <w:keepNext/>
              <w:tabs>
                <w:tab w:val="decimal" w:pos="485"/>
              </w:tabs>
              <w:jc w:val="left"/>
              <w:rPr>
                <w:sz w:val="15"/>
                <w:szCs w:val="15"/>
              </w:rPr>
            </w:pPr>
            <w:r w:rsidRPr="00C003FA">
              <w:rPr>
                <w:sz w:val="15"/>
                <w:szCs w:val="15"/>
              </w:rPr>
              <w:t>164.8</w:t>
            </w:r>
          </w:p>
        </w:tc>
        <w:tc>
          <w:tcPr>
            <w:tcW w:w="990" w:type="dxa"/>
            <w:vAlign w:val="bottom"/>
          </w:tcPr>
          <w:p w:rsidR="007466CE" w:rsidRPr="00C003FA" w:rsidRDefault="007466CE" w:rsidP="007466CE">
            <w:pPr>
              <w:keepNext/>
              <w:tabs>
                <w:tab w:val="decimal" w:pos="473"/>
              </w:tabs>
              <w:rPr>
                <w:sz w:val="15"/>
                <w:szCs w:val="15"/>
              </w:rPr>
            </w:pPr>
            <w:r w:rsidRPr="00C003FA">
              <w:rPr>
                <w:sz w:val="15"/>
                <w:szCs w:val="15"/>
              </w:rPr>
              <w:t>208.6</w:t>
            </w:r>
          </w:p>
        </w:tc>
        <w:tc>
          <w:tcPr>
            <w:tcW w:w="991" w:type="dxa"/>
            <w:vAlign w:val="bottom"/>
          </w:tcPr>
          <w:p w:rsidR="007466CE" w:rsidRPr="00C003FA" w:rsidRDefault="007466CE" w:rsidP="007466CE">
            <w:pPr>
              <w:keepNext/>
              <w:tabs>
                <w:tab w:val="decimal" w:pos="530"/>
              </w:tabs>
              <w:rPr>
                <w:sz w:val="15"/>
                <w:szCs w:val="15"/>
              </w:rPr>
            </w:pPr>
            <w:r w:rsidRPr="00C003FA">
              <w:rPr>
                <w:sz w:val="15"/>
                <w:szCs w:val="15"/>
              </w:rPr>
              <w:t>201.1</w:t>
            </w:r>
          </w:p>
        </w:tc>
        <w:tc>
          <w:tcPr>
            <w:tcW w:w="990" w:type="dxa"/>
            <w:tcBorders>
              <w:right w:val="single" w:sz="4" w:space="0" w:color="auto"/>
            </w:tcBorders>
            <w:vAlign w:val="bottom"/>
          </w:tcPr>
          <w:p w:rsidR="007466CE" w:rsidRPr="00C003FA" w:rsidRDefault="007466CE" w:rsidP="007466CE">
            <w:pPr>
              <w:keepNext/>
              <w:tabs>
                <w:tab w:val="decimal" w:pos="518"/>
              </w:tabs>
              <w:rPr>
                <w:sz w:val="15"/>
                <w:szCs w:val="15"/>
              </w:rPr>
            </w:pPr>
            <w:r w:rsidRPr="00C003FA">
              <w:rPr>
                <w:sz w:val="15"/>
                <w:szCs w:val="15"/>
              </w:rPr>
              <w:t>210.9</w:t>
            </w:r>
          </w:p>
        </w:tc>
        <w:tc>
          <w:tcPr>
            <w:tcW w:w="991" w:type="dxa"/>
            <w:tcBorders>
              <w:left w:val="single" w:sz="4" w:space="0" w:color="auto"/>
            </w:tcBorders>
            <w:vAlign w:val="bottom"/>
          </w:tcPr>
          <w:p w:rsidR="007466CE" w:rsidRPr="00C003FA" w:rsidRDefault="007466CE" w:rsidP="007466CE">
            <w:pPr>
              <w:tabs>
                <w:tab w:val="decimal" w:pos="461"/>
              </w:tabs>
              <w:rPr>
                <w:sz w:val="15"/>
                <w:szCs w:val="15"/>
              </w:rPr>
            </w:pPr>
            <w:r w:rsidRPr="00C003FA">
              <w:rPr>
                <w:sz w:val="15"/>
                <w:szCs w:val="15"/>
              </w:rPr>
              <w:t>214.9</w:t>
            </w:r>
          </w:p>
        </w:tc>
        <w:tc>
          <w:tcPr>
            <w:tcW w:w="991" w:type="dxa"/>
            <w:vAlign w:val="bottom"/>
          </w:tcPr>
          <w:p w:rsidR="007466CE" w:rsidRPr="00C003FA" w:rsidRDefault="00450641" w:rsidP="007466CE">
            <w:pPr>
              <w:tabs>
                <w:tab w:val="decimal" w:pos="461"/>
              </w:tabs>
              <w:rPr>
                <w:sz w:val="15"/>
                <w:szCs w:val="15"/>
              </w:rPr>
            </w:pPr>
            <w:r>
              <w:rPr>
                <w:sz w:val="15"/>
                <w:szCs w:val="15"/>
              </w:rPr>
              <w:t>253.6</w:t>
            </w:r>
          </w:p>
        </w:tc>
      </w:tr>
      <w:tr w:rsidR="007466CE" w:rsidRPr="00C003FA" w:rsidTr="006C0B9E">
        <w:trPr>
          <w:jc w:val="center"/>
        </w:trPr>
        <w:tc>
          <w:tcPr>
            <w:tcW w:w="3776" w:type="dxa"/>
            <w:vAlign w:val="bottom"/>
          </w:tcPr>
          <w:p w:rsidR="007466CE" w:rsidRPr="00C003FA" w:rsidRDefault="007466CE" w:rsidP="007466CE">
            <w:pPr>
              <w:keepNext/>
              <w:ind w:left="427" w:hanging="90"/>
              <w:jc w:val="left"/>
              <w:rPr>
                <w:sz w:val="15"/>
                <w:szCs w:val="15"/>
              </w:rPr>
            </w:pPr>
            <w:r w:rsidRPr="00C003FA">
              <w:rPr>
                <w:sz w:val="15"/>
                <w:szCs w:val="15"/>
              </w:rPr>
              <w:t>Other Expenditures Exempt from General Fund Appropriations Limit</w:t>
            </w:r>
            <w:r w:rsidRPr="00C003FA">
              <w:rPr>
                <w:sz w:val="15"/>
                <w:szCs w:val="15"/>
                <w:vertAlign w:val="superscript"/>
              </w:rPr>
              <w:t>8</w:t>
            </w:r>
          </w:p>
        </w:tc>
        <w:tc>
          <w:tcPr>
            <w:tcW w:w="990" w:type="dxa"/>
            <w:vAlign w:val="bottom"/>
          </w:tcPr>
          <w:p w:rsidR="007466CE" w:rsidRPr="00C003FA" w:rsidRDefault="007466CE" w:rsidP="007466CE">
            <w:pPr>
              <w:keepNext/>
              <w:tabs>
                <w:tab w:val="decimal" w:pos="580"/>
              </w:tabs>
              <w:rPr>
                <w:sz w:val="15"/>
                <w:szCs w:val="15"/>
                <w:u w:val="single"/>
              </w:rPr>
            </w:pPr>
            <w:r w:rsidRPr="00C003FA">
              <w:rPr>
                <w:sz w:val="15"/>
                <w:szCs w:val="15"/>
                <w:u w:val="single"/>
              </w:rPr>
              <w:t xml:space="preserve">            –</w:t>
            </w:r>
          </w:p>
        </w:tc>
        <w:tc>
          <w:tcPr>
            <w:tcW w:w="991" w:type="dxa"/>
            <w:vAlign w:val="bottom"/>
          </w:tcPr>
          <w:p w:rsidR="007466CE" w:rsidRPr="00C003FA" w:rsidRDefault="007466CE" w:rsidP="007466CE">
            <w:pPr>
              <w:keepNext/>
              <w:tabs>
                <w:tab w:val="decimal" w:pos="485"/>
              </w:tabs>
              <w:jc w:val="left"/>
              <w:rPr>
                <w:sz w:val="15"/>
                <w:szCs w:val="15"/>
                <w:u w:val="single"/>
              </w:rPr>
            </w:pPr>
            <w:r w:rsidRPr="00C003FA">
              <w:rPr>
                <w:sz w:val="15"/>
                <w:szCs w:val="15"/>
                <w:u w:val="single"/>
              </w:rPr>
              <w:t xml:space="preserve">         1.5</w:t>
            </w:r>
          </w:p>
        </w:tc>
        <w:tc>
          <w:tcPr>
            <w:tcW w:w="990" w:type="dxa"/>
            <w:vAlign w:val="bottom"/>
          </w:tcPr>
          <w:p w:rsidR="007466CE" w:rsidRPr="00C003FA" w:rsidRDefault="007466CE" w:rsidP="007466CE">
            <w:pPr>
              <w:keepNext/>
              <w:tabs>
                <w:tab w:val="decimal" w:pos="460"/>
              </w:tabs>
              <w:rPr>
                <w:sz w:val="15"/>
                <w:szCs w:val="15"/>
                <w:u w:val="single"/>
              </w:rPr>
            </w:pPr>
            <w:r w:rsidRPr="00C003FA">
              <w:rPr>
                <w:sz w:val="15"/>
                <w:szCs w:val="15"/>
                <w:u w:val="single"/>
              </w:rPr>
              <w:t xml:space="preserve">      29.0</w:t>
            </w:r>
          </w:p>
        </w:tc>
        <w:tc>
          <w:tcPr>
            <w:tcW w:w="991" w:type="dxa"/>
            <w:vAlign w:val="bottom"/>
          </w:tcPr>
          <w:p w:rsidR="007466CE" w:rsidRPr="00C003FA" w:rsidRDefault="007466CE" w:rsidP="007466CE">
            <w:pPr>
              <w:keepNext/>
              <w:tabs>
                <w:tab w:val="decimal" w:pos="610"/>
              </w:tabs>
              <w:rPr>
                <w:sz w:val="15"/>
                <w:szCs w:val="15"/>
                <w:u w:val="single"/>
              </w:rPr>
            </w:pPr>
            <w:r w:rsidRPr="00C003FA">
              <w:rPr>
                <w:sz w:val="15"/>
                <w:szCs w:val="15"/>
                <w:u w:val="single"/>
              </w:rPr>
              <w:t xml:space="preserve">            –</w:t>
            </w:r>
          </w:p>
        </w:tc>
        <w:tc>
          <w:tcPr>
            <w:tcW w:w="990" w:type="dxa"/>
            <w:tcBorders>
              <w:right w:val="single" w:sz="4" w:space="0" w:color="auto"/>
            </w:tcBorders>
            <w:vAlign w:val="bottom"/>
          </w:tcPr>
          <w:p w:rsidR="007466CE" w:rsidRPr="00C003FA" w:rsidRDefault="007466CE" w:rsidP="007466CE">
            <w:pPr>
              <w:keepNext/>
              <w:tabs>
                <w:tab w:val="decimal" w:pos="600"/>
              </w:tabs>
              <w:rPr>
                <w:sz w:val="15"/>
                <w:szCs w:val="15"/>
                <w:u w:val="single"/>
              </w:rPr>
            </w:pPr>
            <w:r w:rsidRPr="00C003FA">
              <w:rPr>
                <w:sz w:val="15"/>
                <w:szCs w:val="15"/>
                <w:u w:val="single"/>
              </w:rPr>
              <w:t xml:space="preserve">           –</w:t>
            </w:r>
          </w:p>
        </w:tc>
        <w:tc>
          <w:tcPr>
            <w:tcW w:w="991" w:type="dxa"/>
            <w:tcBorders>
              <w:left w:val="single" w:sz="4" w:space="0" w:color="auto"/>
            </w:tcBorders>
            <w:vAlign w:val="bottom"/>
          </w:tcPr>
          <w:p w:rsidR="007466CE" w:rsidRPr="00C003FA" w:rsidRDefault="007466CE" w:rsidP="007466CE">
            <w:pPr>
              <w:tabs>
                <w:tab w:val="decimal" w:pos="530"/>
              </w:tabs>
              <w:rPr>
                <w:sz w:val="15"/>
                <w:szCs w:val="15"/>
                <w:u w:val="single"/>
              </w:rPr>
            </w:pPr>
            <w:r w:rsidRPr="00C003FA">
              <w:rPr>
                <w:sz w:val="15"/>
                <w:szCs w:val="15"/>
                <w:u w:val="single"/>
              </w:rPr>
              <w:t xml:space="preserve">           –</w:t>
            </w:r>
          </w:p>
        </w:tc>
        <w:tc>
          <w:tcPr>
            <w:tcW w:w="991" w:type="dxa"/>
            <w:vAlign w:val="bottom"/>
          </w:tcPr>
          <w:p w:rsidR="007466CE" w:rsidRPr="00C003FA" w:rsidRDefault="00450641" w:rsidP="007466CE">
            <w:pPr>
              <w:tabs>
                <w:tab w:val="decimal" w:pos="530"/>
              </w:tabs>
              <w:rPr>
                <w:sz w:val="15"/>
                <w:szCs w:val="15"/>
                <w:u w:val="single"/>
              </w:rPr>
            </w:pPr>
            <w:r>
              <w:rPr>
                <w:sz w:val="15"/>
                <w:szCs w:val="15"/>
                <w:u w:val="single"/>
              </w:rPr>
              <w:t xml:space="preserve">          --</w:t>
            </w:r>
          </w:p>
        </w:tc>
      </w:tr>
      <w:tr w:rsidR="007466CE" w:rsidRPr="00C003FA" w:rsidTr="006C0B9E">
        <w:trPr>
          <w:jc w:val="center"/>
        </w:trPr>
        <w:tc>
          <w:tcPr>
            <w:tcW w:w="3776" w:type="dxa"/>
            <w:vAlign w:val="bottom"/>
          </w:tcPr>
          <w:p w:rsidR="007466CE" w:rsidRPr="00C003FA" w:rsidRDefault="007466CE" w:rsidP="007466CE">
            <w:pPr>
              <w:keepNext/>
              <w:ind w:left="522"/>
              <w:jc w:val="left"/>
              <w:rPr>
                <w:sz w:val="15"/>
                <w:szCs w:val="15"/>
              </w:rPr>
            </w:pPr>
            <w:r w:rsidRPr="00C003FA">
              <w:rPr>
                <w:sz w:val="15"/>
                <w:szCs w:val="15"/>
              </w:rPr>
              <w:t>Total General Fund Obligations</w:t>
            </w:r>
          </w:p>
        </w:tc>
        <w:tc>
          <w:tcPr>
            <w:tcW w:w="990" w:type="dxa"/>
            <w:vAlign w:val="bottom"/>
          </w:tcPr>
          <w:p w:rsidR="007466CE" w:rsidRPr="00C003FA" w:rsidRDefault="007466CE" w:rsidP="007466CE">
            <w:pPr>
              <w:keepNext/>
              <w:tabs>
                <w:tab w:val="decimal" w:pos="473"/>
              </w:tabs>
              <w:rPr>
                <w:sz w:val="15"/>
                <w:szCs w:val="15"/>
              </w:rPr>
            </w:pPr>
            <w:r w:rsidRPr="00C003FA">
              <w:rPr>
                <w:sz w:val="15"/>
                <w:szCs w:val="15"/>
              </w:rPr>
              <w:t>10,230.7</w:t>
            </w:r>
          </w:p>
        </w:tc>
        <w:tc>
          <w:tcPr>
            <w:tcW w:w="991" w:type="dxa"/>
            <w:vAlign w:val="bottom"/>
          </w:tcPr>
          <w:p w:rsidR="007466CE" w:rsidRPr="00C003FA" w:rsidRDefault="007466CE" w:rsidP="007466CE">
            <w:pPr>
              <w:keepNext/>
              <w:tabs>
                <w:tab w:val="decimal" w:pos="485"/>
              </w:tabs>
              <w:jc w:val="left"/>
              <w:rPr>
                <w:sz w:val="15"/>
                <w:szCs w:val="15"/>
              </w:rPr>
            </w:pPr>
            <w:r w:rsidRPr="00C003FA">
              <w:rPr>
                <w:sz w:val="15"/>
                <w:szCs w:val="15"/>
              </w:rPr>
              <w:t>10,424.6</w:t>
            </w:r>
          </w:p>
        </w:tc>
        <w:tc>
          <w:tcPr>
            <w:tcW w:w="990" w:type="dxa"/>
            <w:vAlign w:val="bottom"/>
          </w:tcPr>
          <w:p w:rsidR="007466CE" w:rsidRPr="00C003FA" w:rsidRDefault="007466CE" w:rsidP="007466CE">
            <w:pPr>
              <w:keepNext/>
              <w:tabs>
                <w:tab w:val="decimal" w:pos="473"/>
              </w:tabs>
              <w:rPr>
                <w:sz w:val="15"/>
                <w:szCs w:val="15"/>
              </w:rPr>
            </w:pPr>
            <w:r w:rsidRPr="00C003FA">
              <w:rPr>
                <w:sz w:val="15"/>
                <w:szCs w:val="15"/>
              </w:rPr>
              <w:t>11,215.5</w:t>
            </w:r>
          </w:p>
        </w:tc>
        <w:tc>
          <w:tcPr>
            <w:tcW w:w="991" w:type="dxa"/>
            <w:vAlign w:val="bottom"/>
          </w:tcPr>
          <w:p w:rsidR="007466CE" w:rsidRPr="00C003FA" w:rsidRDefault="007466CE" w:rsidP="007466CE">
            <w:pPr>
              <w:keepNext/>
              <w:tabs>
                <w:tab w:val="decimal" w:pos="530"/>
              </w:tabs>
              <w:rPr>
                <w:sz w:val="15"/>
                <w:szCs w:val="15"/>
              </w:rPr>
            </w:pPr>
            <w:r w:rsidRPr="00C003FA">
              <w:rPr>
                <w:sz w:val="15"/>
                <w:szCs w:val="15"/>
              </w:rPr>
              <w:t>12,855.0</w:t>
            </w:r>
          </w:p>
        </w:tc>
        <w:tc>
          <w:tcPr>
            <w:tcW w:w="990" w:type="dxa"/>
            <w:tcBorders>
              <w:right w:val="single" w:sz="4" w:space="0" w:color="auto"/>
            </w:tcBorders>
            <w:vAlign w:val="bottom"/>
          </w:tcPr>
          <w:p w:rsidR="007466CE" w:rsidRPr="00C003FA" w:rsidRDefault="007466CE" w:rsidP="007466CE">
            <w:pPr>
              <w:keepNext/>
              <w:tabs>
                <w:tab w:val="decimal" w:pos="518"/>
              </w:tabs>
              <w:rPr>
                <w:sz w:val="15"/>
                <w:szCs w:val="15"/>
              </w:rPr>
            </w:pPr>
            <w:r w:rsidRPr="00C003FA">
              <w:rPr>
                <w:sz w:val="15"/>
                <w:szCs w:val="15"/>
              </w:rPr>
              <w:t>12,715.6</w:t>
            </w:r>
          </w:p>
        </w:tc>
        <w:tc>
          <w:tcPr>
            <w:tcW w:w="991" w:type="dxa"/>
            <w:tcBorders>
              <w:left w:val="single" w:sz="4" w:space="0" w:color="auto"/>
            </w:tcBorders>
            <w:vAlign w:val="bottom"/>
          </w:tcPr>
          <w:p w:rsidR="007466CE" w:rsidRPr="00C003FA" w:rsidRDefault="007466CE" w:rsidP="007466CE">
            <w:pPr>
              <w:tabs>
                <w:tab w:val="decimal" w:pos="461"/>
              </w:tabs>
              <w:rPr>
                <w:sz w:val="15"/>
                <w:szCs w:val="15"/>
              </w:rPr>
            </w:pPr>
            <w:r w:rsidRPr="00C003FA">
              <w:rPr>
                <w:sz w:val="15"/>
                <w:szCs w:val="15"/>
              </w:rPr>
              <w:t>11,316.1</w:t>
            </w:r>
          </w:p>
        </w:tc>
        <w:tc>
          <w:tcPr>
            <w:tcW w:w="991" w:type="dxa"/>
            <w:vAlign w:val="bottom"/>
          </w:tcPr>
          <w:p w:rsidR="007466CE" w:rsidRPr="00C003FA" w:rsidRDefault="00450641" w:rsidP="007466CE">
            <w:pPr>
              <w:tabs>
                <w:tab w:val="decimal" w:pos="461"/>
              </w:tabs>
              <w:rPr>
                <w:sz w:val="15"/>
                <w:szCs w:val="15"/>
              </w:rPr>
            </w:pPr>
            <w:r>
              <w:rPr>
                <w:sz w:val="15"/>
                <w:szCs w:val="15"/>
              </w:rPr>
              <w:t>15,364.7</w:t>
            </w:r>
          </w:p>
        </w:tc>
      </w:tr>
      <w:tr w:rsidR="007466CE" w:rsidRPr="00C003FA" w:rsidTr="006C0B9E">
        <w:trPr>
          <w:jc w:val="center"/>
        </w:trPr>
        <w:tc>
          <w:tcPr>
            <w:tcW w:w="3776" w:type="dxa"/>
            <w:vAlign w:val="bottom"/>
          </w:tcPr>
          <w:p w:rsidR="007466CE" w:rsidRPr="00C003FA" w:rsidRDefault="007466CE" w:rsidP="007466CE">
            <w:pPr>
              <w:keepNext/>
              <w:ind w:left="792" w:hanging="180"/>
              <w:jc w:val="left"/>
              <w:rPr>
                <w:sz w:val="15"/>
                <w:szCs w:val="15"/>
              </w:rPr>
            </w:pPr>
            <w:r w:rsidRPr="00C003FA">
              <w:rPr>
                <w:sz w:val="15"/>
                <w:szCs w:val="15"/>
              </w:rPr>
              <w:t>Percent Change from Prior Year</w:t>
            </w:r>
          </w:p>
        </w:tc>
        <w:tc>
          <w:tcPr>
            <w:tcW w:w="990" w:type="dxa"/>
            <w:vAlign w:val="bottom"/>
          </w:tcPr>
          <w:p w:rsidR="007466CE" w:rsidRPr="00C003FA" w:rsidRDefault="007466CE" w:rsidP="007466CE">
            <w:pPr>
              <w:keepNext/>
              <w:tabs>
                <w:tab w:val="decimal" w:pos="473"/>
              </w:tabs>
              <w:rPr>
                <w:sz w:val="15"/>
                <w:szCs w:val="15"/>
              </w:rPr>
            </w:pPr>
            <w:r w:rsidRPr="00C003FA">
              <w:rPr>
                <w:sz w:val="15"/>
                <w:szCs w:val="15"/>
              </w:rPr>
              <w:t>5.7%</w:t>
            </w:r>
          </w:p>
        </w:tc>
        <w:tc>
          <w:tcPr>
            <w:tcW w:w="991" w:type="dxa"/>
            <w:vAlign w:val="bottom"/>
          </w:tcPr>
          <w:p w:rsidR="007466CE" w:rsidRPr="00C003FA" w:rsidRDefault="007466CE" w:rsidP="007466CE">
            <w:pPr>
              <w:keepNext/>
              <w:tabs>
                <w:tab w:val="decimal" w:pos="485"/>
              </w:tabs>
              <w:jc w:val="left"/>
              <w:rPr>
                <w:sz w:val="15"/>
                <w:szCs w:val="15"/>
              </w:rPr>
            </w:pPr>
            <w:r w:rsidRPr="00C003FA">
              <w:rPr>
                <w:sz w:val="15"/>
                <w:szCs w:val="15"/>
              </w:rPr>
              <w:t>1.9%</w:t>
            </w:r>
          </w:p>
        </w:tc>
        <w:tc>
          <w:tcPr>
            <w:tcW w:w="990" w:type="dxa"/>
            <w:vAlign w:val="bottom"/>
          </w:tcPr>
          <w:p w:rsidR="007466CE" w:rsidRPr="00C003FA" w:rsidRDefault="007466CE" w:rsidP="007466CE">
            <w:pPr>
              <w:keepNext/>
              <w:tabs>
                <w:tab w:val="decimal" w:pos="473"/>
              </w:tabs>
              <w:rPr>
                <w:sz w:val="15"/>
                <w:szCs w:val="15"/>
              </w:rPr>
            </w:pPr>
            <w:r w:rsidRPr="00C003FA">
              <w:rPr>
                <w:sz w:val="15"/>
                <w:szCs w:val="15"/>
              </w:rPr>
              <w:t>7.6%</w:t>
            </w:r>
          </w:p>
        </w:tc>
        <w:tc>
          <w:tcPr>
            <w:tcW w:w="991" w:type="dxa"/>
            <w:vAlign w:val="bottom"/>
          </w:tcPr>
          <w:p w:rsidR="007466CE" w:rsidRPr="00C003FA" w:rsidRDefault="007466CE" w:rsidP="007466CE">
            <w:pPr>
              <w:keepNext/>
              <w:tabs>
                <w:tab w:val="decimal" w:pos="530"/>
              </w:tabs>
              <w:rPr>
                <w:sz w:val="15"/>
                <w:szCs w:val="15"/>
              </w:rPr>
            </w:pPr>
            <w:r w:rsidRPr="00C003FA">
              <w:rPr>
                <w:sz w:val="15"/>
                <w:szCs w:val="15"/>
              </w:rPr>
              <w:t>14.6%</w:t>
            </w:r>
          </w:p>
        </w:tc>
        <w:tc>
          <w:tcPr>
            <w:tcW w:w="990" w:type="dxa"/>
            <w:tcBorders>
              <w:right w:val="single" w:sz="4" w:space="0" w:color="auto"/>
            </w:tcBorders>
            <w:vAlign w:val="bottom"/>
          </w:tcPr>
          <w:p w:rsidR="007466CE" w:rsidRPr="00C003FA" w:rsidRDefault="007466CE" w:rsidP="007466CE">
            <w:pPr>
              <w:keepNext/>
              <w:tabs>
                <w:tab w:val="decimal" w:pos="518"/>
              </w:tabs>
              <w:rPr>
                <w:sz w:val="15"/>
                <w:szCs w:val="15"/>
              </w:rPr>
            </w:pPr>
            <w:r w:rsidRPr="00C003FA">
              <w:rPr>
                <w:sz w:val="15"/>
                <w:szCs w:val="15"/>
              </w:rPr>
              <w:t>(1.1)%</w:t>
            </w:r>
          </w:p>
        </w:tc>
        <w:tc>
          <w:tcPr>
            <w:tcW w:w="991" w:type="dxa"/>
            <w:tcBorders>
              <w:left w:val="single" w:sz="4" w:space="0" w:color="auto"/>
            </w:tcBorders>
            <w:vAlign w:val="bottom"/>
          </w:tcPr>
          <w:p w:rsidR="007466CE" w:rsidRPr="00C003FA" w:rsidRDefault="007466CE" w:rsidP="007466CE">
            <w:pPr>
              <w:tabs>
                <w:tab w:val="decimal" w:pos="461"/>
              </w:tabs>
              <w:rPr>
                <w:sz w:val="15"/>
                <w:szCs w:val="15"/>
              </w:rPr>
            </w:pPr>
            <w:r w:rsidRPr="00C003FA">
              <w:rPr>
                <w:sz w:val="15"/>
                <w:szCs w:val="15"/>
              </w:rPr>
              <w:t>(11.0)%</w:t>
            </w:r>
          </w:p>
        </w:tc>
        <w:tc>
          <w:tcPr>
            <w:tcW w:w="991" w:type="dxa"/>
            <w:vAlign w:val="bottom"/>
          </w:tcPr>
          <w:p w:rsidR="007466CE" w:rsidRPr="00C003FA" w:rsidRDefault="00450641" w:rsidP="007466CE">
            <w:pPr>
              <w:tabs>
                <w:tab w:val="decimal" w:pos="461"/>
              </w:tabs>
              <w:rPr>
                <w:sz w:val="15"/>
                <w:szCs w:val="15"/>
              </w:rPr>
            </w:pPr>
            <w:r>
              <w:rPr>
                <w:sz w:val="15"/>
                <w:szCs w:val="15"/>
              </w:rPr>
              <w:t>35.8%</w:t>
            </w:r>
          </w:p>
        </w:tc>
      </w:tr>
      <w:tr w:rsidR="007466CE" w:rsidRPr="00C003FA" w:rsidTr="006C0B9E">
        <w:trPr>
          <w:jc w:val="center"/>
        </w:trPr>
        <w:tc>
          <w:tcPr>
            <w:tcW w:w="3776" w:type="dxa"/>
            <w:vAlign w:val="bottom"/>
          </w:tcPr>
          <w:p w:rsidR="007466CE" w:rsidRPr="00C003FA" w:rsidRDefault="007466CE" w:rsidP="007466CE">
            <w:pPr>
              <w:keepNext/>
              <w:ind w:left="792" w:hanging="180"/>
              <w:jc w:val="left"/>
              <w:rPr>
                <w:sz w:val="15"/>
                <w:szCs w:val="15"/>
              </w:rPr>
            </w:pPr>
            <w:r w:rsidRPr="00C003FA">
              <w:rPr>
                <w:sz w:val="15"/>
                <w:szCs w:val="15"/>
              </w:rPr>
              <w:t>Reversions and Accounting Adjustments</w:t>
            </w:r>
            <w:r w:rsidRPr="00C003FA">
              <w:rPr>
                <w:sz w:val="15"/>
                <w:szCs w:val="15"/>
                <w:vertAlign w:val="superscript"/>
              </w:rPr>
              <w:t>9</w:t>
            </w:r>
          </w:p>
        </w:tc>
        <w:tc>
          <w:tcPr>
            <w:tcW w:w="990" w:type="dxa"/>
            <w:vAlign w:val="bottom"/>
          </w:tcPr>
          <w:p w:rsidR="007466CE" w:rsidRPr="00C003FA" w:rsidRDefault="007466CE" w:rsidP="007466CE">
            <w:pPr>
              <w:keepNext/>
              <w:tabs>
                <w:tab w:val="decimal" w:pos="473"/>
              </w:tabs>
              <w:rPr>
                <w:sz w:val="15"/>
                <w:szCs w:val="15"/>
              </w:rPr>
            </w:pPr>
            <w:r w:rsidRPr="00C003FA">
              <w:rPr>
                <w:sz w:val="15"/>
                <w:szCs w:val="15"/>
              </w:rPr>
              <w:t>(58.3)</w:t>
            </w:r>
          </w:p>
        </w:tc>
        <w:tc>
          <w:tcPr>
            <w:tcW w:w="991" w:type="dxa"/>
            <w:vAlign w:val="bottom"/>
          </w:tcPr>
          <w:p w:rsidR="007466CE" w:rsidRPr="00C003FA" w:rsidRDefault="007466CE" w:rsidP="007466CE">
            <w:pPr>
              <w:keepNext/>
              <w:tabs>
                <w:tab w:val="decimal" w:pos="485"/>
              </w:tabs>
              <w:jc w:val="left"/>
              <w:rPr>
                <w:sz w:val="15"/>
                <w:szCs w:val="15"/>
              </w:rPr>
            </w:pPr>
            <w:r w:rsidRPr="00C003FA">
              <w:rPr>
                <w:sz w:val="15"/>
                <w:szCs w:val="15"/>
              </w:rPr>
              <w:t>(205.7)</w:t>
            </w:r>
          </w:p>
        </w:tc>
        <w:tc>
          <w:tcPr>
            <w:tcW w:w="990" w:type="dxa"/>
            <w:vAlign w:val="bottom"/>
          </w:tcPr>
          <w:p w:rsidR="007466CE" w:rsidRPr="00C003FA" w:rsidRDefault="007466CE" w:rsidP="007466CE">
            <w:pPr>
              <w:keepNext/>
              <w:tabs>
                <w:tab w:val="decimal" w:pos="473"/>
              </w:tabs>
              <w:rPr>
                <w:sz w:val="15"/>
                <w:szCs w:val="15"/>
              </w:rPr>
            </w:pPr>
            <w:r w:rsidRPr="00C003FA">
              <w:rPr>
                <w:sz w:val="15"/>
                <w:szCs w:val="15"/>
              </w:rPr>
              <w:t>(123.3)</w:t>
            </w:r>
          </w:p>
        </w:tc>
        <w:tc>
          <w:tcPr>
            <w:tcW w:w="991" w:type="dxa"/>
            <w:vAlign w:val="bottom"/>
          </w:tcPr>
          <w:p w:rsidR="007466CE" w:rsidRPr="00C003FA" w:rsidRDefault="007466CE" w:rsidP="007466CE">
            <w:pPr>
              <w:keepNext/>
              <w:tabs>
                <w:tab w:val="decimal" w:pos="530"/>
              </w:tabs>
              <w:rPr>
                <w:sz w:val="15"/>
                <w:szCs w:val="15"/>
              </w:rPr>
            </w:pPr>
            <w:r w:rsidRPr="00C003FA">
              <w:rPr>
                <w:sz w:val="15"/>
                <w:szCs w:val="15"/>
              </w:rPr>
              <w:t>(170.3)</w:t>
            </w:r>
          </w:p>
        </w:tc>
        <w:tc>
          <w:tcPr>
            <w:tcW w:w="990" w:type="dxa"/>
            <w:tcBorders>
              <w:right w:val="single" w:sz="4" w:space="0" w:color="auto"/>
            </w:tcBorders>
            <w:vAlign w:val="bottom"/>
          </w:tcPr>
          <w:p w:rsidR="007466CE" w:rsidRPr="00C003FA" w:rsidRDefault="007466CE" w:rsidP="007466CE">
            <w:pPr>
              <w:keepNext/>
              <w:tabs>
                <w:tab w:val="decimal" w:pos="570"/>
              </w:tabs>
              <w:rPr>
                <w:sz w:val="15"/>
                <w:szCs w:val="15"/>
              </w:rPr>
            </w:pPr>
            <w:r w:rsidRPr="00C003FA">
              <w:rPr>
                <w:sz w:val="15"/>
                <w:szCs w:val="15"/>
              </w:rPr>
              <w:t>–</w:t>
            </w:r>
          </w:p>
        </w:tc>
        <w:tc>
          <w:tcPr>
            <w:tcW w:w="991" w:type="dxa"/>
            <w:tcBorders>
              <w:left w:val="single" w:sz="4" w:space="0" w:color="auto"/>
            </w:tcBorders>
            <w:vAlign w:val="bottom"/>
          </w:tcPr>
          <w:p w:rsidR="007466CE" w:rsidRPr="00C003FA" w:rsidRDefault="007466CE" w:rsidP="007466CE">
            <w:pPr>
              <w:tabs>
                <w:tab w:val="decimal" w:pos="540"/>
              </w:tabs>
              <w:rPr>
                <w:sz w:val="15"/>
                <w:szCs w:val="15"/>
              </w:rPr>
            </w:pPr>
            <w:r w:rsidRPr="00C003FA">
              <w:rPr>
                <w:sz w:val="15"/>
                <w:szCs w:val="15"/>
              </w:rPr>
              <w:t>–</w:t>
            </w:r>
          </w:p>
        </w:tc>
        <w:tc>
          <w:tcPr>
            <w:tcW w:w="991" w:type="dxa"/>
            <w:vAlign w:val="bottom"/>
          </w:tcPr>
          <w:p w:rsidR="007466CE" w:rsidRPr="00C003FA" w:rsidRDefault="00450641" w:rsidP="007466CE">
            <w:pPr>
              <w:tabs>
                <w:tab w:val="decimal" w:pos="540"/>
              </w:tabs>
              <w:rPr>
                <w:sz w:val="15"/>
                <w:szCs w:val="15"/>
              </w:rPr>
            </w:pPr>
            <w:r>
              <w:rPr>
                <w:sz w:val="15"/>
                <w:szCs w:val="15"/>
              </w:rPr>
              <w:t>--</w:t>
            </w:r>
          </w:p>
        </w:tc>
      </w:tr>
      <w:tr w:rsidR="007466CE" w:rsidRPr="00C003FA" w:rsidTr="006C0B9E">
        <w:trPr>
          <w:jc w:val="center"/>
        </w:trPr>
        <w:tc>
          <w:tcPr>
            <w:tcW w:w="3776" w:type="dxa"/>
            <w:vAlign w:val="bottom"/>
          </w:tcPr>
          <w:p w:rsidR="007466CE" w:rsidRPr="00C003FA" w:rsidRDefault="007466CE" w:rsidP="007466CE">
            <w:pPr>
              <w:keepNext/>
              <w:jc w:val="left"/>
              <w:rPr>
                <w:sz w:val="15"/>
                <w:szCs w:val="15"/>
              </w:rPr>
            </w:pPr>
          </w:p>
        </w:tc>
        <w:tc>
          <w:tcPr>
            <w:tcW w:w="990" w:type="dxa"/>
            <w:vAlign w:val="bottom"/>
          </w:tcPr>
          <w:p w:rsidR="007466CE" w:rsidRPr="00C003FA" w:rsidRDefault="007466CE" w:rsidP="007466CE">
            <w:pPr>
              <w:keepNext/>
              <w:tabs>
                <w:tab w:val="decimal" w:pos="473"/>
              </w:tabs>
              <w:rPr>
                <w:sz w:val="15"/>
                <w:szCs w:val="15"/>
              </w:rPr>
            </w:pPr>
          </w:p>
        </w:tc>
        <w:tc>
          <w:tcPr>
            <w:tcW w:w="991" w:type="dxa"/>
            <w:vAlign w:val="bottom"/>
          </w:tcPr>
          <w:p w:rsidR="007466CE" w:rsidRPr="00C003FA" w:rsidRDefault="007466CE" w:rsidP="007466CE">
            <w:pPr>
              <w:keepNext/>
              <w:tabs>
                <w:tab w:val="decimal" w:pos="485"/>
              </w:tabs>
              <w:jc w:val="left"/>
              <w:rPr>
                <w:sz w:val="15"/>
                <w:szCs w:val="15"/>
              </w:rPr>
            </w:pPr>
          </w:p>
        </w:tc>
        <w:tc>
          <w:tcPr>
            <w:tcW w:w="990" w:type="dxa"/>
            <w:vAlign w:val="bottom"/>
          </w:tcPr>
          <w:p w:rsidR="007466CE" w:rsidRPr="00C003FA" w:rsidRDefault="007466CE" w:rsidP="007466CE">
            <w:pPr>
              <w:keepNext/>
              <w:tabs>
                <w:tab w:val="decimal" w:pos="473"/>
              </w:tabs>
              <w:rPr>
                <w:sz w:val="15"/>
                <w:szCs w:val="15"/>
              </w:rPr>
            </w:pPr>
          </w:p>
        </w:tc>
        <w:tc>
          <w:tcPr>
            <w:tcW w:w="991" w:type="dxa"/>
            <w:vAlign w:val="bottom"/>
          </w:tcPr>
          <w:p w:rsidR="007466CE" w:rsidRPr="00C003FA" w:rsidRDefault="007466CE" w:rsidP="007466CE">
            <w:pPr>
              <w:keepNext/>
              <w:tabs>
                <w:tab w:val="decimal" w:pos="530"/>
              </w:tabs>
              <w:rPr>
                <w:sz w:val="15"/>
                <w:szCs w:val="15"/>
              </w:rPr>
            </w:pPr>
          </w:p>
        </w:tc>
        <w:tc>
          <w:tcPr>
            <w:tcW w:w="990" w:type="dxa"/>
            <w:tcBorders>
              <w:right w:val="single" w:sz="4" w:space="0" w:color="auto"/>
            </w:tcBorders>
            <w:vAlign w:val="bottom"/>
          </w:tcPr>
          <w:p w:rsidR="007466CE" w:rsidRPr="00C003FA" w:rsidRDefault="007466CE" w:rsidP="007466CE">
            <w:pPr>
              <w:keepNext/>
              <w:tabs>
                <w:tab w:val="decimal" w:pos="518"/>
              </w:tabs>
              <w:rPr>
                <w:sz w:val="15"/>
                <w:szCs w:val="15"/>
              </w:rPr>
            </w:pPr>
          </w:p>
        </w:tc>
        <w:tc>
          <w:tcPr>
            <w:tcW w:w="991" w:type="dxa"/>
            <w:tcBorders>
              <w:left w:val="single" w:sz="4" w:space="0" w:color="auto"/>
            </w:tcBorders>
            <w:vAlign w:val="bottom"/>
          </w:tcPr>
          <w:p w:rsidR="007466CE" w:rsidRPr="00C003FA" w:rsidRDefault="007466CE" w:rsidP="007466CE">
            <w:pPr>
              <w:tabs>
                <w:tab w:val="decimal" w:pos="461"/>
              </w:tabs>
              <w:rPr>
                <w:sz w:val="15"/>
                <w:szCs w:val="15"/>
              </w:rPr>
            </w:pPr>
          </w:p>
        </w:tc>
        <w:tc>
          <w:tcPr>
            <w:tcW w:w="991" w:type="dxa"/>
            <w:vAlign w:val="bottom"/>
          </w:tcPr>
          <w:p w:rsidR="007466CE" w:rsidRPr="00C003FA" w:rsidRDefault="007466CE" w:rsidP="007466CE">
            <w:pPr>
              <w:tabs>
                <w:tab w:val="decimal" w:pos="461"/>
              </w:tabs>
              <w:rPr>
                <w:sz w:val="15"/>
                <w:szCs w:val="15"/>
              </w:rPr>
            </w:pPr>
          </w:p>
        </w:tc>
      </w:tr>
      <w:tr w:rsidR="007466CE" w:rsidRPr="00C003FA" w:rsidTr="006C0B9E">
        <w:trPr>
          <w:jc w:val="center"/>
        </w:trPr>
        <w:tc>
          <w:tcPr>
            <w:tcW w:w="3776" w:type="dxa"/>
            <w:vAlign w:val="bottom"/>
          </w:tcPr>
          <w:p w:rsidR="007466CE" w:rsidRPr="00C003FA" w:rsidRDefault="007466CE" w:rsidP="007466CE">
            <w:pPr>
              <w:keepNext/>
              <w:jc w:val="left"/>
              <w:rPr>
                <w:sz w:val="15"/>
                <w:szCs w:val="15"/>
              </w:rPr>
            </w:pPr>
            <w:r w:rsidRPr="00C003FA">
              <w:rPr>
                <w:sz w:val="15"/>
                <w:szCs w:val="15"/>
              </w:rPr>
              <w:t>Reserves:</w:t>
            </w:r>
          </w:p>
        </w:tc>
        <w:tc>
          <w:tcPr>
            <w:tcW w:w="990" w:type="dxa"/>
            <w:vAlign w:val="bottom"/>
          </w:tcPr>
          <w:p w:rsidR="007466CE" w:rsidRPr="00C003FA" w:rsidRDefault="007466CE" w:rsidP="007466CE">
            <w:pPr>
              <w:keepNext/>
              <w:tabs>
                <w:tab w:val="decimal" w:pos="473"/>
              </w:tabs>
              <w:rPr>
                <w:sz w:val="15"/>
                <w:szCs w:val="15"/>
              </w:rPr>
            </w:pPr>
          </w:p>
        </w:tc>
        <w:tc>
          <w:tcPr>
            <w:tcW w:w="991" w:type="dxa"/>
            <w:vAlign w:val="bottom"/>
          </w:tcPr>
          <w:p w:rsidR="007466CE" w:rsidRPr="00C003FA" w:rsidRDefault="007466CE" w:rsidP="007466CE">
            <w:pPr>
              <w:keepNext/>
              <w:tabs>
                <w:tab w:val="decimal" w:pos="485"/>
              </w:tabs>
              <w:jc w:val="left"/>
              <w:rPr>
                <w:sz w:val="15"/>
                <w:szCs w:val="15"/>
              </w:rPr>
            </w:pPr>
          </w:p>
        </w:tc>
        <w:tc>
          <w:tcPr>
            <w:tcW w:w="990" w:type="dxa"/>
            <w:vAlign w:val="bottom"/>
          </w:tcPr>
          <w:p w:rsidR="007466CE" w:rsidRPr="00C003FA" w:rsidRDefault="007466CE" w:rsidP="007466CE">
            <w:pPr>
              <w:keepNext/>
              <w:tabs>
                <w:tab w:val="decimal" w:pos="473"/>
              </w:tabs>
              <w:rPr>
                <w:sz w:val="15"/>
                <w:szCs w:val="15"/>
              </w:rPr>
            </w:pPr>
          </w:p>
        </w:tc>
        <w:tc>
          <w:tcPr>
            <w:tcW w:w="991" w:type="dxa"/>
            <w:vAlign w:val="bottom"/>
          </w:tcPr>
          <w:p w:rsidR="007466CE" w:rsidRPr="00C003FA" w:rsidRDefault="007466CE" w:rsidP="007466CE">
            <w:pPr>
              <w:keepNext/>
              <w:tabs>
                <w:tab w:val="decimal" w:pos="530"/>
              </w:tabs>
              <w:rPr>
                <w:sz w:val="15"/>
                <w:szCs w:val="15"/>
              </w:rPr>
            </w:pPr>
          </w:p>
        </w:tc>
        <w:tc>
          <w:tcPr>
            <w:tcW w:w="990" w:type="dxa"/>
            <w:tcBorders>
              <w:right w:val="single" w:sz="4" w:space="0" w:color="auto"/>
            </w:tcBorders>
            <w:vAlign w:val="bottom"/>
          </w:tcPr>
          <w:p w:rsidR="007466CE" w:rsidRPr="00C003FA" w:rsidRDefault="007466CE" w:rsidP="007466CE">
            <w:pPr>
              <w:keepNext/>
              <w:tabs>
                <w:tab w:val="decimal" w:pos="518"/>
              </w:tabs>
              <w:rPr>
                <w:sz w:val="15"/>
                <w:szCs w:val="15"/>
              </w:rPr>
            </w:pPr>
          </w:p>
        </w:tc>
        <w:tc>
          <w:tcPr>
            <w:tcW w:w="991" w:type="dxa"/>
            <w:tcBorders>
              <w:left w:val="single" w:sz="4" w:space="0" w:color="auto"/>
            </w:tcBorders>
            <w:vAlign w:val="bottom"/>
          </w:tcPr>
          <w:p w:rsidR="007466CE" w:rsidRPr="00C003FA" w:rsidRDefault="007466CE" w:rsidP="007466CE">
            <w:pPr>
              <w:tabs>
                <w:tab w:val="decimal" w:pos="461"/>
              </w:tabs>
              <w:rPr>
                <w:sz w:val="15"/>
                <w:szCs w:val="15"/>
              </w:rPr>
            </w:pPr>
          </w:p>
        </w:tc>
        <w:tc>
          <w:tcPr>
            <w:tcW w:w="991" w:type="dxa"/>
            <w:vAlign w:val="bottom"/>
          </w:tcPr>
          <w:p w:rsidR="007466CE" w:rsidRPr="00C003FA" w:rsidRDefault="007466CE" w:rsidP="007466CE">
            <w:pPr>
              <w:tabs>
                <w:tab w:val="decimal" w:pos="461"/>
              </w:tabs>
              <w:rPr>
                <w:sz w:val="15"/>
                <w:szCs w:val="15"/>
              </w:rPr>
            </w:pPr>
          </w:p>
        </w:tc>
      </w:tr>
      <w:tr w:rsidR="007466CE" w:rsidRPr="00C003FA" w:rsidTr="006C0B9E">
        <w:trPr>
          <w:jc w:val="center"/>
        </w:trPr>
        <w:tc>
          <w:tcPr>
            <w:tcW w:w="3776" w:type="dxa"/>
            <w:vAlign w:val="bottom"/>
          </w:tcPr>
          <w:p w:rsidR="007466CE" w:rsidRPr="00C003FA" w:rsidRDefault="007466CE" w:rsidP="007466CE">
            <w:pPr>
              <w:keepNext/>
              <w:ind w:left="157"/>
              <w:jc w:val="left"/>
              <w:rPr>
                <w:sz w:val="15"/>
                <w:szCs w:val="15"/>
              </w:rPr>
            </w:pPr>
            <w:r w:rsidRPr="00C003FA">
              <w:rPr>
                <w:sz w:val="15"/>
                <w:szCs w:val="15"/>
              </w:rPr>
              <w:t>Year-End General Fund Balance</w:t>
            </w:r>
          </w:p>
        </w:tc>
        <w:tc>
          <w:tcPr>
            <w:tcW w:w="990" w:type="dxa"/>
            <w:vAlign w:val="bottom"/>
          </w:tcPr>
          <w:p w:rsidR="007466CE" w:rsidRPr="00C003FA" w:rsidRDefault="007466CE" w:rsidP="007466CE">
            <w:pPr>
              <w:keepNext/>
              <w:tabs>
                <w:tab w:val="decimal" w:pos="473"/>
              </w:tabs>
              <w:rPr>
                <w:sz w:val="15"/>
                <w:szCs w:val="15"/>
              </w:rPr>
            </w:pPr>
            <w:r w:rsidRPr="00C003FA">
              <w:rPr>
                <w:sz w:val="15"/>
                <w:szCs w:val="15"/>
              </w:rPr>
              <w:t>512.7</w:t>
            </w:r>
          </w:p>
        </w:tc>
        <w:tc>
          <w:tcPr>
            <w:tcW w:w="991" w:type="dxa"/>
            <w:vAlign w:val="bottom"/>
          </w:tcPr>
          <w:p w:rsidR="007466CE" w:rsidRPr="00C003FA" w:rsidRDefault="007466CE" w:rsidP="007466CE">
            <w:pPr>
              <w:keepNext/>
              <w:tabs>
                <w:tab w:val="decimal" w:pos="485"/>
              </w:tabs>
              <w:jc w:val="left"/>
              <w:rPr>
                <w:sz w:val="15"/>
                <w:szCs w:val="15"/>
              </w:rPr>
            </w:pPr>
            <w:r w:rsidRPr="00C003FA">
              <w:rPr>
                <w:sz w:val="15"/>
                <w:szCs w:val="15"/>
              </w:rPr>
              <w:t>614.5</w:t>
            </w:r>
          </w:p>
        </w:tc>
        <w:tc>
          <w:tcPr>
            <w:tcW w:w="990" w:type="dxa"/>
            <w:vAlign w:val="bottom"/>
          </w:tcPr>
          <w:p w:rsidR="007466CE" w:rsidRPr="00C003FA" w:rsidRDefault="007466CE" w:rsidP="007466CE">
            <w:pPr>
              <w:keepNext/>
              <w:tabs>
                <w:tab w:val="decimal" w:pos="473"/>
              </w:tabs>
              <w:rPr>
                <w:sz w:val="15"/>
                <w:szCs w:val="15"/>
              </w:rPr>
            </w:pPr>
            <w:r w:rsidRPr="00C003FA">
              <w:rPr>
                <w:sz w:val="15"/>
                <w:szCs w:val="15"/>
              </w:rPr>
              <w:t>1,344.8</w:t>
            </w:r>
          </w:p>
        </w:tc>
        <w:tc>
          <w:tcPr>
            <w:tcW w:w="991" w:type="dxa"/>
            <w:vAlign w:val="bottom"/>
          </w:tcPr>
          <w:p w:rsidR="007466CE" w:rsidRPr="00C003FA" w:rsidRDefault="007466CE" w:rsidP="007466CE">
            <w:pPr>
              <w:keepNext/>
              <w:tabs>
                <w:tab w:val="decimal" w:pos="530"/>
              </w:tabs>
              <w:rPr>
                <w:sz w:val="15"/>
                <w:szCs w:val="15"/>
              </w:rPr>
            </w:pPr>
            <w:r w:rsidRPr="00C003FA">
              <w:rPr>
                <w:sz w:val="15"/>
                <w:szCs w:val="15"/>
              </w:rPr>
              <w:t>1,262.5</w:t>
            </w:r>
          </w:p>
        </w:tc>
        <w:tc>
          <w:tcPr>
            <w:tcW w:w="990" w:type="dxa"/>
            <w:tcBorders>
              <w:right w:val="single" w:sz="4" w:space="0" w:color="auto"/>
            </w:tcBorders>
            <w:vAlign w:val="bottom"/>
          </w:tcPr>
          <w:p w:rsidR="007466CE" w:rsidRPr="00C003FA" w:rsidRDefault="007466CE" w:rsidP="007466CE">
            <w:pPr>
              <w:keepNext/>
              <w:tabs>
                <w:tab w:val="decimal" w:pos="518"/>
              </w:tabs>
              <w:rPr>
                <w:sz w:val="15"/>
                <w:szCs w:val="15"/>
              </w:rPr>
            </w:pPr>
            <w:r w:rsidRPr="00C003FA">
              <w:rPr>
                <w:sz w:val="15"/>
                <w:szCs w:val="15"/>
              </w:rPr>
              <w:t>1,664.1</w:t>
            </w:r>
          </w:p>
        </w:tc>
        <w:tc>
          <w:tcPr>
            <w:tcW w:w="991" w:type="dxa"/>
            <w:tcBorders>
              <w:left w:val="single" w:sz="4" w:space="0" w:color="auto"/>
            </w:tcBorders>
            <w:vAlign w:val="bottom"/>
          </w:tcPr>
          <w:p w:rsidR="007466CE" w:rsidRPr="00C003FA" w:rsidRDefault="007466CE" w:rsidP="007466CE">
            <w:pPr>
              <w:tabs>
                <w:tab w:val="decimal" w:pos="461"/>
              </w:tabs>
              <w:rPr>
                <w:sz w:val="15"/>
                <w:szCs w:val="15"/>
              </w:rPr>
            </w:pPr>
            <w:r w:rsidRPr="00C003FA">
              <w:rPr>
                <w:sz w:val="15"/>
                <w:szCs w:val="15"/>
              </w:rPr>
              <w:t>2,933.9</w:t>
            </w:r>
          </w:p>
        </w:tc>
        <w:tc>
          <w:tcPr>
            <w:tcW w:w="991" w:type="dxa"/>
            <w:vAlign w:val="bottom"/>
          </w:tcPr>
          <w:p w:rsidR="007466CE" w:rsidRPr="00C003FA" w:rsidRDefault="00450641" w:rsidP="007466CE">
            <w:pPr>
              <w:tabs>
                <w:tab w:val="decimal" w:pos="461"/>
              </w:tabs>
              <w:rPr>
                <w:sz w:val="15"/>
                <w:szCs w:val="15"/>
              </w:rPr>
            </w:pPr>
            <w:r>
              <w:rPr>
                <w:sz w:val="15"/>
                <w:szCs w:val="15"/>
              </w:rPr>
              <w:t>421.7</w:t>
            </w:r>
          </w:p>
        </w:tc>
      </w:tr>
      <w:tr w:rsidR="007466CE" w:rsidRPr="00C003FA" w:rsidTr="006C0B9E">
        <w:trPr>
          <w:jc w:val="center"/>
        </w:trPr>
        <w:tc>
          <w:tcPr>
            <w:tcW w:w="3776" w:type="dxa"/>
            <w:vAlign w:val="bottom"/>
          </w:tcPr>
          <w:p w:rsidR="007466CE" w:rsidRPr="00C003FA" w:rsidRDefault="007466CE" w:rsidP="007466CE">
            <w:pPr>
              <w:keepNext/>
              <w:ind w:left="427" w:hanging="90"/>
              <w:jc w:val="left"/>
              <w:rPr>
                <w:sz w:val="15"/>
                <w:szCs w:val="15"/>
              </w:rPr>
            </w:pPr>
            <w:r w:rsidRPr="00C003FA">
              <w:rPr>
                <w:sz w:val="15"/>
                <w:szCs w:val="15"/>
              </w:rPr>
              <w:t>Year-End General Fund as a % of Appropriations</w:t>
            </w:r>
          </w:p>
        </w:tc>
        <w:tc>
          <w:tcPr>
            <w:tcW w:w="990" w:type="dxa"/>
            <w:vAlign w:val="bottom"/>
          </w:tcPr>
          <w:p w:rsidR="007466CE" w:rsidRPr="00C003FA" w:rsidRDefault="007466CE" w:rsidP="007466CE">
            <w:pPr>
              <w:keepNext/>
              <w:tabs>
                <w:tab w:val="decimal" w:pos="473"/>
              </w:tabs>
              <w:rPr>
                <w:sz w:val="15"/>
                <w:szCs w:val="15"/>
              </w:rPr>
            </w:pPr>
            <w:r w:rsidRPr="00C003FA">
              <w:rPr>
                <w:sz w:val="15"/>
                <w:szCs w:val="15"/>
              </w:rPr>
              <w:t>5.5%</w:t>
            </w:r>
          </w:p>
        </w:tc>
        <w:tc>
          <w:tcPr>
            <w:tcW w:w="991" w:type="dxa"/>
            <w:vAlign w:val="bottom"/>
          </w:tcPr>
          <w:p w:rsidR="007466CE" w:rsidRPr="00C003FA" w:rsidRDefault="007466CE" w:rsidP="007466CE">
            <w:pPr>
              <w:keepNext/>
              <w:tabs>
                <w:tab w:val="decimal" w:pos="485"/>
              </w:tabs>
              <w:jc w:val="left"/>
              <w:rPr>
                <w:sz w:val="15"/>
                <w:szCs w:val="15"/>
              </w:rPr>
            </w:pPr>
            <w:r w:rsidRPr="00C003FA">
              <w:rPr>
                <w:sz w:val="15"/>
                <w:szCs w:val="15"/>
              </w:rPr>
              <w:t>6.3%</w:t>
            </w:r>
          </w:p>
        </w:tc>
        <w:tc>
          <w:tcPr>
            <w:tcW w:w="990" w:type="dxa"/>
            <w:vAlign w:val="bottom"/>
          </w:tcPr>
          <w:p w:rsidR="007466CE" w:rsidRPr="00C003FA" w:rsidRDefault="007466CE" w:rsidP="007466CE">
            <w:pPr>
              <w:keepNext/>
              <w:tabs>
                <w:tab w:val="decimal" w:pos="473"/>
              </w:tabs>
              <w:rPr>
                <w:sz w:val="15"/>
                <w:szCs w:val="15"/>
              </w:rPr>
            </w:pPr>
            <w:r w:rsidRPr="00C003FA">
              <w:rPr>
                <w:sz w:val="15"/>
                <w:szCs w:val="15"/>
              </w:rPr>
              <w:t>12.9%</w:t>
            </w:r>
          </w:p>
        </w:tc>
        <w:tc>
          <w:tcPr>
            <w:tcW w:w="991" w:type="dxa"/>
            <w:vAlign w:val="bottom"/>
          </w:tcPr>
          <w:p w:rsidR="007466CE" w:rsidRPr="00C003FA" w:rsidRDefault="007466CE" w:rsidP="007466CE">
            <w:pPr>
              <w:keepNext/>
              <w:tabs>
                <w:tab w:val="decimal" w:pos="530"/>
              </w:tabs>
              <w:rPr>
                <w:sz w:val="15"/>
                <w:szCs w:val="15"/>
              </w:rPr>
            </w:pPr>
            <w:r w:rsidRPr="00C003FA">
              <w:rPr>
                <w:sz w:val="15"/>
                <w:szCs w:val="15"/>
              </w:rPr>
              <w:t>11.2%</w:t>
            </w:r>
          </w:p>
        </w:tc>
        <w:tc>
          <w:tcPr>
            <w:tcW w:w="990" w:type="dxa"/>
            <w:tcBorders>
              <w:right w:val="single" w:sz="4" w:space="0" w:color="auto"/>
            </w:tcBorders>
            <w:vAlign w:val="bottom"/>
          </w:tcPr>
          <w:p w:rsidR="007466CE" w:rsidRPr="00C003FA" w:rsidRDefault="007466CE" w:rsidP="007466CE">
            <w:pPr>
              <w:keepNext/>
              <w:tabs>
                <w:tab w:val="decimal" w:pos="518"/>
              </w:tabs>
              <w:rPr>
                <w:sz w:val="15"/>
                <w:szCs w:val="15"/>
              </w:rPr>
            </w:pPr>
            <w:r w:rsidRPr="00C003FA">
              <w:rPr>
                <w:sz w:val="15"/>
                <w:szCs w:val="15"/>
              </w:rPr>
              <w:t>14.1%</w:t>
            </w:r>
          </w:p>
        </w:tc>
        <w:tc>
          <w:tcPr>
            <w:tcW w:w="991" w:type="dxa"/>
            <w:tcBorders>
              <w:left w:val="single" w:sz="4" w:space="0" w:color="auto"/>
            </w:tcBorders>
            <w:vAlign w:val="bottom"/>
          </w:tcPr>
          <w:p w:rsidR="007466CE" w:rsidRPr="00C003FA" w:rsidRDefault="007466CE" w:rsidP="007466CE">
            <w:pPr>
              <w:tabs>
                <w:tab w:val="decimal" w:pos="461"/>
              </w:tabs>
              <w:rPr>
                <w:sz w:val="15"/>
                <w:szCs w:val="15"/>
              </w:rPr>
            </w:pPr>
            <w:r w:rsidRPr="00C003FA">
              <w:rPr>
                <w:sz w:val="15"/>
                <w:szCs w:val="15"/>
              </w:rPr>
              <w:t>27.5%</w:t>
            </w:r>
          </w:p>
        </w:tc>
        <w:tc>
          <w:tcPr>
            <w:tcW w:w="991" w:type="dxa"/>
            <w:vAlign w:val="bottom"/>
          </w:tcPr>
          <w:p w:rsidR="007466CE" w:rsidRPr="00C003FA" w:rsidRDefault="00450641" w:rsidP="007466CE">
            <w:pPr>
              <w:tabs>
                <w:tab w:val="decimal" w:pos="461"/>
              </w:tabs>
              <w:rPr>
                <w:sz w:val="15"/>
                <w:szCs w:val="15"/>
              </w:rPr>
            </w:pPr>
            <w:r>
              <w:rPr>
                <w:sz w:val="15"/>
                <w:szCs w:val="15"/>
              </w:rPr>
              <w:t>2.9%</w:t>
            </w:r>
          </w:p>
        </w:tc>
      </w:tr>
      <w:tr w:rsidR="007466CE" w:rsidRPr="00C003FA" w:rsidTr="006C0B9E">
        <w:trPr>
          <w:jc w:val="center"/>
        </w:trPr>
        <w:tc>
          <w:tcPr>
            <w:tcW w:w="3776" w:type="dxa"/>
            <w:vAlign w:val="bottom"/>
          </w:tcPr>
          <w:p w:rsidR="007466CE" w:rsidRPr="00C003FA" w:rsidRDefault="007466CE" w:rsidP="007466CE">
            <w:pPr>
              <w:keepNext/>
              <w:ind w:left="432" w:hanging="95"/>
              <w:jc w:val="left"/>
              <w:rPr>
                <w:sz w:val="15"/>
                <w:szCs w:val="15"/>
              </w:rPr>
            </w:pPr>
            <w:r w:rsidRPr="00C003FA">
              <w:rPr>
                <w:sz w:val="15"/>
                <w:szCs w:val="15"/>
              </w:rPr>
              <w:t>General Fund Statutory Reserve Amount</w:t>
            </w:r>
            <w:r w:rsidRPr="00C003FA">
              <w:rPr>
                <w:sz w:val="15"/>
                <w:szCs w:val="15"/>
                <w:vertAlign w:val="superscript"/>
              </w:rPr>
              <w:t>10</w:t>
            </w:r>
          </w:p>
        </w:tc>
        <w:tc>
          <w:tcPr>
            <w:tcW w:w="990" w:type="dxa"/>
            <w:vAlign w:val="bottom"/>
          </w:tcPr>
          <w:p w:rsidR="007466CE" w:rsidRPr="00C003FA" w:rsidRDefault="007466CE" w:rsidP="007466CE">
            <w:pPr>
              <w:keepNext/>
              <w:tabs>
                <w:tab w:val="decimal" w:pos="473"/>
              </w:tabs>
              <w:rPr>
                <w:sz w:val="15"/>
                <w:szCs w:val="15"/>
              </w:rPr>
            </w:pPr>
            <w:r w:rsidRPr="00C003FA">
              <w:rPr>
                <w:sz w:val="15"/>
                <w:szCs w:val="15"/>
              </w:rPr>
              <w:t>463.9</w:t>
            </w:r>
          </w:p>
        </w:tc>
        <w:tc>
          <w:tcPr>
            <w:tcW w:w="991" w:type="dxa"/>
            <w:vAlign w:val="bottom"/>
          </w:tcPr>
          <w:p w:rsidR="007466CE" w:rsidRPr="00C003FA" w:rsidRDefault="007466CE" w:rsidP="007466CE">
            <w:pPr>
              <w:keepNext/>
              <w:tabs>
                <w:tab w:val="decimal" w:pos="485"/>
              </w:tabs>
              <w:jc w:val="left"/>
              <w:rPr>
                <w:sz w:val="15"/>
                <w:szCs w:val="15"/>
              </w:rPr>
            </w:pPr>
            <w:r w:rsidRPr="00C003FA">
              <w:rPr>
                <w:sz w:val="15"/>
                <w:szCs w:val="15"/>
              </w:rPr>
              <w:t>584.3</w:t>
            </w:r>
          </w:p>
        </w:tc>
        <w:tc>
          <w:tcPr>
            <w:tcW w:w="990" w:type="dxa"/>
            <w:vAlign w:val="bottom"/>
          </w:tcPr>
          <w:p w:rsidR="007466CE" w:rsidRPr="00C003FA" w:rsidRDefault="007466CE" w:rsidP="007466CE">
            <w:pPr>
              <w:keepNext/>
              <w:tabs>
                <w:tab w:val="decimal" w:pos="473"/>
              </w:tabs>
              <w:rPr>
                <w:sz w:val="15"/>
                <w:szCs w:val="15"/>
              </w:rPr>
            </w:pPr>
            <w:r w:rsidRPr="00C003FA">
              <w:rPr>
                <w:sz w:val="15"/>
                <w:szCs w:val="15"/>
              </w:rPr>
              <w:t>674.9</w:t>
            </w:r>
          </w:p>
        </w:tc>
        <w:tc>
          <w:tcPr>
            <w:tcW w:w="991" w:type="dxa"/>
            <w:vAlign w:val="bottom"/>
          </w:tcPr>
          <w:p w:rsidR="007466CE" w:rsidRPr="00C003FA" w:rsidRDefault="007466CE" w:rsidP="007466CE">
            <w:pPr>
              <w:keepNext/>
              <w:tabs>
                <w:tab w:val="decimal" w:pos="530"/>
              </w:tabs>
              <w:rPr>
                <w:sz w:val="15"/>
                <w:szCs w:val="15"/>
              </w:rPr>
            </w:pPr>
            <w:r w:rsidRPr="00C003FA">
              <w:rPr>
                <w:sz w:val="15"/>
                <w:szCs w:val="15"/>
              </w:rPr>
              <w:t>814.2</w:t>
            </w:r>
          </w:p>
        </w:tc>
        <w:tc>
          <w:tcPr>
            <w:tcW w:w="990" w:type="dxa"/>
            <w:tcBorders>
              <w:right w:val="single" w:sz="4" w:space="0" w:color="auto"/>
            </w:tcBorders>
            <w:vAlign w:val="bottom"/>
          </w:tcPr>
          <w:p w:rsidR="007466CE" w:rsidRPr="00C003FA" w:rsidRDefault="007466CE" w:rsidP="007466CE">
            <w:pPr>
              <w:keepNext/>
              <w:tabs>
                <w:tab w:val="decimal" w:pos="518"/>
              </w:tabs>
              <w:rPr>
                <w:sz w:val="15"/>
                <w:szCs w:val="15"/>
              </w:rPr>
            </w:pPr>
            <w:r w:rsidRPr="00C003FA">
              <w:rPr>
                <w:sz w:val="15"/>
                <w:szCs w:val="15"/>
              </w:rPr>
              <w:t>362.4</w:t>
            </w:r>
          </w:p>
        </w:tc>
        <w:tc>
          <w:tcPr>
            <w:tcW w:w="991" w:type="dxa"/>
            <w:tcBorders>
              <w:left w:val="single" w:sz="4" w:space="0" w:color="auto"/>
            </w:tcBorders>
            <w:vAlign w:val="bottom"/>
          </w:tcPr>
          <w:p w:rsidR="007466CE" w:rsidRPr="00C003FA" w:rsidRDefault="007466CE" w:rsidP="007466CE">
            <w:pPr>
              <w:tabs>
                <w:tab w:val="decimal" w:pos="461"/>
              </w:tabs>
              <w:rPr>
                <w:sz w:val="15"/>
                <w:szCs w:val="15"/>
              </w:rPr>
            </w:pPr>
            <w:r w:rsidRPr="00C003FA">
              <w:rPr>
                <w:sz w:val="15"/>
                <w:szCs w:val="15"/>
              </w:rPr>
              <w:t>304.8</w:t>
            </w:r>
          </w:p>
        </w:tc>
        <w:tc>
          <w:tcPr>
            <w:tcW w:w="991" w:type="dxa"/>
            <w:vAlign w:val="bottom"/>
          </w:tcPr>
          <w:p w:rsidR="007466CE" w:rsidRPr="00C003FA" w:rsidRDefault="00450641" w:rsidP="007466CE">
            <w:pPr>
              <w:tabs>
                <w:tab w:val="decimal" w:pos="461"/>
              </w:tabs>
              <w:rPr>
                <w:sz w:val="15"/>
                <w:szCs w:val="15"/>
              </w:rPr>
            </w:pPr>
            <w:r>
              <w:rPr>
                <w:sz w:val="15"/>
                <w:szCs w:val="15"/>
              </w:rPr>
              <w:t>421.7</w:t>
            </w:r>
          </w:p>
        </w:tc>
      </w:tr>
      <w:tr w:rsidR="007466CE" w:rsidRPr="00C003FA" w:rsidTr="006C0B9E">
        <w:trPr>
          <w:jc w:val="center"/>
        </w:trPr>
        <w:tc>
          <w:tcPr>
            <w:tcW w:w="3776" w:type="dxa"/>
            <w:vAlign w:val="bottom"/>
          </w:tcPr>
          <w:p w:rsidR="007466CE" w:rsidRPr="00C003FA" w:rsidRDefault="007466CE" w:rsidP="007466CE">
            <w:pPr>
              <w:keepNext/>
              <w:ind w:left="337"/>
              <w:jc w:val="left"/>
              <w:rPr>
                <w:sz w:val="15"/>
                <w:szCs w:val="15"/>
              </w:rPr>
            </w:pPr>
            <w:r w:rsidRPr="00C003FA">
              <w:rPr>
                <w:sz w:val="15"/>
                <w:szCs w:val="15"/>
              </w:rPr>
              <w:t>Unappropriated Reserve Percentage</w:t>
            </w:r>
            <w:r w:rsidRPr="00C003FA">
              <w:rPr>
                <w:sz w:val="15"/>
                <w:szCs w:val="15"/>
                <w:vertAlign w:val="superscript"/>
              </w:rPr>
              <w:t>10</w:t>
            </w:r>
          </w:p>
        </w:tc>
        <w:tc>
          <w:tcPr>
            <w:tcW w:w="990" w:type="dxa"/>
            <w:vAlign w:val="bottom"/>
          </w:tcPr>
          <w:p w:rsidR="007466CE" w:rsidRPr="00C003FA" w:rsidRDefault="007466CE" w:rsidP="007466CE">
            <w:pPr>
              <w:keepNext/>
              <w:tabs>
                <w:tab w:val="decimal" w:pos="473"/>
              </w:tabs>
              <w:rPr>
                <w:sz w:val="15"/>
                <w:szCs w:val="15"/>
              </w:rPr>
            </w:pPr>
            <w:r w:rsidRPr="00C003FA">
              <w:rPr>
                <w:sz w:val="15"/>
                <w:szCs w:val="15"/>
              </w:rPr>
              <w:t>5.6%</w:t>
            </w:r>
          </w:p>
        </w:tc>
        <w:tc>
          <w:tcPr>
            <w:tcW w:w="991" w:type="dxa"/>
            <w:vAlign w:val="bottom"/>
          </w:tcPr>
          <w:p w:rsidR="007466CE" w:rsidRPr="00C003FA" w:rsidRDefault="007466CE" w:rsidP="007466CE">
            <w:pPr>
              <w:keepNext/>
              <w:tabs>
                <w:tab w:val="decimal" w:pos="485"/>
              </w:tabs>
              <w:jc w:val="left"/>
              <w:rPr>
                <w:sz w:val="15"/>
                <w:szCs w:val="15"/>
              </w:rPr>
            </w:pPr>
            <w:r w:rsidRPr="00C003FA">
              <w:rPr>
                <w:sz w:val="15"/>
                <w:szCs w:val="15"/>
              </w:rPr>
              <w:t>6.0%</w:t>
            </w:r>
          </w:p>
        </w:tc>
        <w:tc>
          <w:tcPr>
            <w:tcW w:w="990" w:type="dxa"/>
            <w:vAlign w:val="bottom"/>
          </w:tcPr>
          <w:p w:rsidR="007466CE" w:rsidRPr="00C003FA" w:rsidRDefault="007466CE" w:rsidP="007466CE">
            <w:pPr>
              <w:keepNext/>
              <w:tabs>
                <w:tab w:val="decimal" w:pos="473"/>
              </w:tabs>
              <w:rPr>
                <w:sz w:val="15"/>
                <w:szCs w:val="15"/>
              </w:rPr>
            </w:pPr>
            <w:r w:rsidRPr="00C003FA">
              <w:rPr>
                <w:sz w:val="15"/>
                <w:szCs w:val="15"/>
              </w:rPr>
              <w:t>6.5%</w:t>
            </w:r>
          </w:p>
        </w:tc>
        <w:tc>
          <w:tcPr>
            <w:tcW w:w="991" w:type="dxa"/>
            <w:vAlign w:val="bottom"/>
          </w:tcPr>
          <w:p w:rsidR="007466CE" w:rsidRPr="00C003FA" w:rsidRDefault="007466CE" w:rsidP="007466CE">
            <w:pPr>
              <w:keepNext/>
              <w:tabs>
                <w:tab w:val="decimal" w:pos="610"/>
              </w:tabs>
              <w:rPr>
                <w:sz w:val="15"/>
                <w:szCs w:val="15"/>
              </w:rPr>
            </w:pPr>
            <w:r w:rsidRPr="00C003FA">
              <w:rPr>
                <w:sz w:val="15"/>
                <w:szCs w:val="15"/>
              </w:rPr>
              <w:t>–</w:t>
            </w:r>
          </w:p>
        </w:tc>
        <w:tc>
          <w:tcPr>
            <w:tcW w:w="990" w:type="dxa"/>
            <w:tcBorders>
              <w:right w:val="single" w:sz="4" w:space="0" w:color="auto"/>
            </w:tcBorders>
            <w:vAlign w:val="bottom"/>
          </w:tcPr>
          <w:p w:rsidR="007466CE" w:rsidRPr="00C003FA" w:rsidRDefault="007466CE" w:rsidP="007466CE">
            <w:pPr>
              <w:keepNext/>
              <w:tabs>
                <w:tab w:val="decimal" w:pos="610"/>
              </w:tabs>
              <w:rPr>
                <w:sz w:val="15"/>
                <w:szCs w:val="15"/>
              </w:rPr>
            </w:pPr>
            <w:r w:rsidRPr="00C003FA">
              <w:rPr>
                <w:sz w:val="15"/>
                <w:szCs w:val="15"/>
              </w:rPr>
              <w:t>–</w:t>
            </w:r>
          </w:p>
        </w:tc>
        <w:tc>
          <w:tcPr>
            <w:tcW w:w="991" w:type="dxa"/>
            <w:tcBorders>
              <w:left w:val="single" w:sz="4" w:space="0" w:color="auto"/>
            </w:tcBorders>
            <w:vAlign w:val="bottom"/>
          </w:tcPr>
          <w:p w:rsidR="007466CE" w:rsidRPr="00C003FA" w:rsidRDefault="007466CE" w:rsidP="007466CE">
            <w:pPr>
              <w:tabs>
                <w:tab w:val="decimal" w:pos="550"/>
              </w:tabs>
              <w:rPr>
                <w:sz w:val="15"/>
                <w:szCs w:val="15"/>
              </w:rPr>
            </w:pPr>
            <w:r w:rsidRPr="00C003FA">
              <w:rPr>
                <w:sz w:val="15"/>
                <w:szCs w:val="15"/>
              </w:rPr>
              <w:t>–</w:t>
            </w:r>
          </w:p>
        </w:tc>
        <w:tc>
          <w:tcPr>
            <w:tcW w:w="991" w:type="dxa"/>
            <w:vAlign w:val="bottom"/>
          </w:tcPr>
          <w:p w:rsidR="007466CE" w:rsidRPr="00C003FA" w:rsidRDefault="00450641" w:rsidP="007466CE">
            <w:pPr>
              <w:tabs>
                <w:tab w:val="decimal" w:pos="550"/>
              </w:tabs>
              <w:rPr>
                <w:sz w:val="15"/>
                <w:szCs w:val="15"/>
              </w:rPr>
            </w:pPr>
            <w:r>
              <w:rPr>
                <w:sz w:val="15"/>
                <w:szCs w:val="15"/>
              </w:rPr>
              <w:t>--</w:t>
            </w:r>
          </w:p>
        </w:tc>
      </w:tr>
      <w:tr w:rsidR="007466CE" w:rsidRPr="00C003FA" w:rsidTr="006C0B9E">
        <w:trPr>
          <w:jc w:val="center"/>
        </w:trPr>
        <w:tc>
          <w:tcPr>
            <w:tcW w:w="3776" w:type="dxa"/>
            <w:vAlign w:val="bottom"/>
          </w:tcPr>
          <w:p w:rsidR="007466CE" w:rsidRPr="00C003FA" w:rsidRDefault="007466CE" w:rsidP="007466CE">
            <w:pPr>
              <w:keepNext/>
              <w:ind w:left="432" w:hanging="95"/>
              <w:jc w:val="left"/>
              <w:rPr>
                <w:sz w:val="15"/>
                <w:szCs w:val="15"/>
              </w:rPr>
            </w:pPr>
            <w:r w:rsidRPr="00C003FA">
              <w:rPr>
                <w:sz w:val="15"/>
                <w:szCs w:val="15"/>
              </w:rPr>
              <w:t>Amount Above (Below) Statutory Reserve</w:t>
            </w:r>
          </w:p>
        </w:tc>
        <w:tc>
          <w:tcPr>
            <w:tcW w:w="990" w:type="dxa"/>
            <w:vAlign w:val="bottom"/>
          </w:tcPr>
          <w:p w:rsidR="007466CE" w:rsidRPr="00C003FA" w:rsidRDefault="007466CE" w:rsidP="007466CE">
            <w:pPr>
              <w:keepNext/>
              <w:tabs>
                <w:tab w:val="decimal" w:pos="473"/>
              </w:tabs>
              <w:rPr>
                <w:sz w:val="15"/>
                <w:szCs w:val="15"/>
              </w:rPr>
            </w:pPr>
            <w:r w:rsidRPr="00C003FA">
              <w:rPr>
                <w:sz w:val="15"/>
                <w:szCs w:val="15"/>
              </w:rPr>
              <w:t>48.8</w:t>
            </w:r>
          </w:p>
        </w:tc>
        <w:tc>
          <w:tcPr>
            <w:tcW w:w="991" w:type="dxa"/>
            <w:vAlign w:val="bottom"/>
          </w:tcPr>
          <w:p w:rsidR="007466CE" w:rsidRPr="00C003FA" w:rsidRDefault="007466CE" w:rsidP="007466CE">
            <w:pPr>
              <w:keepNext/>
              <w:tabs>
                <w:tab w:val="decimal" w:pos="485"/>
              </w:tabs>
              <w:jc w:val="left"/>
              <w:rPr>
                <w:sz w:val="15"/>
                <w:szCs w:val="15"/>
              </w:rPr>
            </w:pPr>
            <w:r w:rsidRPr="00C003FA">
              <w:rPr>
                <w:sz w:val="15"/>
                <w:szCs w:val="15"/>
              </w:rPr>
              <w:t>30.2</w:t>
            </w:r>
          </w:p>
        </w:tc>
        <w:tc>
          <w:tcPr>
            <w:tcW w:w="990" w:type="dxa"/>
            <w:vAlign w:val="bottom"/>
          </w:tcPr>
          <w:p w:rsidR="007466CE" w:rsidRPr="00C003FA" w:rsidRDefault="007466CE" w:rsidP="007466CE">
            <w:pPr>
              <w:keepNext/>
              <w:tabs>
                <w:tab w:val="decimal" w:pos="473"/>
              </w:tabs>
              <w:rPr>
                <w:sz w:val="15"/>
                <w:szCs w:val="15"/>
              </w:rPr>
            </w:pPr>
            <w:r w:rsidRPr="00C003FA">
              <w:rPr>
                <w:sz w:val="15"/>
                <w:szCs w:val="15"/>
              </w:rPr>
              <w:t>669.9</w:t>
            </w:r>
          </w:p>
        </w:tc>
        <w:tc>
          <w:tcPr>
            <w:tcW w:w="991" w:type="dxa"/>
            <w:vAlign w:val="bottom"/>
          </w:tcPr>
          <w:p w:rsidR="007466CE" w:rsidRPr="00C003FA" w:rsidRDefault="007466CE" w:rsidP="007466CE">
            <w:pPr>
              <w:keepNext/>
              <w:tabs>
                <w:tab w:val="decimal" w:pos="530"/>
              </w:tabs>
              <w:rPr>
                <w:sz w:val="15"/>
                <w:szCs w:val="15"/>
              </w:rPr>
            </w:pPr>
            <w:r w:rsidRPr="00C003FA">
              <w:rPr>
                <w:sz w:val="15"/>
                <w:szCs w:val="15"/>
              </w:rPr>
              <w:t>448.3</w:t>
            </w:r>
          </w:p>
        </w:tc>
        <w:tc>
          <w:tcPr>
            <w:tcW w:w="990" w:type="dxa"/>
            <w:tcBorders>
              <w:right w:val="single" w:sz="4" w:space="0" w:color="auto"/>
            </w:tcBorders>
            <w:vAlign w:val="bottom"/>
          </w:tcPr>
          <w:p w:rsidR="007466CE" w:rsidRPr="00C003FA" w:rsidRDefault="007466CE" w:rsidP="007466CE">
            <w:pPr>
              <w:keepNext/>
              <w:tabs>
                <w:tab w:val="decimal" w:pos="518"/>
              </w:tabs>
              <w:rPr>
                <w:sz w:val="15"/>
                <w:szCs w:val="15"/>
              </w:rPr>
            </w:pPr>
            <w:r w:rsidRPr="00C003FA">
              <w:rPr>
                <w:sz w:val="15"/>
                <w:szCs w:val="15"/>
              </w:rPr>
              <w:t>1,301.7</w:t>
            </w:r>
          </w:p>
        </w:tc>
        <w:tc>
          <w:tcPr>
            <w:tcW w:w="991" w:type="dxa"/>
            <w:tcBorders>
              <w:left w:val="single" w:sz="4" w:space="0" w:color="auto"/>
            </w:tcBorders>
            <w:vAlign w:val="bottom"/>
          </w:tcPr>
          <w:p w:rsidR="007466CE" w:rsidRPr="00C003FA" w:rsidRDefault="007466CE" w:rsidP="007466CE">
            <w:pPr>
              <w:tabs>
                <w:tab w:val="decimal" w:pos="461"/>
              </w:tabs>
              <w:rPr>
                <w:sz w:val="15"/>
                <w:szCs w:val="15"/>
              </w:rPr>
            </w:pPr>
            <w:r w:rsidRPr="00C003FA">
              <w:rPr>
                <w:sz w:val="15"/>
                <w:szCs w:val="15"/>
              </w:rPr>
              <w:t>2,629.1</w:t>
            </w:r>
          </w:p>
        </w:tc>
        <w:tc>
          <w:tcPr>
            <w:tcW w:w="991" w:type="dxa"/>
            <w:vAlign w:val="bottom"/>
          </w:tcPr>
          <w:p w:rsidR="007466CE" w:rsidRPr="00C003FA" w:rsidRDefault="007466CE" w:rsidP="007466CE">
            <w:pPr>
              <w:tabs>
                <w:tab w:val="decimal" w:pos="461"/>
              </w:tabs>
              <w:rPr>
                <w:sz w:val="15"/>
                <w:szCs w:val="15"/>
              </w:rPr>
            </w:pPr>
          </w:p>
        </w:tc>
      </w:tr>
      <w:tr w:rsidR="00CC52EE" w:rsidRPr="00C003FA" w:rsidTr="006C0B9E">
        <w:trPr>
          <w:jc w:val="center"/>
        </w:trPr>
        <w:tc>
          <w:tcPr>
            <w:tcW w:w="3776" w:type="dxa"/>
            <w:vAlign w:val="bottom"/>
          </w:tcPr>
          <w:p w:rsidR="00CC52EE" w:rsidRPr="00CC52EE" w:rsidRDefault="00CC52EE" w:rsidP="006C0B9E">
            <w:pPr>
              <w:keepNext/>
              <w:ind w:left="432" w:hanging="95"/>
              <w:jc w:val="left"/>
              <w:rPr>
                <w:i/>
                <w:sz w:val="15"/>
                <w:szCs w:val="15"/>
              </w:rPr>
            </w:pPr>
          </w:p>
        </w:tc>
        <w:tc>
          <w:tcPr>
            <w:tcW w:w="990" w:type="dxa"/>
            <w:vAlign w:val="bottom"/>
          </w:tcPr>
          <w:p w:rsidR="00CC52EE" w:rsidRPr="00C003FA" w:rsidRDefault="00CC52EE" w:rsidP="006C0B9E">
            <w:pPr>
              <w:keepNext/>
              <w:tabs>
                <w:tab w:val="decimal" w:pos="485"/>
              </w:tabs>
              <w:rPr>
                <w:sz w:val="15"/>
                <w:szCs w:val="15"/>
              </w:rPr>
            </w:pPr>
          </w:p>
        </w:tc>
        <w:tc>
          <w:tcPr>
            <w:tcW w:w="991" w:type="dxa"/>
            <w:vAlign w:val="bottom"/>
          </w:tcPr>
          <w:p w:rsidR="00CC52EE" w:rsidRPr="00C003FA" w:rsidRDefault="00CC52EE" w:rsidP="006C0B9E">
            <w:pPr>
              <w:keepNext/>
              <w:tabs>
                <w:tab w:val="decimal" w:pos="473"/>
              </w:tabs>
              <w:rPr>
                <w:sz w:val="15"/>
                <w:szCs w:val="15"/>
              </w:rPr>
            </w:pPr>
          </w:p>
        </w:tc>
        <w:tc>
          <w:tcPr>
            <w:tcW w:w="990" w:type="dxa"/>
            <w:vAlign w:val="bottom"/>
          </w:tcPr>
          <w:p w:rsidR="00CC52EE" w:rsidRPr="00C003FA" w:rsidRDefault="00CC52EE" w:rsidP="006C0B9E">
            <w:pPr>
              <w:keepNext/>
              <w:tabs>
                <w:tab w:val="decimal" w:pos="485"/>
              </w:tabs>
              <w:jc w:val="left"/>
              <w:rPr>
                <w:sz w:val="15"/>
                <w:szCs w:val="15"/>
              </w:rPr>
            </w:pPr>
          </w:p>
        </w:tc>
        <w:tc>
          <w:tcPr>
            <w:tcW w:w="991" w:type="dxa"/>
            <w:vAlign w:val="bottom"/>
          </w:tcPr>
          <w:p w:rsidR="00CC52EE" w:rsidRPr="00C003FA" w:rsidRDefault="00CC52EE" w:rsidP="006C0B9E">
            <w:pPr>
              <w:keepNext/>
              <w:tabs>
                <w:tab w:val="decimal" w:pos="473"/>
              </w:tabs>
              <w:rPr>
                <w:sz w:val="15"/>
                <w:szCs w:val="15"/>
              </w:rPr>
            </w:pPr>
          </w:p>
        </w:tc>
        <w:tc>
          <w:tcPr>
            <w:tcW w:w="990" w:type="dxa"/>
            <w:tcBorders>
              <w:right w:val="single" w:sz="4" w:space="0" w:color="auto"/>
            </w:tcBorders>
            <w:vAlign w:val="bottom"/>
          </w:tcPr>
          <w:p w:rsidR="00CC52EE" w:rsidRPr="00C003FA" w:rsidRDefault="00CC52EE" w:rsidP="006C0B9E">
            <w:pPr>
              <w:keepNext/>
              <w:tabs>
                <w:tab w:val="decimal" w:pos="530"/>
              </w:tabs>
              <w:rPr>
                <w:sz w:val="15"/>
                <w:szCs w:val="15"/>
              </w:rPr>
            </w:pPr>
          </w:p>
        </w:tc>
        <w:tc>
          <w:tcPr>
            <w:tcW w:w="991" w:type="dxa"/>
            <w:tcBorders>
              <w:left w:val="single" w:sz="4" w:space="0" w:color="auto"/>
            </w:tcBorders>
            <w:vAlign w:val="bottom"/>
          </w:tcPr>
          <w:p w:rsidR="00CC52EE" w:rsidRPr="00C003FA" w:rsidRDefault="00CC52EE" w:rsidP="006C0B9E">
            <w:pPr>
              <w:keepNext/>
              <w:tabs>
                <w:tab w:val="decimal" w:pos="518"/>
              </w:tabs>
              <w:rPr>
                <w:sz w:val="15"/>
                <w:szCs w:val="15"/>
              </w:rPr>
            </w:pPr>
          </w:p>
        </w:tc>
        <w:tc>
          <w:tcPr>
            <w:tcW w:w="991" w:type="dxa"/>
            <w:vAlign w:val="bottom"/>
          </w:tcPr>
          <w:p w:rsidR="00CC52EE" w:rsidRPr="00C003FA" w:rsidRDefault="00CC52EE" w:rsidP="006C0B9E">
            <w:pPr>
              <w:tabs>
                <w:tab w:val="decimal" w:pos="461"/>
              </w:tabs>
              <w:rPr>
                <w:sz w:val="15"/>
                <w:szCs w:val="15"/>
              </w:rPr>
            </w:pPr>
          </w:p>
        </w:tc>
      </w:tr>
      <w:tr w:rsidR="00CC52EE" w:rsidRPr="00C003FA" w:rsidTr="006C0B9E">
        <w:trPr>
          <w:jc w:val="center"/>
        </w:trPr>
        <w:tc>
          <w:tcPr>
            <w:tcW w:w="3776" w:type="dxa"/>
            <w:vAlign w:val="bottom"/>
          </w:tcPr>
          <w:p w:rsidR="00CC52EE" w:rsidRPr="00CC52EE" w:rsidRDefault="00CC52EE" w:rsidP="006C0B9E">
            <w:pPr>
              <w:keepNext/>
              <w:ind w:left="432" w:hanging="95"/>
              <w:jc w:val="left"/>
              <w:rPr>
                <w:i/>
                <w:sz w:val="15"/>
                <w:szCs w:val="15"/>
              </w:rPr>
            </w:pPr>
            <w:r w:rsidRPr="00CC52EE">
              <w:rPr>
                <w:i/>
                <w:sz w:val="15"/>
                <w:szCs w:val="15"/>
              </w:rPr>
              <w:t>Footnotes on following page:</w:t>
            </w:r>
          </w:p>
        </w:tc>
        <w:tc>
          <w:tcPr>
            <w:tcW w:w="990" w:type="dxa"/>
            <w:vAlign w:val="bottom"/>
          </w:tcPr>
          <w:p w:rsidR="00CC52EE" w:rsidRPr="00C003FA" w:rsidRDefault="00CC52EE" w:rsidP="006C0B9E">
            <w:pPr>
              <w:keepNext/>
              <w:tabs>
                <w:tab w:val="decimal" w:pos="485"/>
              </w:tabs>
              <w:rPr>
                <w:sz w:val="15"/>
                <w:szCs w:val="15"/>
              </w:rPr>
            </w:pPr>
          </w:p>
        </w:tc>
        <w:tc>
          <w:tcPr>
            <w:tcW w:w="991" w:type="dxa"/>
            <w:vAlign w:val="bottom"/>
          </w:tcPr>
          <w:p w:rsidR="00CC52EE" w:rsidRPr="00C003FA" w:rsidRDefault="00CC52EE" w:rsidP="006C0B9E">
            <w:pPr>
              <w:keepNext/>
              <w:tabs>
                <w:tab w:val="decimal" w:pos="473"/>
              </w:tabs>
              <w:rPr>
                <w:sz w:val="15"/>
                <w:szCs w:val="15"/>
              </w:rPr>
            </w:pPr>
          </w:p>
        </w:tc>
        <w:tc>
          <w:tcPr>
            <w:tcW w:w="990" w:type="dxa"/>
            <w:vAlign w:val="bottom"/>
          </w:tcPr>
          <w:p w:rsidR="00CC52EE" w:rsidRPr="00C003FA" w:rsidRDefault="00CC52EE" w:rsidP="006C0B9E">
            <w:pPr>
              <w:keepNext/>
              <w:tabs>
                <w:tab w:val="decimal" w:pos="485"/>
              </w:tabs>
              <w:jc w:val="left"/>
              <w:rPr>
                <w:sz w:val="15"/>
                <w:szCs w:val="15"/>
              </w:rPr>
            </w:pPr>
          </w:p>
        </w:tc>
        <w:tc>
          <w:tcPr>
            <w:tcW w:w="991" w:type="dxa"/>
            <w:vAlign w:val="bottom"/>
          </w:tcPr>
          <w:p w:rsidR="00CC52EE" w:rsidRPr="00C003FA" w:rsidRDefault="00CC52EE" w:rsidP="006C0B9E">
            <w:pPr>
              <w:keepNext/>
              <w:tabs>
                <w:tab w:val="decimal" w:pos="473"/>
              </w:tabs>
              <w:rPr>
                <w:sz w:val="15"/>
                <w:szCs w:val="15"/>
              </w:rPr>
            </w:pPr>
          </w:p>
        </w:tc>
        <w:tc>
          <w:tcPr>
            <w:tcW w:w="990" w:type="dxa"/>
            <w:tcBorders>
              <w:right w:val="single" w:sz="4" w:space="0" w:color="auto"/>
            </w:tcBorders>
            <w:vAlign w:val="bottom"/>
          </w:tcPr>
          <w:p w:rsidR="00CC52EE" w:rsidRPr="00C003FA" w:rsidRDefault="00CC52EE" w:rsidP="006C0B9E">
            <w:pPr>
              <w:keepNext/>
              <w:tabs>
                <w:tab w:val="decimal" w:pos="530"/>
              </w:tabs>
              <w:rPr>
                <w:sz w:val="15"/>
                <w:szCs w:val="15"/>
              </w:rPr>
            </w:pPr>
          </w:p>
        </w:tc>
        <w:tc>
          <w:tcPr>
            <w:tcW w:w="991" w:type="dxa"/>
            <w:tcBorders>
              <w:left w:val="single" w:sz="4" w:space="0" w:color="auto"/>
            </w:tcBorders>
            <w:vAlign w:val="bottom"/>
          </w:tcPr>
          <w:p w:rsidR="00CC52EE" w:rsidRPr="00C003FA" w:rsidRDefault="00CC52EE" w:rsidP="006C0B9E">
            <w:pPr>
              <w:keepNext/>
              <w:tabs>
                <w:tab w:val="decimal" w:pos="518"/>
              </w:tabs>
              <w:rPr>
                <w:sz w:val="15"/>
                <w:szCs w:val="15"/>
              </w:rPr>
            </w:pPr>
          </w:p>
        </w:tc>
        <w:tc>
          <w:tcPr>
            <w:tcW w:w="991" w:type="dxa"/>
            <w:vAlign w:val="bottom"/>
          </w:tcPr>
          <w:p w:rsidR="00CC52EE" w:rsidRPr="00C003FA" w:rsidRDefault="00CC52EE" w:rsidP="006C0B9E">
            <w:pPr>
              <w:tabs>
                <w:tab w:val="decimal" w:pos="461"/>
              </w:tabs>
              <w:rPr>
                <w:sz w:val="15"/>
                <w:szCs w:val="15"/>
              </w:rPr>
            </w:pPr>
          </w:p>
        </w:tc>
      </w:tr>
    </w:tbl>
    <w:p w:rsidR="00CC52EE" w:rsidRDefault="00CC52EE" w:rsidP="00DD4B54">
      <w:pPr>
        <w:pStyle w:val="OStablenotes"/>
        <w:keepNext w:val="0"/>
        <w:spacing w:before="80" w:after="0"/>
        <w:rPr>
          <w:spacing w:val="-3"/>
        </w:rPr>
      </w:pPr>
    </w:p>
    <w:p w:rsidR="00CC52EE" w:rsidRDefault="00CC52EE">
      <w:pPr>
        <w:spacing w:after="160" w:line="259" w:lineRule="auto"/>
        <w:jc w:val="left"/>
        <w:rPr>
          <w:rFonts w:eastAsia="Times New Roman" w:cs="Times New Roman"/>
          <w:color w:val="000000"/>
          <w:spacing w:val="-3"/>
          <w:sz w:val="16"/>
          <w:szCs w:val="22"/>
        </w:rPr>
      </w:pPr>
      <w:r>
        <w:rPr>
          <w:spacing w:val="-3"/>
        </w:rPr>
        <w:br w:type="page"/>
      </w:r>
    </w:p>
    <w:p w:rsidR="00DD4B54" w:rsidRPr="008E459C" w:rsidRDefault="00DD4B54" w:rsidP="00DD4B54">
      <w:pPr>
        <w:pStyle w:val="OStablenotes"/>
        <w:keepNext w:val="0"/>
        <w:spacing w:before="80" w:after="0"/>
        <w:rPr>
          <w:spacing w:val="-3"/>
        </w:rPr>
      </w:pPr>
      <w:r>
        <w:rPr>
          <w:spacing w:val="-3"/>
        </w:rPr>
        <w:t>________________________</w:t>
      </w:r>
    </w:p>
    <w:p w:rsidR="00CC52EE" w:rsidRDefault="00CC52EE" w:rsidP="00CC52EE">
      <w:pPr>
        <w:pStyle w:val="OStablenotes"/>
        <w:spacing w:before="100"/>
      </w:pPr>
      <w:r>
        <w:t>1</w:t>
      </w:r>
      <w:r>
        <w:tab/>
        <w:t>This table is unaudited, although some of the figures reported in these columns are identified by the OSPB from the State’s CAFRs which are audited for the applicable Fiscal Years.</w:t>
      </w:r>
    </w:p>
    <w:p w:rsidR="00CC52EE" w:rsidRDefault="00CC52EE" w:rsidP="00CC52EE">
      <w:pPr>
        <w:pStyle w:val="OStablenotes"/>
        <w:spacing w:before="100"/>
      </w:pPr>
      <w:r>
        <w:t>2</w:t>
      </w:r>
      <w:r>
        <w:tab/>
        <w:t>Total State appropriations during this period have been limited to such moneys as are necessary for reappraisals of any class or classes of taxable property for property tax purposes as required by Section 39-1-105.5, C.R.S., plus an amount equal to 5.0% of Colorado personal income.</w:t>
      </w:r>
    </w:p>
    <w:p w:rsidR="00CC52EE" w:rsidRDefault="00CC52EE" w:rsidP="00CC52EE">
      <w:pPr>
        <w:pStyle w:val="OStablenotes"/>
        <w:spacing w:before="100"/>
      </w:pPr>
      <w:r>
        <w:t>3</w:t>
      </w:r>
      <w:r>
        <w:tab/>
        <w:t>Current law requires TABOR refunds to be accounted for in the year the excess revenue is collected.  TABOR refunds are not projected for Fiscal Years 2019-20 and 2020-21.  See “STATE FINANCIAL INFORMATION—Taxpayers’ Bill of Rights—Fiscal Year Revenue and Spending Limits; Referendum C” in the forepart of this Official Statement, and “APPENDIX F—OSPB SEPTEMBER 2020 REVENUE FORECAST—TABOR Outlook.”</w:t>
      </w:r>
    </w:p>
    <w:p w:rsidR="00CC52EE" w:rsidRDefault="00672B2A" w:rsidP="00CC52EE">
      <w:pPr>
        <w:pStyle w:val="OStablenotes"/>
        <w:spacing w:before="100"/>
      </w:pPr>
      <w:r>
        <w:t>4</w:t>
      </w:r>
      <w:r>
        <w:tab/>
        <w:t>I</w:t>
      </w:r>
      <w:r w:rsidR="00CC52EE">
        <w:t xml:space="preserve">n </w:t>
      </w:r>
      <w:r>
        <w:t xml:space="preserve">Fiscal Year 2014-15, $58 million </w:t>
      </w:r>
      <w:r w:rsidR="00CC52EE">
        <w:t>was set aside by H.B. 15-1367 in a special account to cover a potential TABOR refund relating to Proposition AA.  H.B. 15-1367 also submitted to the State’s voters at the November 3, 2015, general election the question of authorizing the State to retain and expend such amount.  The question, designated Proposition BB, was approved by the voters and permitted the State to use the money for the uses specified in H.B. 15-1367.  Consequently, a reversal of the $58 million set aside is shown in Fiscal Year 2015-16.  See “STATE FINANCIAL INFORMATION—Taxpayers’ Bill of Rights” in the forepart of this Official Statement, as well as Note 3 to this table and Note 2 to the table in “General Fund Revenue Sources” above.</w:t>
      </w:r>
    </w:p>
    <w:p w:rsidR="00CC52EE" w:rsidRDefault="00CC52EE" w:rsidP="00CC52EE">
      <w:pPr>
        <w:pStyle w:val="OStablenotes"/>
        <w:spacing w:before="100"/>
      </w:pPr>
      <w:r>
        <w:t>5</w:t>
      </w:r>
      <w:r>
        <w:tab/>
        <w:t>Other Rebates and Expenditures generally includes the Cigarette Rebate, which distributes money from a portion of State cigarette tax collections to local governments that do not impose their own taxes or fees on cigarettes; the Marijuana Rebate, which distributes 15% of the retail marijuana sales tax to local governments based on the percentage of retail marijuana sales in local areas; the Old Age Pension program, which provides assistance to low income elderly individuals who meet certain eligibility requirements; the Property Tax, Heat and Rent Credit, which provides property tax, heating bill or rent assistance to qualifying low-income disabled or elderly individuals; and, prior to Fiscal Year 2017-18, the Homestead Property Tax Exemption, which reduces property-tax liabilities for qualifying seniors and disabled veterans.  Commencing with Fiscal Year 2017-18, the Homestead Property Tax Exemption has been shown as a separate category as the result of S.B. 17-267, which added as the first TABOR refund mechanism amounts reimbursed to county treasurers in the year of the TABOR refund for local property tax revenue losses attributable to the Homestead Property Tax Exemption as discussed in “STATE FINANCIAL INFORMATION—Taxpayers’ Bill of Rights—Fiscal Year Revenue and Spending Limits; Referendum C” in the forepart of this Official Statement.</w:t>
      </w:r>
    </w:p>
    <w:p w:rsidR="00CC52EE" w:rsidRDefault="00CC52EE" w:rsidP="00CC52EE">
      <w:pPr>
        <w:pStyle w:val="OStablenotes"/>
        <w:spacing w:before="100"/>
      </w:pPr>
      <w:r>
        <w:t>6</w:t>
      </w:r>
      <w:r>
        <w:tab/>
        <w:t>Amounts in this line generally include the Cigarette Rebate, which distributes money from a portion of State cigarette tax collections to local governments that do not impose their own taxes or fees on cigarettes; the Marijuana Rebate, which distributes 15% of the retail marijuana sales tax to local governments based on the percentage of retail marijuana sales in local areas; and the Old Age Pension program, which provides assistance to low income elderly individuals who meet certain eligibility requirements; the Property Tax, Heat and Rent Credit, which provides property tax, heating bill or rent assistance to qualifying low-income disabled or elderly individuals; and, prior to Fiscal Year 2017-18, the Homestead Property Tax Exemption.</w:t>
      </w:r>
    </w:p>
    <w:p w:rsidR="00CC52EE" w:rsidRDefault="00CC52EE" w:rsidP="00CC52EE">
      <w:pPr>
        <w:pStyle w:val="OStablenotes"/>
        <w:spacing w:before="100"/>
      </w:pPr>
      <w:r>
        <w:t>7</w:t>
      </w:r>
      <w:r>
        <w:tab/>
        <w:t xml:space="preserve">Section 24-75-219, C.R.S., requires certain transfers from the General Fund to the Highway Users Tax Fund and the Capital Construction Fund, commonly referred to as “228” transfers based on S.B. 09-228 which originally provided for the transfers.  The amounts of the 228 transfers were revised per H.B. 16-1416 and S.B. 17-262.  The amount of the capital construction transfers in Fiscal Years 2015-16, 2016-17 and 2017-18 also included transfers of General Fund money in addition to the required 228 transfers.  In addition, S.B. 18-001 commits General Fund revenue for transportation projects in Fiscal Years 2018-19 and 2019-20. However, such transfers may be modified by the State Legislature. </w:t>
      </w:r>
    </w:p>
    <w:p w:rsidR="00CC52EE" w:rsidRDefault="00CC52EE" w:rsidP="00CC52EE">
      <w:pPr>
        <w:pStyle w:val="OStablenotes"/>
        <w:spacing w:before="100"/>
      </w:pPr>
      <w:r>
        <w:t>8</w:t>
      </w:r>
      <w:r>
        <w:tab/>
        <w:t>State law requires transfers of General Fund money to various State cash funds.  This line item includes transfers of amounts credited to the General Fund from the retail marijuana sales tax to a cash fund.  See Note 1 to the table in “General Fund Revenue Sources” above.  However, for Fiscal Year 2015-16 only, $40.0 million of the transfer to other funds amount is a transfer to public school capital construction related to the passage of Proposition BB.  The Fiscal Year 2015-16 and Fiscal Year 2016-17 amounts also include a diversion of income tax revenue out of the General Fund to a separate severance tax fund pursuant to S.B. 16-218.  However, due to the risk of lower than expected severance tax revenues in Fiscal Year 2017-18 and thereafter, H.B. 18-1338 requires General Fund transfers to various severance tax cash funds to protect program funding, and also requires an equivalent amount of future severance tax revenue to be diverted to the General Fund to repay these transfers</w:t>
      </w:r>
    </w:p>
    <w:p w:rsidR="00CC52EE" w:rsidRDefault="00CC52EE" w:rsidP="00CC52EE">
      <w:pPr>
        <w:pStyle w:val="OStablenotes"/>
        <w:spacing w:before="100"/>
      </w:pPr>
      <w:r>
        <w:t>9</w:t>
      </w:r>
      <w:r>
        <w:tab/>
        <w:t>Spending by the Medicaid program above the appropriated amount, called “Medicaid Overexpenditures,” is usually the largest amount in this line.</w:t>
      </w:r>
    </w:p>
    <w:p w:rsidR="00CC52EE" w:rsidRDefault="00D36A74" w:rsidP="00CC52EE">
      <w:pPr>
        <w:pStyle w:val="OStablenotes"/>
        <w:keepNext w:val="0"/>
        <w:spacing w:before="100" w:after="0"/>
      </w:pPr>
      <w:r>
        <w:t xml:space="preserve">10 </w:t>
      </w:r>
      <w:r w:rsidR="00CC52EE">
        <w:t>The Unappropriated Reserve requirement, codified as Section 24-75-201.1(1)(d), C.R.S., is a percentage of the amount appropriated for expenditure from the General Fund in the applicable Fiscal Year.  For Fiscal Year 2015-16 only, the percentage is of the amount subject to the appropriations limit minus the amount of income tax revenue required by to be diverted to a reserve fund to fund severance tax refunds as discussed above.  In Fiscal Years 2015-16 through 2017-18, General Fund appropriations for lease purchase agreement payments made in connection with certificates of participation sold to fund certain capital projects were made exempt from the reserve calculation requirement.  These appropriations were $37.8 million in Fiscal Year 2015-16, $46.0 million in Fiscal Year 2016-17 and $48.1 million in Fiscal Year 2017-18.  S.B. 18-276 repealed the exemption of the lease purchase agreement payments from the calculation of the reserve requirement.  See “STATE FINANCIAL INFORMATION—Budget Process and Other Considerations—Revenues and Unappropriated Amounts” and “DEBT AND CERTAIN OTHER FINANCIAL OBLIGATIONS—The State, State Departments and Agencies” in the forepart of this Official Statement,</w:t>
      </w:r>
    </w:p>
    <w:p w:rsidR="00DD4B54" w:rsidRPr="001E67A3" w:rsidRDefault="00DD4B54" w:rsidP="00CC52EE">
      <w:pPr>
        <w:pStyle w:val="OStablesources"/>
      </w:pPr>
      <w:r w:rsidRPr="001E67A3">
        <w:t>Source:</w:t>
      </w:r>
      <w:r w:rsidRPr="001E67A3">
        <w:tab/>
        <w:t>Office of State Planning and Budgeting</w:t>
      </w:r>
      <w:r w:rsidR="004B2DCB">
        <w:t>.</w:t>
      </w:r>
    </w:p>
    <w:p w:rsidR="00CC52EE" w:rsidRDefault="00CC52EE">
      <w:pPr>
        <w:spacing w:after="160" w:line="259" w:lineRule="auto"/>
        <w:jc w:val="left"/>
        <w:rPr>
          <w:rFonts w:eastAsia="Times New Roman" w:cs="Times New Roman"/>
          <w:b/>
          <w:szCs w:val="22"/>
        </w:rPr>
      </w:pPr>
      <w:r>
        <w:rPr>
          <w:bCs/>
        </w:rPr>
        <w:br w:type="page"/>
      </w:r>
    </w:p>
    <w:p w:rsidR="00017235" w:rsidRPr="00017235" w:rsidRDefault="00017235" w:rsidP="00017235">
      <w:pPr>
        <w:pStyle w:val="OSappendixsubheading0"/>
        <w:rPr>
          <w:bCs w:val="0"/>
        </w:rPr>
      </w:pPr>
      <w:r w:rsidRPr="00017235">
        <w:rPr>
          <w:bCs w:val="0"/>
        </w:rPr>
        <w:t>Revenue Estimation; OSPB Revenue and Economic Forecasts</w:t>
      </w:r>
    </w:p>
    <w:p w:rsidR="00017235" w:rsidRPr="00017235" w:rsidRDefault="00017235" w:rsidP="00017235">
      <w:pPr>
        <w:pStyle w:val="BodyText1"/>
      </w:pPr>
      <w:r w:rsidRPr="00017235">
        <w:rPr>
          <w:b/>
          <w:i/>
        </w:rPr>
        <w:t>Revenue Estimating Process</w:t>
      </w:r>
      <w:r w:rsidRPr="00017235">
        <w:t>.  The State relies on revenue estimation as the basis for establishing aggregate funds available for expenditure for its appropriation process.  By statute, the OSPB is responsible for developing a General Fund revenue estimate.  No later than June 20th prior to the beginning of each Fiscal Year, and no later than September 20th, December 20th and March 20th within each Fiscal Year, the Governor, with the assistance of the State Controller and the OSPB, is required to make an estimate of General Fund revenues for the current and certain future years.  Due to the rapidly evolving impact of COVID-19 on the State’s economy, the OSPB prepared an interim report (the OSPB May 2020 Revenue Forecast) to supplement the information provided in the March 2020 Forecast.  The revenue estimates are not binding on the General Assembly in determining the amount of General Fund revenues available for appropriation for the ensuing Fiscal Year.  The revenue estimates may be subject to more frequent review and adjustment in response to significant changes in economic conditions, policy decisions and actual revenue flow.</w:t>
      </w:r>
    </w:p>
    <w:p w:rsidR="00017235" w:rsidRPr="00017235" w:rsidRDefault="00017235" w:rsidP="00A837C3">
      <w:pPr>
        <w:pStyle w:val="BodyText1"/>
      </w:pPr>
      <w:r w:rsidRPr="00017235">
        <w:t>The most recent OSPB revenue forecast was issued on September 18, 2020 and is included in this Of</w:t>
      </w:r>
      <w:r w:rsidR="00A837C3">
        <w:t xml:space="preserve">ficial Statement as “APPENDIX F – </w:t>
      </w:r>
      <w:r w:rsidRPr="00017235">
        <w:t>OSPB SEPTEMBER 2020 REVENUE FORECAST.”  The OSPB September 2020 Revenue Forecast projects r</w:t>
      </w:r>
      <w:r w:rsidR="001E716C">
        <w:t>evenues for Fiscal Years 2020-21</w:t>
      </w:r>
      <w:r w:rsidRPr="00017235">
        <w:t xml:space="preserve"> through 2022-23.  The amounts f</w:t>
      </w:r>
      <w:r w:rsidR="001E716C">
        <w:t>orecast for Fiscal Years 2020-21 and 2021-22</w:t>
      </w:r>
      <w:r w:rsidRPr="00017235">
        <w:t xml:space="preserve"> are summarized in “General Fund Revenue Sources” and “General Fund Overview” above in this Appendix.</w:t>
      </w:r>
    </w:p>
    <w:p w:rsidR="00017235" w:rsidRPr="00017235" w:rsidRDefault="00017235" w:rsidP="00017235">
      <w:pPr>
        <w:pStyle w:val="BodyText1"/>
      </w:pPr>
      <w:r w:rsidRPr="00017235">
        <w:t xml:space="preserve">The OSPB begins estimating revenue by obtaining macroeconomic forecasts for national and State variables.  The national forecast for the OSPB September 2020 Revenue Forecast was provided by Moody’s Economy.com.  The OSPB forecasts the State economy using a model originally developed partly in-house and partly by consultants to the State.  </w:t>
      </w:r>
    </w:p>
    <w:p w:rsidR="00017235" w:rsidRPr="00017235" w:rsidRDefault="00017235" w:rsidP="00017235">
      <w:pPr>
        <w:pStyle w:val="BodyText1"/>
      </w:pPr>
      <w:r w:rsidRPr="00017235">
        <w:t xml:space="preserve">The model of the State economy is updated quarterly.  This model is comprised of numerous dynamic regression equations and identities.  Moody’s Economy.com’s forecasts for national variables are inputs to many of the Colorado equations.  The model of the State economy generates forecasts of key indicators such as employment, retail sales, inflation and personal income.  These forecasts are then used as inputs to revenue forecasts for income tax receipts, corporate collections, sales tax receipts, etc.  </w:t>
      </w:r>
    </w:p>
    <w:p w:rsidR="00017235" w:rsidRPr="00017235" w:rsidRDefault="00017235" w:rsidP="00017235">
      <w:pPr>
        <w:pStyle w:val="BodyText1"/>
      </w:pPr>
      <w:r w:rsidRPr="00017235">
        <w:t xml:space="preserve">The econometric model used to forecast General Fund revenue relies on the economic data estimated using the model of the State economy discussed above.  The models used for forecasting General Fund revenues incorporate changes in policy, both State and federal, as well as changes in the economic climate and historical patterns.  The General Fund models are comprised of regression equations for many of the revenue categories.  There are three main categories of tax revenues: excise tax receipts, income tax receipts and other tax receipts.  The General Fund models forecast the majority of the categories of General Fund receipts separately.  For example, the model forecasts each type of income tax receipt (withholding, estimated payments, cash with returns and refunds) individually and then aggregates the numbers to arrive at a net individual income tax receipts forecast.  However, for corporate income tax receipts and sales tax collections, the model forecasts only the aggregate amount for these revenues.  For many of the smaller tax revenue categories, simple trend analyses are generally utilized to derive a forecast.  </w:t>
      </w:r>
    </w:p>
    <w:p w:rsidR="00017235" w:rsidRPr="00017235" w:rsidRDefault="00017235" w:rsidP="00017235">
      <w:pPr>
        <w:pStyle w:val="BodyText1"/>
      </w:pPr>
      <w:r w:rsidRPr="00017235">
        <w:rPr>
          <w:b/>
          <w:i/>
        </w:rPr>
        <w:t>Revenue Shortfalls</w:t>
      </w:r>
      <w:r w:rsidRPr="00017235">
        <w:t>.  The State’s Fiscal Year budgets are prepared and surplus revenues are determined using the modified accrual basis of accounting in accordance with the standards promulgated by GASB, with certain statutory exceptions.  As a result, although the Fiscal Year budgets are balanced and, based upon the current forecast, there is anticipated to be an Unappropriated Reserve.  The State may experience temporary and cumulative cash shortfalls.  This is caused by differences in the timing of the actual receipt of cash revenues and payment of cash expenditures by the State compared to the inclusion of such revenues and expenditures in the State’s Fiscal Year budgets on an accrual basis, which does not take into account the timing of when such amounts are received or paid.  Also, prior forecasts of General Fund revenue may have overestimated the amount the State would receive for the Fiscal Year.</w:t>
      </w:r>
    </w:p>
    <w:p w:rsidR="00017235" w:rsidRPr="00017235" w:rsidRDefault="00017235" w:rsidP="00017235">
      <w:pPr>
        <w:pStyle w:val="BodyText1"/>
      </w:pPr>
      <w:r w:rsidRPr="00017235">
        <w:t>Whenever the Governor’s revenue estimate for the current Fiscal Year indicates that General Fund expenditures for such Fiscal Year, based on appropriations then in effect, will result in the use of one-half or more of the Unappropriated Reserve, the Governor is required to formulate a plan for the General Fund expenditures so that the Unappropriated Reserve as of the close of the Fiscal Year will be at least one-half of the required amount.  The Governor is required by statute to notify the General Assembly of the plan and to promptly implement it by: (i) issuing an executive order to suspend or discontinue, in whole or in part, the functions or services of any department, board, bureau or agency of the State government; (ii)</w:t>
      </w:r>
      <w:r w:rsidR="00A837C3">
        <w:t> </w:t>
      </w:r>
      <w:r w:rsidRPr="00017235">
        <w:t xml:space="preserve">approving the action of other State officials to require that heads of departments set aside reserves out of the total amount appropriated or available (except the cash funds of the Department of Education); or (iii) after a finding of fiscal emergency by a joint resolution of the General Assembly approved by the Governor, taking such actions necessary to be utilized by each principal department and institution of higher education to reduce State personnel expenditures.  </w:t>
      </w:r>
    </w:p>
    <w:p w:rsidR="00017235" w:rsidRPr="00017235" w:rsidRDefault="00017235" w:rsidP="00A837C3">
      <w:pPr>
        <w:pStyle w:val="BodyText1"/>
      </w:pPr>
      <w:r w:rsidRPr="00017235">
        <w:t>The next OSPB revenue forecast will be released in December 2020.  General Fund revenue projections in this and subsequent OSPB revenue forecasts may be materially different from the OSPB September 2020 Revenue Forecast if economic conditions change markedly.  If a revenue shortfall were projected for future forecasted years, which would result in a budgetary shortfall, budget cuts and/or actions to increase the amount of money in the General Fund would be necessary to ensure a balanced bud</w:t>
      </w:r>
      <w:r w:rsidR="00A837C3">
        <w:t xml:space="preserve">get.  See “CERTAIN RISK FACTORS – </w:t>
      </w:r>
      <w:r w:rsidRPr="00017235">
        <w:t xml:space="preserve">State Budgets and Revenue Forecasts.” </w:t>
      </w:r>
    </w:p>
    <w:p w:rsidR="00017235" w:rsidRPr="00017235" w:rsidRDefault="00017235" w:rsidP="00017235">
      <w:pPr>
        <w:pStyle w:val="OSappendixsubheading0"/>
        <w:rPr>
          <w:bCs w:val="0"/>
        </w:rPr>
      </w:pPr>
      <w:r w:rsidRPr="00017235">
        <w:rPr>
          <w:bCs w:val="0"/>
        </w:rPr>
        <w:t xml:space="preserve">Investment of the State Pool </w:t>
      </w:r>
    </w:p>
    <w:p w:rsidR="00017235" w:rsidRPr="00017235" w:rsidRDefault="00017235" w:rsidP="00A837C3">
      <w:pPr>
        <w:pStyle w:val="BodyText1"/>
      </w:pPr>
      <w:r w:rsidRPr="00017235">
        <w:rPr>
          <w:b/>
          <w:i/>
        </w:rPr>
        <w:t>General</w:t>
      </w:r>
      <w:r w:rsidRPr="00017235">
        <w:t xml:space="preserve">.  The investment of public funds by the State Treasurer is subject to the general limitations discussed </w:t>
      </w:r>
      <w:r w:rsidR="00A837C3">
        <w:t xml:space="preserve">in “STATE FINANCIAL INFORMATION – </w:t>
      </w:r>
      <w:r w:rsidRPr="00017235">
        <w:t xml:space="preserve">Investment and Deposit of State Funds.”  The State Treasurer has adopted investment policies further restricting the investment of State pool moneys, which includes the General Fund.  The purpose of these investment policies is to limit investment risk by limiting the amount of the portfolio that may be invested in particular types of obligations, or in obligations of particular issuers or in particular issues, by imposing rating or financial criteria for particular types of investments more restrictive than those required by law, and by limiting the maximum term of certain types of investments.  A minimum of 10% of the portfolio is required to be held in U.S. Treasury securities.  Any reverse repurchase agreements may be for interest rate arbitrage only, and not for liquidity or leverage purposes.  Each reverse repurchase agreement and the total investment it is arbitraged against must be closely matched in both dollar amount and term. </w:t>
      </w:r>
    </w:p>
    <w:p w:rsidR="00CC52EE" w:rsidRDefault="00CC52EE">
      <w:pPr>
        <w:spacing w:after="160" w:line="259" w:lineRule="auto"/>
        <w:jc w:val="left"/>
        <w:rPr>
          <w:rFonts w:eastAsia="Times New Roman" w:cs="Times New Roman"/>
          <w:b/>
          <w:i/>
          <w:szCs w:val="24"/>
        </w:rPr>
      </w:pPr>
      <w:r>
        <w:rPr>
          <w:b/>
          <w:i/>
        </w:rPr>
        <w:br w:type="page"/>
      </w:r>
    </w:p>
    <w:p w:rsidR="00017235" w:rsidRPr="00017235" w:rsidRDefault="00017235" w:rsidP="00017235">
      <w:pPr>
        <w:pStyle w:val="BodyText1"/>
      </w:pPr>
      <w:r w:rsidRPr="00017235">
        <w:rPr>
          <w:b/>
          <w:i/>
        </w:rPr>
        <w:t>Fiscal Years 2018-19 and 2019-20 Investments of the State Pool</w:t>
      </w:r>
      <w:r w:rsidRPr="00017235">
        <w:t>.  The following tables set forth the investment by category of the moneys in the State Pool as of the end of each month in Fiscal Years 2018-19 and 2019-20 for which information is available.</w:t>
      </w:r>
    </w:p>
    <w:p w:rsidR="00D91B0B" w:rsidRPr="001E67A3" w:rsidRDefault="00D91B0B" w:rsidP="00D91B0B">
      <w:pPr>
        <w:jc w:val="center"/>
        <w:rPr>
          <w:b/>
          <w:bCs/>
          <w:sz w:val="20"/>
        </w:rPr>
      </w:pPr>
      <w:r w:rsidRPr="0000186C">
        <w:rPr>
          <w:b/>
          <w:bCs/>
          <w:sz w:val="20"/>
        </w:rPr>
        <w:t>State of Colorado</w:t>
      </w:r>
    </w:p>
    <w:p w:rsidR="00D91B0B" w:rsidRPr="001E67A3" w:rsidRDefault="00D91B0B" w:rsidP="00D91B0B">
      <w:pPr>
        <w:jc w:val="center"/>
        <w:rPr>
          <w:b/>
          <w:bCs/>
          <w:sz w:val="20"/>
        </w:rPr>
      </w:pPr>
      <w:r w:rsidRPr="001E67A3">
        <w:rPr>
          <w:b/>
          <w:bCs/>
          <w:sz w:val="20"/>
        </w:rPr>
        <w:t>State Pool Portfolio Mix</w:t>
      </w:r>
    </w:p>
    <w:p w:rsidR="00D91B0B" w:rsidRPr="001E67A3" w:rsidRDefault="00D91B0B" w:rsidP="00D91B0B">
      <w:pPr>
        <w:jc w:val="center"/>
        <w:rPr>
          <w:b/>
          <w:bCs/>
          <w:sz w:val="20"/>
        </w:rPr>
      </w:pPr>
      <w:r w:rsidRPr="00B231A4">
        <w:rPr>
          <w:b/>
          <w:bCs/>
          <w:sz w:val="20"/>
        </w:rPr>
        <w:t>Fiscal Year 201</w:t>
      </w:r>
      <w:r w:rsidR="00A837C3">
        <w:rPr>
          <w:b/>
          <w:bCs/>
          <w:sz w:val="20"/>
        </w:rPr>
        <w:t>8</w:t>
      </w:r>
      <w:r w:rsidRPr="00B231A4">
        <w:rPr>
          <w:b/>
          <w:bCs/>
          <w:sz w:val="20"/>
        </w:rPr>
        <w:noBreakHyphen/>
        <w:t>1</w:t>
      </w:r>
      <w:r w:rsidR="00A837C3">
        <w:rPr>
          <w:b/>
          <w:bCs/>
          <w:sz w:val="20"/>
        </w:rPr>
        <w:t>9</w:t>
      </w:r>
    </w:p>
    <w:p w:rsidR="00D91B0B" w:rsidRPr="001E67A3" w:rsidRDefault="00D91B0B" w:rsidP="00D91B0B">
      <w:pPr>
        <w:keepLines/>
        <w:spacing w:after="120"/>
        <w:jc w:val="center"/>
        <w:rPr>
          <w:position w:val="7"/>
          <w:sz w:val="10"/>
          <w:szCs w:val="10"/>
          <w:vertAlign w:val="superscript"/>
        </w:rPr>
      </w:pPr>
      <w:r w:rsidRPr="001E67A3">
        <w:rPr>
          <w:sz w:val="16"/>
          <w:szCs w:val="16"/>
        </w:rPr>
        <w:t xml:space="preserve">(Amounts expressed in </w:t>
      </w:r>
      <w:r w:rsidRPr="005E3BC6">
        <w:rPr>
          <w:sz w:val="16"/>
          <w:szCs w:val="16"/>
        </w:rPr>
        <w:t>millions)</w:t>
      </w:r>
      <w:r w:rsidRPr="002C3322">
        <w:rPr>
          <w:sz w:val="16"/>
          <w:szCs w:val="16"/>
          <w:vertAlign w:val="superscript"/>
        </w:rPr>
        <w:t>1</w:t>
      </w:r>
    </w:p>
    <w:tbl>
      <w:tblPr>
        <w:tblStyle w:val="TableGrid10"/>
        <w:tblW w:w="115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15"/>
        <w:gridCol w:w="810"/>
        <w:gridCol w:w="810"/>
        <w:gridCol w:w="811"/>
        <w:gridCol w:w="810"/>
        <w:gridCol w:w="811"/>
        <w:gridCol w:w="810"/>
        <w:gridCol w:w="811"/>
        <w:gridCol w:w="810"/>
        <w:gridCol w:w="811"/>
        <w:gridCol w:w="901"/>
        <w:gridCol w:w="900"/>
        <w:gridCol w:w="810"/>
      </w:tblGrid>
      <w:tr w:rsidR="00A837C3" w:rsidRPr="00C003FA" w:rsidTr="006C0B9E">
        <w:trPr>
          <w:jc w:val="center"/>
        </w:trPr>
        <w:tc>
          <w:tcPr>
            <w:tcW w:w="1615" w:type="dxa"/>
            <w:vAlign w:val="bottom"/>
          </w:tcPr>
          <w:p w:rsidR="00A837C3" w:rsidRPr="00C003FA" w:rsidRDefault="00A837C3" w:rsidP="006C0B9E">
            <w:pPr>
              <w:keepNext/>
              <w:keepLines/>
              <w:spacing w:after="120"/>
              <w:jc w:val="left"/>
              <w:rPr>
                <w:sz w:val="15"/>
                <w:szCs w:val="15"/>
              </w:rPr>
            </w:pPr>
          </w:p>
        </w:tc>
        <w:tc>
          <w:tcPr>
            <w:tcW w:w="810" w:type="dxa"/>
            <w:vAlign w:val="bottom"/>
          </w:tcPr>
          <w:p w:rsidR="00A837C3" w:rsidRPr="00C003FA" w:rsidRDefault="00A837C3" w:rsidP="006C0B9E">
            <w:pPr>
              <w:keepNext/>
              <w:keepLines/>
              <w:pBdr>
                <w:bottom w:val="single" w:sz="4" w:space="1" w:color="auto"/>
              </w:pBdr>
              <w:spacing w:after="120"/>
              <w:jc w:val="center"/>
              <w:rPr>
                <w:sz w:val="15"/>
                <w:szCs w:val="15"/>
              </w:rPr>
            </w:pPr>
            <w:r w:rsidRPr="00C003FA">
              <w:rPr>
                <w:sz w:val="15"/>
                <w:szCs w:val="15"/>
              </w:rPr>
              <w:t>July</w:t>
            </w:r>
            <w:r w:rsidRPr="00C003FA">
              <w:rPr>
                <w:sz w:val="15"/>
                <w:szCs w:val="15"/>
              </w:rPr>
              <w:br/>
              <w:t>2018</w:t>
            </w:r>
          </w:p>
        </w:tc>
        <w:tc>
          <w:tcPr>
            <w:tcW w:w="810" w:type="dxa"/>
            <w:vAlign w:val="bottom"/>
          </w:tcPr>
          <w:p w:rsidR="00A837C3" w:rsidRPr="00C003FA" w:rsidRDefault="00A837C3" w:rsidP="006C0B9E">
            <w:pPr>
              <w:keepNext/>
              <w:keepLines/>
              <w:pBdr>
                <w:bottom w:val="single" w:sz="4" w:space="1" w:color="auto"/>
              </w:pBdr>
              <w:spacing w:after="120"/>
              <w:jc w:val="center"/>
              <w:rPr>
                <w:sz w:val="15"/>
                <w:szCs w:val="15"/>
              </w:rPr>
            </w:pPr>
            <w:r w:rsidRPr="00C003FA">
              <w:rPr>
                <w:sz w:val="15"/>
                <w:szCs w:val="15"/>
              </w:rPr>
              <w:t>Aug</w:t>
            </w:r>
            <w:r w:rsidRPr="00C003FA">
              <w:rPr>
                <w:sz w:val="15"/>
                <w:szCs w:val="15"/>
              </w:rPr>
              <w:br/>
              <w:t>2018</w:t>
            </w:r>
          </w:p>
        </w:tc>
        <w:tc>
          <w:tcPr>
            <w:tcW w:w="811" w:type="dxa"/>
            <w:vAlign w:val="bottom"/>
          </w:tcPr>
          <w:p w:rsidR="00A837C3" w:rsidRPr="00C003FA" w:rsidRDefault="00A837C3" w:rsidP="006C0B9E">
            <w:pPr>
              <w:keepNext/>
              <w:keepLines/>
              <w:pBdr>
                <w:bottom w:val="single" w:sz="4" w:space="1" w:color="auto"/>
              </w:pBdr>
              <w:spacing w:after="120"/>
              <w:jc w:val="center"/>
              <w:rPr>
                <w:sz w:val="15"/>
                <w:szCs w:val="15"/>
              </w:rPr>
            </w:pPr>
            <w:r w:rsidRPr="00C003FA">
              <w:rPr>
                <w:sz w:val="15"/>
                <w:szCs w:val="15"/>
              </w:rPr>
              <w:t>Sept</w:t>
            </w:r>
            <w:r w:rsidRPr="00C003FA">
              <w:rPr>
                <w:sz w:val="15"/>
                <w:szCs w:val="15"/>
              </w:rPr>
              <w:br/>
              <w:t>2018</w:t>
            </w:r>
          </w:p>
        </w:tc>
        <w:tc>
          <w:tcPr>
            <w:tcW w:w="810" w:type="dxa"/>
            <w:vAlign w:val="bottom"/>
          </w:tcPr>
          <w:p w:rsidR="00A837C3" w:rsidRPr="00C003FA" w:rsidRDefault="00A837C3" w:rsidP="006C0B9E">
            <w:pPr>
              <w:keepNext/>
              <w:keepLines/>
              <w:pBdr>
                <w:bottom w:val="single" w:sz="4" w:space="1" w:color="auto"/>
              </w:pBdr>
              <w:spacing w:after="120"/>
              <w:jc w:val="center"/>
              <w:rPr>
                <w:sz w:val="15"/>
                <w:szCs w:val="15"/>
              </w:rPr>
            </w:pPr>
            <w:r w:rsidRPr="00C003FA">
              <w:rPr>
                <w:sz w:val="15"/>
                <w:szCs w:val="15"/>
              </w:rPr>
              <w:t>Oct</w:t>
            </w:r>
            <w:r w:rsidRPr="00C003FA">
              <w:rPr>
                <w:sz w:val="15"/>
                <w:szCs w:val="15"/>
              </w:rPr>
              <w:br/>
              <w:t>2018</w:t>
            </w:r>
          </w:p>
        </w:tc>
        <w:tc>
          <w:tcPr>
            <w:tcW w:w="811" w:type="dxa"/>
            <w:vAlign w:val="bottom"/>
          </w:tcPr>
          <w:p w:rsidR="00A837C3" w:rsidRPr="00C003FA" w:rsidRDefault="00A837C3" w:rsidP="006C0B9E">
            <w:pPr>
              <w:keepNext/>
              <w:keepLines/>
              <w:pBdr>
                <w:bottom w:val="single" w:sz="4" w:space="1" w:color="auto"/>
              </w:pBdr>
              <w:spacing w:after="120"/>
              <w:jc w:val="center"/>
              <w:rPr>
                <w:sz w:val="15"/>
                <w:szCs w:val="15"/>
              </w:rPr>
            </w:pPr>
            <w:r w:rsidRPr="00C003FA">
              <w:rPr>
                <w:sz w:val="15"/>
                <w:szCs w:val="15"/>
              </w:rPr>
              <w:t>Nov</w:t>
            </w:r>
            <w:r w:rsidRPr="00C003FA">
              <w:rPr>
                <w:sz w:val="15"/>
                <w:szCs w:val="15"/>
              </w:rPr>
              <w:br/>
              <w:t>2018</w:t>
            </w:r>
          </w:p>
        </w:tc>
        <w:tc>
          <w:tcPr>
            <w:tcW w:w="810" w:type="dxa"/>
            <w:vAlign w:val="bottom"/>
          </w:tcPr>
          <w:p w:rsidR="00A837C3" w:rsidRPr="00C003FA" w:rsidRDefault="00A837C3" w:rsidP="006C0B9E">
            <w:pPr>
              <w:keepNext/>
              <w:keepLines/>
              <w:pBdr>
                <w:bottom w:val="single" w:sz="4" w:space="1" w:color="auto"/>
              </w:pBdr>
              <w:spacing w:after="120"/>
              <w:jc w:val="center"/>
              <w:rPr>
                <w:sz w:val="15"/>
                <w:szCs w:val="15"/>
              </w:rPr>
            </w:pPr>
            <w:r w:rsidRPr="00C003FA">
              <w:rPr>
                <w:sz w:val="15"/>
                <w:szCs w:val="15"/>
              </w:rPr>
              <w:t>Dec</w:t>
            </w:r>
            <w:r w:rsidRPr="00C003FA">
              <w:rPr>
                <w:sz w:val="15"/>
                <w:szCs w:val="15"/>
              </w:rPr>
              <w:br/>
              <w:t>2018</w:t>
            </w:r>
          </w:p>
        </w:tc>
        <w:tc>
          <w:tcPr>
            <w:tcW w:w="811" w:type="dxa"/>
            <w:vAlign w:val="bottom"/>
          </w:tcPr>
          <w:p w:rsidR="00A837C3" w:rsidRPr="00C003FA" w:rsidRDefault="00A837C3" w:rsidP="006C0B9E">
            <w:pPr>
              <w:keepNext/>
              <w:keepLines/>
              <w:pBdr>
                <w:bottom w:val="single" w:sz="4" w:space="1" w:color="auto"/>
              </w:pBdr>
              <w:spacing w:after="120"/>
              <w:jc w:val="center"/>
              <w:rPr>
                <w:sz w:val="15"/>
                <w:szCs w:val="15"/>
              </w:rPr>
            </w:pPr>
            <w:r w:rsidRPr="00C003FA">
              <w:rPr>
                <w:sz w:val="15"/>
                <w:szCs w:val="15"/>
              </w:rPr>
              <w:t>Jan</w:t>
            </w:r>
            <w:r w:rsidRPr="00C003FA">
              <w:rPr>
                <w:sz w:val="15"/>
                <w:szCs w:val="15"/>
              </w:rPr>
              <w:br/>
              <w:t>2019</w:t>
            </w:r>
          </w:p>
        </w:tc>
        <w:tc>
          <w:tcPr>
            <w:tcW w:w="810" w:type="dxa"/>
            <w:vAlign w:val="bottom"/>
          </w:tcPr>
          <w:p w:rsidR="00A837C3" w:rsidRPr="00C003FA" w:rsidRDefault="00A837C3" w:rsidP="006C0B9E">
            <w:pPr>
              <w:keepNext/>
              <w:keepLines/>
              <w:pBdr>
                <w:bottom w:val="single" w:sz="4" w:space="1" w:color="auto"/>
              </w:pBdr>
              <w:spacing w:after="120"/>
              <w:jc w:val="center"/>
              <w:rPr>
                <w:sz w:val="15"/>
                <w:szCs w:val="15"/>
              </w:rPr>
            </w:pPr>
            <w:r w:rsidRPr="00C003FA">
              <w:rPr>
                <w:sz w:val="15"/>
                <w:szCs w:val="15"/>
              </w:rPr>
              <w:t>Feb</w:t>
            </w:r>
            <w:r w:rsidRPr="00C003FA">
              <w:rPr>
                <w:sz w:val="15"/>
                <w:szCs w:val="15"/>
              </w:rPr>
              <w:br/>
              <w:t>2019</w:t>
            </w:r>
          </w:p>
        </w:tc>
        <w:tc>
          <w:tcPr>
            <w:tcW w:w="811" w:type="dxa"/>
            <w:vAlign w:val="bottom"/>
          </w:tcPr>
          <w:p w:rsidR="00A837C3" w:rsidRPr="00C003FA" w:rsidRDefault="00A837C3" w:rsidP="006C0B9E">
            <w:pPr>
              <w:keepNext/>
              <w:keepLines/>
              <w:pBdr>
                <w:bottom w:val="single" w:sz="4" w:space="1" w:color="auto"/>
              </w:pBdr>
              <w:spacing w:after="120"/>
              <w:jc w:val="center"/>
              <w:rPr>
                <w:sz w:val="15"/>
                <w:szCs w:val="15"/>
              </w:rPr>
            </w:pPr>
            <w:r w:rsidRPr="00C003FA">
              <w:rPr>
                <w:sz w:val="15"/>
                <w:szCs w:val="15"/>
              </w:rPr>
              <w:t>Mar</w:t>
            </w:r>
            <w:r w:rsidRPr="00C003FA">
              <w:rPr>
                <w:sz w:val="15"/>
                <w:szCs w:val="15"/>
              </w:rPr>
              <w:br/>
              <w:t>2019</w:t>
            </w:r>
          </w:p>
        </w:tc>
        <w:tc>
          <w:tcPr>
            <w:tcW w:w="901" w:type="dxa"/>
            <w:vAlign w:val="bottom"/>
          </w:tcPr>
          <w:p w:rsidR="00A837C3" w:rsidRPr="00C003FA" w:rsidRDefault="00A837C3" w:rsidP="006C0B9E">
            <w:pPr>
              <w:keepNext/>
              <w:keepLines/>
              <w:pBdr>
                <w:bottom w:val="single" w:sz="4" w:space="1" w:color="auto"/>
              </w:pBdr>
              <w:spacing w:after="120"/>
              <w:jc w:val="center"/>
              <w:rPr>
                <w:sz w:val="15"/>
                <w:szCs w:val="15"/>
              </w:rPr>
            </w:pPr>
            <w:r w:rsidRPr="00C003FA">
              <w:rPr>
                <w:sz w:val="15"/>
                <w:szCs w:val="15"/>
              </w:rPr>
              <w:t>Apr</w:t>
            </w:r>
            <w:r w:rsidRPr="00C003FA">
              <w:rPr>
                <w:sz w:val="15"/>
                <w:szCs w:val="15"/>
              </w:rPr>
              <w:br/>
              <w:t>2019</w:t>
            </w:r>
          </w:p>
        </w:tc>
        <w:tc>
          <w:tcPr>
            <w:tcW w:w="900" w:type="dxa"/>
            <w:vAlign w:val="bottom"/>
          </w:tcPr>
          <w:p w:rsidR="00A837C3" w:rsidRPr="00C003FA" w:rsidRDefault="00A837C3" w:rsidP="006C0B9E">
            <w:pPr>
              <w:keepNext/>
              <w:keepLines/>
              <w:pBdr>
                <w:bottom w:val="single" w:sz="4" w:space="1" w:color="auto"/>
              </w:pBdr>
              <w:spacing w:after="120"/>
              <w:jc w:val="center"/>
              <w:rPr>
                <w:sz w:val="15"/>
                <w:szCs w:val="15"/>
              </w:rPr>
            </w:pPr>
            <w:r w:rsidRPr="00C003FA">
              <w:rPr>
                <w:sz w:val="15"/>
                <w:szCs w:val="15"/>
              </w:rPr>
              <w:t>May</w:t>
            </w:r>
            <w:r w:rsidRPr="00C003FA">
              <w:rPr>
                <w:sz w:val="15"/>
                <w:szCs w:val="15"/>
              </w:rPr>
              <w:br/>
              <w:t>2019</w:t>
            </w:r>
          </w:p>
        </w:tc>
        <w:tc>
          <w:tcPr>
            <w:tcW w:w="810" w:type="dxa"/>
          </w:tcPr>
          <w:p w:rsidR="00A837C3" w:rsidRPr="00C003FA" w:rsidRDefault="00A837C3" w:rsidP="006C0B9E">
            <w:pPr>
              <w:keepNext/>
              <w:keepLines/>
              <w:pBdr>
                <w:bottom w:val="single" w:sz="4" w:space="1" w:color="auto"/>
              </w:pBdr>
              <w:spacing w:after="120"/>
              <w:jc w:val="center"/>
              <w:rPr>
                <w:sz w:val="15"/>
                <w:szCs w:val="15"/>
              </w:rPr>
            </w:pPr>
            <w:r w:rsidRPr="00C003FA">
              <w:rPr>
                <w:sz w:val="15"/>
                <w:szCs w:val="15"/>
              </w:rPr>
              <w:t>June</w:t>
            </w:r>
            <w:r w:rsidRPr="00C003FA">
              <w:rPr>
                <w:sz w:val="15"/>
                <w:szCs w:val="15"/>
              </w:rPr>
              <w:br/>
              <w:t>2019</w:t>
            </w:r>
          </w:p>
        </w:tc>
      </w:tr>
      <w:tr w:rsidR="00A837C3" w:rsidRPr="00C003FA" w:rsidTr="006C0B9E">
        <w:trPr>
          <w:jc w:val="center"/>
        </w:trPr>
        <w:tc>
          <w:tcPr>
            <w:tcW w:w="1615" w:type="dxa"/>
            <w:vAlign w:val="bottom"/>
          </w:tcPr>
          <w:p w:rsidR="00A837C3" w:rsidRPr="00C003FA" w:rsidRDefault="00A837C3" w:rsidP="006C0B9E">
            <w:pPr>
              <w:keepNext/>
              <w:keepLines/>
              <w:ind w:left="162" w:hanging="162"/>
              <w:jc w:val="left"/>
              <w:rPr>
                <w:sz w:val="15"/>
                <w:szCs w:val="15"/>
              </w:rPr>
            </w:pPr>
            <w:r w:rsidRPr="00C003FA">
              <w:rPr>
                <w:sz w:val="15"/>
                <w:szCs w:val="15"/>
              </w:rPr>
              <w:t>Agency CMOs</w:t>
            </w:r>
          </w:p>
        </w:tc>
        <w:tc>
          <w:tcPr>
            <w:tcW w:w="810" w:type="dxa"/>
            <w:vAlign w:val="bottom"/>
          </w:tcPr>
          <w:p w:rsidR="00A837C3" w:rsidRPr="00C003FA" w:rsidRDefault="00A837C3" w:rsidP="006C0B9E">
            <w:pPr>
              <w:keepNext/>
              <w:keepLines/>
              <w:tabs>
                <w:tab w:val="decimal" w:pos="437"/>
              </w:tabs>
              <w:rPr>
                <w:sz w:val="15"/>
                <w:szCs w:val="15"/>
              </w:rPr>
            </w:pPr>
            <w:r w:rsidRPr="00C003FA">
              <w:rPr>
                <w:sz w:val="15"/>
                <w:szCs w:val="15"/>
              </w:rPr>
              <w:t>$      0.4</w:t>
            </w:r>
          </w:p>
        </w:tc>
        <w:tc>
          <w:tcPr>
            <w:tcW w:w="810" w:type="dxa"/>
            <w:vAlign w:val="bottom"/>
          </w:tcPr>
          <w:p w:rsidR="00A837C3" w:rsidRPr="00C003FA" w:rsidRDefault="00A837C3" w:rsidP="006C0B9E">
            <w:pPr>
              <w:keepNext/>
              <w:keepLines/>
              <w:tabs>
                <w:tab w:val="decimal" w:pos="437"/>
              </w:tabs>
              <w:rPr>
                <w:sz w:val="15"/>
                <w:szCs w:val="15"/>
              </w:rPr>
            </w:pPr>
            <w:r w:rsidRPr="00C003FA">
              <w:rPr>
                <w:sz w:val="15"/>
                <w:szCs w:val="15"/>
              </w:rPr>
              <w:t>$       0.5</w:t>
            </w:r>
          </w:p>
        </w:tc>
        <w:tc>
          <w:tcPr>
            <w:tcW w:w="811" w:type="dxa"/>
            <w:vAlign w:val="bottom"/>
          </w:tcPr>
          <w:p w:rsidR="00A837C3" w:rsidRPr="00C003FA" w:rsidRDefault="00A837C3" w:rsidP="006C0B9E">
            <w:pPr>
              <w:keepNext/>
              <w:keepLines/>
              <w:tabs>
                <w:tab w:val="decimal" w:pos="437"/>
              </w:tabs>
              <w:rPr>
                <w:sz w:val="15"/>
                <w:szCs w:val="15"/>
              </w:rPr>
            </w:pPr>
            <w:r w:rsidRPr="00C003FA">
              <w:rPr>
                <w:sz w:val="15"/>
                <w:szCs w:val="15"/>
              </w:rPr>
              <w:t>$       0.5</w:t>
            </w:r>
          </w:p>
        </w:tc>
        <w:tc>
          <w:tcPr>
            <w:tcW w:w="810" w:type="dxa"/>
            <w:vAlign w:val="bottom"/>
          </w:tcPr>
          <w:p w:rsidR="00A837C3" w:rsidRPr="00C003FA" w:rsidRDefault="00A837C3" w:rsidP="006C0B9E">
            <w:pPr>
              <w:keepNext/>
              <w:keepLines/>
              <w:tabs>
                <w:tab w:val="decimal" w:pos="437"/>
              </w:tabs>
              <w:rPr>
                <w:sz w:val="15"/>
                <w:szCs w:val="15"/>
              </w:rPr>
            </w:pPr>
            <w:r w:rsidRPr="00C003FA">
              <w:rPr>
                <w:sz w:val="15"/>
                <w:szCs w:val="15"/>
              </w:rPr>
              <w:t>$       0.4</w:t>
            </w:r>
          </w:p>
        </w:tc>
        <w:tc>
          <w:tcPr>
            <w:tcW w:w="811" w:type="dxa"/>
            <w:vAlign w:val="bottom"/>
          </w:tcPr>
          <w:p w:rsidR="00A837C3" w:rsidRPr="00C003FA" w:rsidRDefault="00A837C3" w:rsidP="006C0B9E">
            <w:pPr>
              <w:keepNext/>
              <w:keepLines/>
              <w:tabs>
                <w:tab w:val="decimal" w:pos="437"/>
              </w:tabs>
              <w:rPr>
                <w:sz w:val="15"/>
                <w:szCs w:val="15"/>
              </w:rPr>
            </w:pPr>
            <w:r w:rsidRPr="00C003FA">
              <w:rPr>
                <w:sz w:val="15"/>
                <w:szCs w:val="15"/>
              </w:rPr>
              <w:t>$       0.4</w:t>
            </w:r>
          </w:p>
        </w:tc>
        <w:tc>
          <w:tcPr>
            <w:tcW w:w="810" w:type="dxa"/>
            <w:vAlign w:val="bottom"/>
          </w:tcPr>
          <w:p w:rsidR="00A837C3" w:rsidRPr="00C003FA" w:rsidRDefault="00A837C3" w:rsidP="006C0B9E">
            <w:pPr>
              <w:keepNext/>
              <w:keepLines/>
              <w:tabs>
                <w:tab w:val="decimal" w:pos="437"/>
              </w:tabs>
              <w:rPr>
                <w:sz w:val="15"/>
                <w:szCs w:val="15"/>
              </w:rPr>
            </w:pPr>
            <w:r w:rsidRPr="00C003FA">
              <w:rPr>
                <w:sz w:val="15"/>
                <w:szCs w:val="15"/>
              </w:rPr>
              <w:t>$       0.4</w:t>
            </w:r>
          </w:p>
        </w:tc>
        <w:tc>
          <w:tcPr>
            <w:tcW w:w="811" w:type="dxa"/>
            <w:vAlign w:val="bottom"/>
          </w:tcPr>
          <w:p w:rsidR="00A837C3" w:rsidRPr="00C003FA" w:rsidRDefault="00A837C3" w:rsidP="006C0B9E">
            <w:pPr>
              <w:keepNext/>
              <w:keepLines/>
              <w:tabs>
                <w:tab w:val="decimal" w:pos="437"/>
              </w:tabs>
              <w:rPr>
                <w:sz w:val="15"/>
                <w:szCs w:val="15"/>
              </w:rPr>
            </w:pPr>
            <w:r w:rsidRPr="00C003FA">
              <w:rPr>
                <w:sz w:val="15"/>
                <w:szCs w:val="15"/>
              </w:rPr>
              <w:t>$       0.3</w:t>
            </w:r>
          </w:p>
        </w:tc>
        <w:tc>
          <w:tcPr>
            <w:tcW w:w="810" w:type="dxa"/>
            <w:vAlign w:val="bottom"/>
          </w:tcPr>
          <w:p w:rsidR="00A837C3" w:rsidRPr="00C003FA" w:rsidRDefault="00A837C3" w:rsidP="006C0B9E">
            <w:pPr>
              <w:keepNext/>
              <w:keepLines/>
              <w:tabs>
                <w:tab w:val="decimal" w:pos="437"/>
              </w:tabs>
              <w:rPr>
                <w:sz w:val="15"/>
                <w:szCs w:val="15"/>
              </w:rPr>
            </w:pPr>
            <w:r w:rsidRPr="00C003FA">
              <w:rPr>
                <w:sz w:val="15"/>
                <w:szCs w:val="15"/>
              </w:rPr>
              <w:t>$       0.3</w:t>
            </w:r>
          </w:p>
        </w:tc>
        <w:tc>
          <w:tcPr>
            <w:tcW w:w="811" w:type="dxa"/>
            <w:vAlign w:val="bottom"/>
          </w:tcPr>
          <w:p w:rsidR="00A837C3" w:rsidRPr="00C003FA" w:rsidRDefault="00A837C3" w:rsidP="006C0B9E">
            <w:pPr>
              <w:keepNext/>
              <w:keepLines/>
              <w:tabs>
                <w:tab w:val="decimal" w:pos="437"/>
              </w:tabs>
              <w:rPr>
                <w:sz w:val="15"/>
                <w:szCs w:val="15"/>
              </w:rPr>
            </w:pPr>
            <w:r w:rsidRPr="00C003FA">
              <w:rPr>
                <w:sz w:val="15"/>
                <w:szCs w:val="15"/>
              </w:rPr>
              <w:t>$        0.3</w:t>
            </w:r>
          </w:p>
        </w:tc>
        <w:tc>
          <w:tcPr>
            <w:tcW w:w="901" w:type="dxa"/>
            <w:vAlign w:val="bottom"/>
          </w:tcPr>
          <w:p w:rsidR="00A837C3" w:rsidRPr="00C003FA" w:rsidRDefault="00A837C3" w:rsidP="006C0B9E">
            <w:pPr>
              <w:keepNext/>
              <w:keepLines/>
              <w:tabs>
                <w:tab w:val="decimal" w:pos="610"/>
              </w:tabs>
              <w:rPr>
                <w:sz w:val="15"/>
                <w:szCs w:val="15"/>
              </w:rPr>
            </w:pPr>
            <w:r w:rsidRPr="00C003FA">
              <w:rPr>
                <w:sz w:val="15"/>
                <w:szCs w:val="15"/>
              </w:rPr>
              <w:t>$       0.3</w:t>
            </w:r>
          </w:p>
        </w:tc>
        <w:tc>
          <w:tcPr>
            <w:tcW w:w="900" w:type="dxa"/>
            <w:vAlign w:val="bottom"/>
          </w:tcPr>
          <w:p w:rsidR="00A837C3" w:rsidRPr="00C003FA" w:rsidRDefault="00A837C3" w:rsidP="006C0B9E">
            <w:pPr>
              <w:keepNext/>
              <w:keepLines/>
              <w:tabs>
                <w:tab w:val="decimal" w:pos="590"/>
              </w:tabs>
              <w:rPr>
                <w:sz w:val="15"/>
                <w:szCs w:val="15"/>
              </w:rPr>
            </w:pPr>
            <w:r w:rsidRPr="00C003FA">
              <w:rPr>
                <w:sz w:val="15"/>
                <w:szCs w:val="15"/>
              </w:rPr>
              <w:t>$         0.3</w:t>
            </w:r>
          </w:p>
        </w:tc>
        <w:tc>
          <w:tcPr>
            <w:tcW w:w="810" w:type="dxa"/>
          </w:tcPr>
          <w:p w:rsidR="00A837C3" w:rsidRPr="00C003FA" w:rsidRDefault="00A837C3" w:rsidP="006C0B9E">
            <w:pPr>
              <w:keepNext/>
              <w:keepLines/>
              <w:tabs>
                <w:tab w:val="decimal" w:pos="437"/>
              </w:tabs>
              <w:rPr>
                <w:sz w:val="15"/>
                <w:szCs w:val="15"/>
              </w:rPr>
            </w:pPr>
            <w:r w:rsidRPr="00C003FA">
              <w:rPr>
                <w:sz w:val="15"/>
                <w:szCs w:val="15"/>
              </w:rPr>
              <w:t>$       0.3</w:t>
            </w:r>
          </w:p>
        </w:tc>
      </w:tr>
      <w:tr w:rsidR="00A837C3" w:rsidRPr="00C003FA" w:rsidTr="006C0B9E">
        <w:trPr>
          <w:jc w:val="center"/>
        </w:trPr>
        <w:tc>
          <w:tcPr>
            <w:tcW w:w="1615" w:type="dxa"/>
            <w:vAlign w:val="bottom"/>
          </w:tcPr>
          <w:p w:rsidR="00A837C3" w:rsidRPr="00C003FA" w:rsidRDefault="00A837C3" w:rsidP="006C0B9E">
            <w:pPr>
              <w:keepNext/>
              <w:keepLines/>
              <w:ind w:left="162" w:hanging="162"/>
              <w:jc w:val="left"/>
              <w:rPr>
                <w:sz w:val="15"/>
                <w:szCs w:val="15"/>
              </w:rPr>
            </w:pPr>
            <w:r w:rsidRPr="00C003FA">
              <w:rPr>
                <w:sz w:val="15"/>
                <w:szCs w:val="15"/>
              </w:rPr>
              <w:t>Commercial Paper</w:t>
            </w:r>
          </w:p>
        </w:tc>
        <w:tc>
          <w:tcPr>
            <w:tcW w:w="810" w:type="dxa"/>
            <w:vAlign w:val="bottom"/>
          </w:tcPr>
          <w:p w:rsidR="00A837C3" w:rsidRPr="00C003FA" w:rsidRDefault="00A837C3" w:rsidP="006C0B9E">
            <w:pPr>
              <w:keepNext/>
              <w:keepLines/>
              <w:tabs>
                <w:tab w:val="decimal" w:pos="437"/>
              </w:tabs>
              <w:rPr>
                <w:sz w:val="15"/>
                <w:szCs w:val="15"/>
              </w:rPr>
            </w:pPr>
            <w:r w:rsidRPr="00C003FA">
              <w:rPr>
                <w:sz w:val="15"/>
                <w:szCs w:val="15"/>
              </w:rPr>
              <w:t>832.4</w:t>
            </w:r>
          </w:p>
        </w:tc>
        <w:tc>
          <w:tcPr>
            <w:tcW w:w="810" w:type="dxa"/>
            <w:vAlign w:val="bottom"/>
          </w:tcPr>
          <w:p w:rsidR="00A837C3" w:rsidRPr="00C003FA" w:rsidRDefault="00A837C3" w:rsidP="006C0B9E">
            <w:pPr>
              <w:keepNext/>
              <w:keepLines/>
              <w:tabs>
                <w:tab w:val="decimal" w:pos="437"/>
              </w:tabs>
              <w:rPr>
                <w:sz w:val="15"/>
                <w:szCs w:val="15"/>
              </w:rPr>
            </w:pPr>
            <w:r w:rsidRPr="00C003FA">
              <w:rPr>
                <w:sz w:val="15"/>
                <w:szCs w:val="15"/>
              </w:rPr>
              <w:t>887.9</w:t>
            </w:r>
          </w:p>
        </w:tc>
        <w:tc>
          <w:tcPr>
            <w:tcW w:w="811" w:type="dxa"/>
            <w:vAlign w:val="bottom"/>
          </w:tcPr>
          <w:p w:rsidR="00A837C3" w:rsidRPr="00C003FA" w:rsidRDefault="00A837C3" w:rsidP="006C0B9E">
            <w:pPr>
              <w:tabs>
                <w:tab w:val="decimal" w:pos="437"/>
              </w:tabs>
              <w:rPr>
                <w:sz w:val="15"/>
                <w:szCs w:val="15"/>
              </w:rPr>
            </w:pPr>
            <w:r w:rsidRPr="00C003FA">
              <w:rPr>
                <w:sz w:val="15"/>
                <w:szCs w:val="15"/>
              </w:rPr>
              <w:t>968.7</w:t>
            </w:r>
          </w:p>
        </w:tc>
        <w:tc>
          <w:tcPr>
            <w:tcW w:w="810" w:type="dxa"/>
            <w:vAlign w:val="bottom"/>
          </w:tcPr>
          <w:p w:rsidR="00A837C3" w:rsidRPr="00C003FA" w:rsidRDefault="00A837C3" w:rsidP="006C0B9E">
            <w:pPr>
              <w:tabs>
                <w:tab w:val="decimal" w:pos="437"/>
              </w:tabs>
              <w:rPr>
                <w:sz w:val="15"/>
                <w:szCs w:val="15"/>
              </w:rPr>
            </w:pPr>
            <w:r w:rsidRPr="00C003FA">
              <w:rPr>
                <w:sz w:val="15"/>
                <w:szCs w:val="15"/>
              </w:rPr>
              <w:t>1,331.0</w:t>
            </w:r>
          </w:p>
        </w:tc>
        <w:tc>
          <w:tcPr>
            <w:tcW w:w="811" w:type="dxa"/>
            <w:vAlign w:val="bottom"/>
          </w:tcPr>
          <w:p w:rsidR="00A837C3" w:rsidRPr="00C003FA" w:rsidRDefault="00A837C3" w:rsidP="006C0B9E">
            <w:pPr>
              <w:tabs>
                <w:tab w:val="decimal" w:pos="437"/>
              </w:tabs>
              <w:rPr>
                <w:sz w:val="15"/>
                <w:szCs w:val="15"/>
              </w:rPr>
            </w:pPr>
            <w:r w:rsidRPr="00C003FA">
              <w:rPr>
                <w:sz w:val="15"/>
                <w:szCs w:val="15"/>
              </w:rPr>
              <w:t>1,329.1</w:t>
            </w:r>
          </w:p>
        </w:tc>
        <w:tc>
          <w:tcPr>
            <w:tcW w:w="810" w:type="dxa"/>
            <w:vAlign w:val="bottom"/>
          </w:tcPr>
          <w:p w:rsidR="00A837C3" w:rsidRPr="00C003FA" w:rsidRDefault="00A837C3" w:rsidP="006C0B9E">
            <w:pPr>
              <w:tabs>
                <w:tab w:val="decimal" w:pos="437"/>
              </w:tabs>
              <w:rPr>
                <w:sz w:val="15"/>
                <w:szCs w:val="15"/>
              </w:rPr>
            </w:pPr>
            <w:r w:rsidRPr="00C003FA">
              <w:rPr>
                <w:sz w:val="15"/>
                <w:szCs w:val="15"/>
              </w:rPr>
              <w:t>1,310.8</w:t>
            </w:r>
          </w:p>
        </w:tc>
        <w:tc>
          <w:tcPr>
            <w:tcW w:w="811" w:type="dxa"/>
            <w:vAlign w:val="bottom"/>
          </w:tcPr>
          <w:p w:rsidR="00A837C3" w:rsidRPr="00C003FA" w:rsidRDefault="00A837C3" w:rsidP="006C0B9E">
            <w:pPr>
              <w:tabs>
                <w:tab w:val="decimal" w:pos="437"/>
              </w:tabs>
              <w:rPr>
                <w:sz w:val="15"/>
                <w:szCs w:val="15"/>
              </w:rPr>
            </w:pPr>
            <w:r w:rsidRPr="00C003FA">
              <w:rPr>
                <w:sz w:val="15"/>
                <w:szCs w:val="15"/>
              </w:rPr>
              <w:t>2,028.1</w:t>
            </w:r>
          </w:p>
        </w:tc>
        <w:tc>
          <w:tcPr>
            <w:tcW w:w="810" w:type="dxa"/>
            <w:vAlign w:val="bottom"/>
          </w:tcPr>
          <w:p w:rsidR="00A837C3" w:rsidRPr="00C003FA" w:rsidRDefault="00A837C3" w:rsidP="006C0B9E">
            <w:pPr>
              <w:tabs>
                <w:tab w:val="decimal" w:pos="437"/>
              </w:tabs>
              <w:rPr>
                <w:sz w:val="15"/>
                <w:szCs w:val="15"/>
              </w:rPr>
            </w:pPr>
            <w:r w:rsidRPr="00C003FA">
              <w:rPr>
                <w:sz w:val="15"/>
                <w:szCs w:val="15"/>
              </w:rPr>
              <w:t>2,241.8</w:t>
            </w:r>
          </w:p>
        </w:tc>
        <w:tc>
          <w:tcPr>
            <w:tcW w:w="811" w:type="dxa"/>
            <w:vAlign w:val="bottom"/>
          </w:tcPr>
          <w:p w:rsidR="00A837C3" w:rsidRPr="00C003FA" w:rsidRDefault="00A837C3" w:rsidP="006C0B9E">
            <w:pPr>
              <w:tabs>
                <w:tab w:val="decimal" w:pos="437"/>
              </w:tabs>
              <w:rPr>
                <w:sz w:val="15"/>
                <w:szCs w:val="15"/>
              </w:rPr>
            </w:pPr>
            <w:r w:rsidRPr="00C003FA">
              <w:rPr>
                <w:sz w:val="15"/>
                <w:szCs w:val="15"/>
              </w:rPr>
              <w:t>2,065.0</w:t>
            </w:r>
          </w:p>
        </w:tc>
        <w:tc>
          <w:tcPr>
            <w:tcW w:w="901" w:type="dxa"/>
            <w:vAlign w:val="bottom"/>
          </w:tcPr>
          <w:p w:rsidR="00A837C3" w:rsidRPr="00C003FA" w:rsidRDefault="00A837C3" w:rsidP="006C0B9E">
            <w:pPr>
              <w:tabs>
                <w:tab w:val="decimal" w:pos="610"/>
              </w:tabs>
              <w:rPr>
                <w:sz w:val="15"/>
                <w:szCs w:val="15"/>
              </w:rPr>
            </w:pPr>
            <w:r w:rsidRPr="00C003FA">
              <w:rPr>
                <w:sz w:val="15"/>
                <w:szCs w:val="15"/>
              </w:rPr>
              <w:t>2,321.4</w:t>
            </w:r>
          </w:p>
        </w:tc>
        <w:tc>
          <w:tcPr>
            <w:tcW w:w="900" w:type="dxa"/>
            <w:vAlign w:val="bottom"/>
          </w:tcPr>
          <w:p w:rsidR="00A837C3" w:rsidRPr="00C003FA" w:rsidRDefault="00A837C3" w:rsidP="006C0B9E">
            <w:pPr>
              <w:tabs>
                <w:tab w:val="decimal" w:pos="590"/>
              </w:tabs>
              <w:rPr>
                <w:sz w:val="15"/>
                <w:szCs w:val="15"/>
              </w:rPr>
            </w:pPr>
            <w:r w:rsidRPr="00C003FA">
              <w:rPr>
                <w:sz w:val="15"/>
                <w:szCs w:val="15"/>
              </w:rPr>
              <w:t>1,872.2</w:t>
            </w:r>
          </w:p>
        </w:tc>
        <w:tc>
          <w:tcPr>
            <w:tcW w:w="810" w:type="dxa"/>
          </w:tcPr>
          <w:p w:rsidR="00A837C3" w:rsidRPr="00C003FA" w:rsidRDefault="00A837C3" w:rsidP="006C0B9E">
            <w:pPr>
              <w:tabs>
                <w:tab w:val="decimal" w:pos="437"/>
              </w:tabs>
              <w:rPr>
                <w:sz w:val="15"/>
                <w:szCs w:val="15"/>
              </w:rPr>
            </w:pPr>
            <w:r w:rsidRPr="00C003FA">
              <w:rPr>
                <w:sz w:val="15"/>
                <w:szCs w:val="15"/>
              </w:rPr>
              <w:t>1,598.0</w:t>
            </w:r>
          </w:p>
        </w:tc>
      </w:tr>
      <w:tr w:rsidR="00A837C3" w:rsidRPr="00C003FA" w:rsidTr="006C0B9E">
        <w:trPr>
          <w:jc w:val="center"/>
        </w:trPr>
        <w:tc>
          <w:tcPr>
            <w:tcW w:w="1615" w:type="dxa"/>
            <w:vAlign w:val="bottom"/>
          </w:tcPr>
          <w:p w:rsidR="00A837C3" w:rsidRPr="00C003FA" w:rsidRDefault="00A837C3" w:rsidP="006C0B9E">
            <w:pPr>
              <w:keepNext/>
              <w:keepLines/>
              <w:ind w:left="162" w:hanging="162"/>
              <w:jc w:val="left"/>
              <w:rPr>
                <w:sz w:val="15"/>
                <w:szCs w:val="15"/>
              </w:rPr>
            </w:pPr>
            <w:r w:rsidRPr="00C003FA">
              <w:rPr>
                <w:sz w:val="15"/>
                <w:szCs w:val="15"/>
              </w:rPr>
              <w:t>U.S. Treasury Notes</w:t>
            </w:r>
          </w:p>
        </w:tc>
        <w:tc>
          <w:tcPr>
            <w:tcW w:w="810" w:type="dxa"/>
            <w:vAlign w:val="bottom"/>
          </w:tcPr>
          <w:p w:rsidR="00A837C3" w:rsidRPr="00C003FA" w:rsidRDefault="00A837C3" w:rsidP="006C0B9E">
            <w:pPr>
              <w:tabs>
                <w:tab w:val="decimal" w:pos="437"/>
              </w:tabs>
              <w:rPr>
                <w:sz w:val="15"/>
                <w:szCs w:val="15"/>
              </w:rPr>
            </w:pPr>
            <w:r w:rsidRPr="00C003FA">
              <w:rPr>
                <w:sz w:val="15"/>
                <w:szCs w:val="15"/>
              </w:rPr>
              <w:t>1,294.8</w:t>
            </w:r>
          </w:p>
        </w:tc>
        <w:tc>
          <w:tcPr>
            <w:tcW w:w="810" w:type="dxa"/>
            <w:vAlign w:val="bottom"/>
          </w:tcPr>
          <w:p w:rsidR="00A837C3" w:rsidRPr="00C003FA" w:rsidRDefault="00A837C3" w:rsidP="006C0B9E">
            <w:pPr>
              <w:tabs>
                <w:tab w:val="decimal" w:pos="437"/>
              </w:tabs>
              <w:rPr>
                <w:sz w:val="15"/>
                <w:szCs w:val="15"/>
              </w:rPr>
            </w:pPr>
            <w:r w:rsidRPr="00C003FA">
              <w:rPr>
                <w:sz w:val="15"/>
                <w:szCs w:val="15"/>
              </w:rPr>
              <w:t>1,159.0</w:t>
            </w:r>
          </w:p>
        </w:tc>
        <w:tc>
          <w:tcPr>
            <w:tcW w:w="811" w:type="dxa"/>
            <w:vAlign w:val="bottom"/>
          </w:tcPr>
          <w:p w:rsidR="00A837C3" w:rsidRPr="00C003FA" w:rsidRDefault="00A837C3" w:rsidP="006C0B9E">
            <w:pPr>
              <w:tabs>
                <w:tab w:val="decimal" w:pos="437"/>
              </w:tabs>
              <w:rPr>
                <w:sz w:val="15"/>
                <w:szCs w:val="15"/>
              </w:rPr>
            </w:pPr>
            <w:r w:rsidRPr="00C003FA">
              <w:rPr>
                <w:sz w:val="15"/>
                <w:szCs w:val="15"/>
              </w:rPr>
              <w:t>1,279.0</w:t>
            </w:r>
          </w:p>
        </w:tc>
        <w:tc>
          <w:tcPr>
            <w:tcW w:w="810" w:type="dxa"/>
            <w:vAlign w:val="bottom"/>
          </w:tcPr>
          <w:p w:rsidR="00A837C3" w:rsidRPr="00C003FA" w:rsidRDefault="00A837C3" w:rsidP="006C0B9E">
            <w:pPr>
              <w:tabs>
                <w:tab w:val="decimal" w:pos="437"/>
              </w:tabs>
              <w:rPr>
                <w:sz w:val="15"/>
                <w:szCs w:val="15"/>
              </w:rPr>
            </w:pPr>
            <w:r w:rsidRPr="00C003FA">
              <w:rPr>
                <w:sz w:val="15"/>
                <w:szCs w:val="15"/>
              </w:rPr>
              <w:t>1,224.4</w:t>
            </w:r>
          </w:p>
        </w:tc>
        <w:tc>
          <w:tcPr>
            <w:tcW w:w="811" w:type="dxa"/>
            <w:vAlign w:val="bottom"/>
          </w:tcPr>
          <w:p w:rsidR="00A837C3" w:rsidRPr="00C003FA" w:rsidRDefault="00A837C3" w:rsidP="006C0B9E">
            <w:pPr>
              <w:tabs>
                <w:tab w:val="decimal" w:pos="437"/>
              </w:tabs>
              <w:rPr>
                <w:sz w:val="15"/>
                <w:szCs w:val="15"/>
              </w:rPr>
            </w:pPr>
            <w:r w:rsidRPr="00C003FA">
              <w:rPr>
                <w:sz w:val="15"/>
                <w:szCs w:val="15"/>
              </w:rPr>
              <w:t>1,156.0</w:t>
            </w:r>
          </w:p>
        </w:tc>
        <w:tc>
          <w:tcPr>
            <w:tcW w:w="810" w:type="dxa"/>
            <w:vAlign w:val="bottom"/>
          </w:tcPr>
          <w:p w:rsidR="00A837C3" w:rsidRPr="00C003FA" w:rsidRDefault="00A837C3" w:rsidP="006C0B9E">
            <w:pPr>
              <w:tabs>
                <w:tab w:val="decimal" w:pos="437"/>
              </w:tabs>
              <w:rPr>
                <w:sz w:val="15"/>
                <w:szCs w:val="15"/>
              </w:rPr>
            </w:pPr>
            <w:r w:rsidRPr="00C003FA">
              <w:rPr>
                <w:sz w:val="15"/>
                <w:szCs w:val="15"/>
              </w:rPr>
              <w:t>1,055.4</w:t>
            </w:r>
          </w:p>
        </w:tc>
        <w:tc>
          <w:tcPr>
            <w:tcW w:w="811" w:type="dxa"/>
            <w:vAlign w:val="bottom"/>
          </w:tcPr>
          <w:p w:rsidR="00A837C3" w:rsidRPr="00C003FA" w:rsidRDefault="00A837C3" w:rsidP="006C0B9E">
            <w:pPr>
              <w:tabs>
                <w:tab w:val="decimal" w:pos="437"/>
              </w:tabs>
              <w:rPr>
                <w:sz w:val="15"/>
                <w:szCs w:val="15"/>
              </w:rPr>
            </w:pPr>
            <w:r w:rsidRPr="00C003FA">
              <w:rPr>
                <w:sz w:val="15"/>
                <w:szCs w:val="15"/>
              </w:rPr>
              <w:t>981.7</w:t>
            </w:r>
          </w:p>
        </w:tc>
        <w:tc>
          <w:tcPr>
            <w:tcW w:w="810" w:type="dxa"/>
            <w:vAlign w:val="bottom"/>
          </w:tcPr>
          <w:p w:rsidR="00A837C3" w:rsidRPr="00C003FA" w:rsidRDefault="00A837C3" w:rsidP="006C0B9E">
            <w:pPr>
              <w:tabs>
                <w:tab w:val="decimal" w:pos="437"/>
              </w:tabs>
              <w:rPr>
                <w:sz w:val="15"/>
                <w:szCs w:val="15"/>
              </w:rPr>
            </w:pPr>
            <w:r w:rsidRPr="00C003FA">
              <w:rPr>
                <w:sz w:val="15"/>
                <w:szCs w:val="15"/>
              </w:rPr>
              <w:t>862.0</w:t>
            </w:r>
          </w:p>
        </w:tc>
        <w:tc>
          <w:tcPr>
            <w:tcW w:w="811" w:type="dxa"/>
            <w:vAlign w:val="bottom"/>
          </w:tcPr>
          <w:p w:rsidR="00A837C3" w:rsidRPr="00C003FA" w:rsidRDefault="00A837C3" w:rsidP="006C0B9E">
            <w:pPr>
              <w:tabs>
                <w:tab w:val="decimal" w:pos="437"/>
              </w:tabs>
              <w:rPr>
                <w:sz w:val="15"/>
                <w:szCs w:val="15"/>
              </w:rPr>
            </w:pPr>
            <w:r w:rsidRPr="00C003FA">
              <w:rPr>
                <w:sz w:val="15"/>
                <w:szCs w:val="15"/>
              </w:rPr>
              <w:t>1,042.3</w:t>
            </w:r>
          </w:p>
        </w:tc>
        <w:tc>
          <w:tcPr>
            <w:tcW w:w="901" w:type="dxa"/>
            <w:vAlign w:val="bottom"/>
          </w:tcPr>
          <w:p w:rsidR="00A837C3" w:rsidRPr="00C003FA" w:rsidRDefault="00A837C3" w:rsidP="006C0B9E">
            <w:pPr>
              <w:tabs>
                <w:tab w:val="decimal" w:pos="610"/>
              </w:tabs>
              <w:rPr>
                <w:sz w:val="15"/>
                <w:szCs w:val="15"/>
              </w:rPr>
            </w:pPr>
            <w:r w:rsidRPr="00C003FA">
              <w:rPr>
                <w:sz w:val="15"/>
                <w:szCs w:val="15"/>
              </w:rPr>
              <w:t>934.9</w:t>
            </w:r>
          </w:p>
        </w:tc>
        <w:tc>
          <w:tcPr>
            <w:tcW w:w="900" w:type="dxa"/>
            <w:vAlign w:val="bottom"/>
          </w:tcPr>
          <w:p w:rsidR="00A837C3" w:rsidRPr="00C003FA" w:rsidRDefault="00A837C3" w:rsidP="006C0B9E">
            <w:pPr>
              <w:tabs>
                <w:tab w:val="decimal" w:pos="590"/>
              </w:tabs>
              <w:rPr>
                <w:sz w:val="15"/>
                <w:szCs w:val="15"/>
              </w:rPr>
            </w:pPr>
            <w:r w:rsidRPr="00C003FA">
              <w:rPr>
                <w:sz w:val="15"/>
                <w:szCs w:val="15"/>
              </w:rPr>
              <w:t>841.3</w:t>
            </w:r>
          </w:p>
        </w:tc>
        <w:tc>
          <w:tcPr>
            <w:tcW w:w="810" w:type="dxa"/>
          </w:tcPr>
          <w:p w:rsidR="00A837C3" w:rsidRPr="00C003FA" w:rsidRDefault="00A837C3" w:rsidP="006C0B9E">
            <w:pPr>
              <w:tabs>
                <w:tab w:val="decimal" w:pos="437"/>
              </w:tabs>
              <w:rPr>
                <w:sz w:val="15"/>
                <w:szCs w:val="15"/>
              </w:rPr>
            </w:pPr>
            <w:r w:rsidRPr="00C003FA">
              <w:rPr>
                <w:sz w:val="15"/>
                <w:szCs w:val="15"/>
              </w:rPr>
              <w:t>821.2</w:t>
            </w:r>
          </w:p>
        </w:tc>
      </w:tr>
      <w:tr w:rsidR="00A837C3" w:rsidRPr="00C003FA" w:rsidTr="006C0B9E">
        <w:trPr>
          <w:jc w:val="center"/>
        </w:trPr>
        <w:tc>
          <w:tcPr>
            <w:tcW w:w="1615" w:type="dxa"/>
            <w:vAlign w:val="bottom"/>
          </w:tcPr>
          <w:p w:rsidR="00A837C3" w:rsidRPr="00C003FA" w:rsidRDefault="00A837C3" w:rsidP="006C0B9E">
            <w:pPr>
              <w:keepNext/>
              <w:keepLines/>
              <w:ind w:left="162" w:hanging="162"/>
              <w:jc w:val="left"/>
              <w:rPr>
                <w:sz w:val="15"/>
                <w:szCs w:val="15"/>
              </w:rPr>
            </w:pPr>
            <w:r w:rsidRPr="00C003FA">
              <w:rPr>
                <w:sz w:val="15"/>
                <w:szCs w:val="15"/>
              </w:rPr>
              <w:t>Federal Agencies</w:t>
            </w:r>
          </w:p>
        </w:tc>
        <w:tc>
          <w:tcPr>
            <w:tcW w:w="810" w:type="dxa"/>
            <w:vAlign w:val="bottom"/>
          </w:tcPr>
          <w:p w:rsidR="00A837C3" w:rsidRPr="00C003FA" w:rsidRDefault="00A837C3" w:rsidP="006C0B9E">
            <w:pPr>
              <w:tabs>
                <w:tab w:val="decimal" w:pos="437"/>
              </w:tabs>
              <w:rPr>
                <w:sz w:val="15"/>
                <w:szCs w:val="15"/>
              </w:rPr>
            </w:pPr>
            <w:r w:rsidRPr="00C003FA">
              <w:rPr>
                <w:sz w:val="15"/>
                <w:szCs w:val="15"/>
              </w:rPr>
              <w:t>1,356.6</w:t>
            </w:r>
          </w:p>
        </w:tc>
        <w:tc>
          <w:tcPr>
            <w:tcW w:w="810" w:type="dxa"/>
            <w:vAlign w:val="bottom"/>
          </w:tcPr>
          <w:p w:rsidR="00A837C3" w:rsidRPr="00C003FA" w:rsidRDefault="00A837C3" w:rsidP="006C0B9E">
            <w:pPr>
              <w:tabs>
                <w:tab w:val="decimal" w:pos="437"/>
              </w:tabs>
              <w:rPr>
                <w:sz w:val="15"/>
                <w:szCs w:val="15"/>
              </w:rPr>
            </w:pPr>
            <w:r w:rsidRPr="00C003FA">
              <w:rPr>
                <w:sz w:val="15"/>
                <w:szCs w:val="15"/>
              </w:rPr>
              <w:t>1,249.7</w:t>
            </w:r>
          </w:p>
        </w:tc>
        <w:tc>
          <w:tcPr>
            <w:tcW w:w="811" w:type="dxa"/>
            <w:vAlign w:val="bottom"/>
          </w:tcPr>
          <w:p w:rsidR="00A837C3" w:rsidRPr="00C003FA" w:rsidRDefault="00A837C3" w:rsidP="006C0B9E">
            <w:pPr>
              <w:tabs>
                <w:tab w:val="decimal" w:pos="437"/>
              </w:tabs>
              <w:rPr>
                <w:sz w:val="15"/>
                <w:szCs w:val="15"/>
              </w:rPr>
            </w:pPr>
            <w:r w:rsidRPr="00C003FA">
              <w:rPr>
                <w:sz w:val="15"/>
                <w:szCs w:val="15"/>
              </w:rPr>
              <w:t>1,219.8</w:t>
            </w:r>
          </w:p>
        </w:tc>
        <w:tc>
          <w:tcPr>
            <w:tcW w:w="810" w:type="dxa"/>
            <w:vAlign w:val="bottom"/>
          </w:tcPr>
          <w:p w:rsidR="00A837C3" w:rsidRPr="00C003FA" w:rsidRDefault="00A837C3" w:rsidP="006C0B9E">
            <w:pPr>
              <w:tabs>
                <w:tab w:val="decimal" w:pos="437"/>
              </w:tabs>
              <w:rPr>
                <w:sz w:val="15"/>
                <w:szCs w:val="15"/>
              </w:rPr>
            </w:pPr>
            <w:r w:rsidRPr="00C003FA">
              <w:rPr>
                <w:sz w:val="15"/>
                <w:szCs w:val="15"/>
              </w:rPr>
              <w:t>677.6</w:t>
            </w:r>
          </w:p>
        </w:tc>
        <w:tc>
          <w:tcPr>
            <w:tcW w:w="811" w:type="dxa"/>
            <w:vAlign w:val="bottom"/>
          </w:tcPr>
          <w:p w:rsidR="00A837C3" w:rsidRPr="00C003FA" w:rsidRDefault="00A837C3" w:rsidP="006C0B9E">
            <w:pPr>
              <w:tabs>
                <w:tab w:val="decimal" w:pos="437"/>
              </w:tabs>
              <w:rPr>
                <w:sz w:val="15"/>
                <w:szCs w:val="15"/>
              </w:rPr>
            </w:pPr>
            <w:r w:rsidRPr="00C003FA">
              <w:rPr>
                <w:sz w:val="15"/>
                <w:szCs w:val="15"/>
              </w:rPr>
              <w:t>553.3</w:t>
            </w:r>
          </w:p>
        </w:tc>
        <w:tc>
          <w:tcPr>
            <w:tcW w:w="810" w:type="dxa"/>
            <w:vAlign w:val="bottom"/>
          </w:tcPr>
          <w:p w:rsidR="00A837C3" w:rsidRPr="00C003FA" w:rsidRDefault="00A837C3" w:rsidP="006C0B9E">
            <w:pPr>
              <w:tabs>
                <w:tab w:val="decimal" w:pos="437"/>
              </w:tabs>
              <w:rPr>
                <w:sz w:val="15"/>
                <w:szCs w:val="15"/>
              </w:rPr>
            </w:pPr>
            <w:r w:rsidRPr="00C003FA">
              <w:rPr>
                <w:sz w:val="15"/>
                <w:szCs w:val="15"/>
              </w:rPr>
              <w:t>570.5</w:t>
            </w:r>
          </w:p>
        </w:tc>
        <w:tc>
          <w:tcPr>
            <w:tcW w:w="811" w:type="dxa"/>
            <w:vAlign w:val="bottom"/>
          </w:tcPr>
          <w:p w:rsidR="00A837C3" w:rsidRPr="00C003FA" w:rsidRDefault="00A837C3" w:rsidP="006C0B9E">
            <w:pPr>
              <w:tabs>
                <w:tab w:val="decimal" w:pos="437"/>
              </w:tabs>
              <w:rPr>
                <w:sz w:val="15"/>
                <w:szCs w:val="15"/>
              </w:rPr>
            </w:pPr>
            <w:r w:rsidRPr="00C003FA">
              <w:rPr>
                <w:sz w:val="15"/>
                <w:szCs w:val="15"/>
              </w:rPr>
              <w:t>722.1</w:t>
            </w:r>
          </w:p>
        </w:tc>
        <w:tc>
          <w:tcPr>
            <w:tcW w:w="810" w:type="dxa"/>
            <w:vAlign w:val="bottom"/>
          </w:tcPr>
          <w:p w:rsidR="00A837C3" w:rsidRPr="00C003FA" w:rsidRDefault="00A837C3" w:rsidP="006C0B9E">
            <w:pPr>
              <w:tabs>
                <w:tab w:val="decimal" w:pos="437"/>
              </w:tabs>
              <w:rPr>
                <w:sz w:val="15"/>
                <w:szCs w:val="15"/>
              </w:rPr>
            </w:pPr>
            <w:r w:rsidRPr="00C003FA">
              <w:rPr>
                <w:sz w:val="15"/>
                <w:szCs w:val="15"/>
              </w:rPr>
              <w:t>727.1</w:t>
            </w:r>
          </w:p>
        </w:tc>
        <w:tc>
          <w:tcPr>
            <w:tcW w:w="811" w:type="dxa"/>
            <w:vAlign w:val="bottom"/>
          </w:tcPr>
          <w:p w:rsidR="00A837C3" w:rsidRPr="00C003FA" w:rsidRDefault="00A837C3" w:rsidP="006C0B9E">
            <w:pPr>
              <w:tabs>
                <w:tab w:val="decimal" w:pos="437"/>
              </w:tabs>
              <w:rPr>
                <w:sz w:val="15"/>
                <w:szCs w:val="15"/>
              </w:rPr>
            </w:pPr>
            <w:r w:rsidRPr="00C003FA">
              <w:rPr>
                <w:sz w:val="15"/>
                <w:szCs w:val="15"/>
              </w:rPr>
              <w:t>501.7</w:t>
            </w:r>
          </w:p>
        </w:tc>
        <w:tc>
          <w:tcPr>
            <w:tcW w:w="901" w:type="dxa"/>
            <w:vAlign w:val="bottom"/>
          </w:tcPr>
          <w:p w:rsidR="00A837C3" w:rsidRPr="00C003FA" w:rsidRDefault="00A837C3" w:rsidP="006C0B9E">
            <w:pPr>
              <w:tabs>
                <w:tab w:val="decimal" w:pos="610"/>
              </w:tabs>
              <w:rPr>
                <w:sz w:val="15"/>
                <w:szCs w:val="15"/>
              </w:rPr>
            </w:pPr>
            <w:r w:rsidRPr="00C003FA">
              <w:rPr>
                <w:sz w:val="15"/>
                <w:szCs w:val="15"/>
              </w:rPr>
              <w:t>873.3</w:t>
            </w:r>
          </w:p>
        </w:tc>
        <w:tc>
          <w:tcPr>
            <w:tcW w:w="900" w:type="dxa"/>
            <w:vAlign w:val="bottom"/>
          </w:tcPr>
          <w:p w:rsidR="00A837C3" w:rsidRPr="00C003FA" w:rsidRDefault="00A837C3" w:rsidP="006C0B9E">
            <w:pPr>
              <w:tabs>
                <w:tab w:val="decimal" w:pos="590"/>
              </w:tabs>
              <w:rPr>
                <w:sz w:val="15"/>
                <w:szCs w:val="15"/>
              </w:rPr>
            </w:pPr>
            <w:r w:rsidRPr="00C003FA">
              <w:rPr>
                <w:sz w:val="15"/>
                <w:szCs w:val="15"/>
              </w:rPr>
              <w:t>1,417.1</w:t>
            </w:r>
          </w:p>
        </w:tc>
        <w:tc>
          <w:tcPr>
            <w:tcW w:w="810" w:type="dxa"/>
          </w:tcPr>
          <w:p w:rsidR="00A837C3" w:rsidRPr="00C003FA" w:rsidRDefault="00A837C3" w:rsidP="006C0B9E">
            <w:pPr>
              <w:tabs>
                <w:tab w:val="decimal" w:pos="437"/>
              </w:tabs>
              <w:rPr>
                <w:sz w:val="15"/>
                <w:szCs w:val="15"/>
              </w:rPr>
            </w:pPr>
            <w:r w:rsidRPr="00C003FA">
              <w:rPr>
                <w:sz w:val="15"/>
                <w:szCs w:val="15"/>
              </w:rPr>
              <w:t>1,091.5</w:t>
            </w:r>
          </w:p>
        </w:tc>
      </w:tr>
      <w:tr w:rsidR="00A837C3" w:rsidRPr="00C003FA" w:rsidTr="006C0B9E">
        <w:trPr>
          <w:jc w:val="center"/>
        </w:trPr>
        <w:tc>
          <w:tcPr>
            <w:tcW w:w="1615" w:type="dxa"/>
            <w:vAlign w:val="bottom"/>
          </w:tcPr>
          <w:p w:rsidR="00A837C3" w:rsidRPr="00C003FA" w:rsidRDefault="00A837C3" w:rsidP="006C0B9E">
            <w:pPr>
              <w:keepNext/>
              <w:keepLines/>
              <w:ind w:left="162" w:hanging="162"/>
              <w:jc w:val="left"/>
              <w:rPr>
                <w:sz w:val="15"/>
                <w:szCs w:val="15"/>
              </w:rPr>
            </w:pPr>
            <w:r w:rsidRPr="00C003FA">
              <w:rPr>
                <w:sz w:val="15"/>
                <w:szCs w:val="15"/>
              </w:rPr>
              <w:t>Asset-Backed Securities</w:t>
            </w:r>
          </w:p>
        </w:tc>
        <w:tc>
          <w:tcPr>
            <w:tcW w:w="810" w:type="dxa"/>
            <w:vAlign w:val="bottom"/>
          </w:tcPr>
          <w:p w:rsidR="00A837C3" w:rsidRPr="00C003FA" w:rsidRDefault="00A837C3" w:rsidP="006C0B9E">
            <w:pPr>
              <w:tabs>
                <w:tab w:val="decimal" w:pos="437"/>
              </w:tabs>
              <w:rPr>
                <w:sz w:val="15"/>
                <w:szCs w:val="15"/>
              </w:rPr>
            </w:pPr>
            <w:r w:rsidRPr="00C003FA">
              <w:rPr>
                <w:sz w:val="15"/>
                <w:szCs w:val="15"/>
              </w:rPr>
              <w:t>851.8</w:t>
            </w:r>
          </w:p>
        </w:tc>
        <w:tc>
          <w:tcPr>
            <w:tcW w:w="810" w:type="dxa"/>
            <w:vAlign w:val="bottom"/>
          </w:tcPr>
          <w:p w:rsidR="00A837C3" w:rsidRPr="00C003FA" w:rsidRDefault="00A837C3" w:rsidP="006C0B9E">
            <w:pPr>
              <w:tabs>
                <w:tab w:val="decimal" w:pos="437"/>
              </w:tabs>
              <w:rPr>
                <w:sz w:val="15"/>
                <w:szCs w:val="15"/>
              </w:rPr>
            </w:pPr>
            <w:r w:rsidRPr="00C003FA">
              <w:rPr>
                <w:sz w:val="15"/>
                <w:szCs w:val="15"/>
              </w:rPr>
              <w:t>935.8</w:t>
            </w:r>
          </w:p>
        </w:tc>
        <w:tc>
          <w:tcPr>
            <w:tcW w:w="811" w:type="dxa"/>
            <w:vAlign w:val="bottom"/>
          </w:tcPr>
          <w:p w:rsidR="00A837C3" w:rsidRPr="00C003FA" w:rsidRDefault="00A837C3" w:rsidP="006C0B9E">
            <w:pPr>
              <w:tabs>
                <w:tab w:val="decimal" w:pos="437"/>
              </w:tabs>
              <w:rPr>
                <w:sz w:val="15"/>
                <w:szCs w:val="15"/>
              </w:rPr>
            </w:pPr>
            <w:r w:rsidRPr="00C003FA">
              <w:rPr>
                <w:sz w:val="15"/>
                <w:szCs w:val="15"/>
              </w:rPr>
              <w:t>947.6</w:t>
            </w:r>
          </w:p>
        </w:tc>
        <w:tc>
          <w:tcPr>
            <w:tcW w:w="810" w:type="dxa"/>
            <w:vAlign w:val="bottom"/>
          </w:tcPr>
          <w:p w:rsidR="00A837C3" w:rsidRPr="00C003FA" w:rsidRDefault="00A837C3" w:rsidP="006C0B9E">
            <w:pPr>
              <w:tabs>
                <w:tab w:val="decimal" w:pos="437"/>
              </w:tabs>
              <w:rPr>
                <w:sz w:val="15"/>
                <w:szCs w:val="15"/>
              </w:rPr>
            </w:pPr>
            <w:r w:rsidRPr="00C003FA">
              <w:rPr>
                <w:sz w:val="15"/>
                <w:szCs w:val="15"/>
              </w:rPr>
              <w:t>955.5</w:t>
            </w:r>
          </w:p>
        </w:tc>
        <w:tc>
          <w:tcPr>
            <w:tcW w:w="811" w:type="dxa"/>
            <w:vAlign w:val="bottom"/>
          </w:tcPr>
          <w:p w:rsidR="00A837C3" w:rsidRPr="00C003FA" w:rsidRDefault="00A837C3" w:rsidP="006C0B9E">
            <w:pPr>
              <w:tabs>
                <w:tab w:val="decimal" w:pos="437"/>
              </w:tabs>
              <w:rPr>
                <w:sz w:val="15"/>
                <w:szCs w:val="15"/>
              </w:rPr>
            </w:pPr>
            <w:r w:rsidRPr="00C003FA">
              <w:rPr>
                <w:sz w:val="15"/>
                <w:szCs w:val="15"/>
              </w:rPr>
              <w:t>946.5</w:t>
            </w:r>
          </w:p>
        </w:tc>
        <w:tc>
          <w:tcPr>
            <w:tcW w:w="810" w:type="dxa"/>
            <w:vAlign w:val="bottom"/>
          </w:tcPr>
          <w:p w:rsidR="00A837C3" w:rsidRPr="00C003FA" w:rsidRDefault="00A837C3" w:rsidP="006C0B9E">
            <w:pPr>
              <w:tabs>
                <w:tab w:val="decimal" w:pos="437"/>
              </w:tabs>
              <w:rPr>
                <w:sz w:val="15"/>
                <w:szCs w:val="15"/>
              </w:rPr>
            </w:pPr>
            <w:r w:rsidRPr="00C003FA">
              <w:rPr>
                <w:sz w:val="15"/>
                <w:szCs w:val="15"/>
              </w:rPr>
              <w:t>978.0</w:t>
            </w:r>
          </w:p>
        </w:tc>
        <w:tc>
          <w:tcPr>
            <w:tcW w:w="811" w:type="dxa"/>
            <w:vAlign w:val="bottom"/>
          </w:tcPr>
          <w:p w:rsidR="00A837C3" w:rsidRPr="00C003FA" w:rsidRDefault="00A837C3" w:rsidP="006C0B9E">
            <w:pPr>
              <w:tabs>
                <w:tab w:val="decimal" w:pos="437"/>
              </w:tabs>
              <w:rPr>
                <w:sz w:val="15"/>
                <w:szCs w:val="15"/>
              </w:rPr>
            </w:pPr>
            <w:r w:rsidRPr="00C003FA">
              <w:rPr>
                <w:sz w:val="15"/>
                <w:szCs w:val="15"/>
              </w:rPr>
              <w:t>1,024.3</w:t>
            </w:r>
          </w:p>
        </w:tc>
        <w:tc>
          <w:tcPr>
            <w:tcW w:w="810" w:type="dxa"/>
            <w:vAlign w:val="bottom"/>
          </w:tcPr>
          <w:p w:rsidR="00A837C3" w:rsidRPr="00C003FA" w:rsidRDefault="00A837C3" w:rsidP="006C0B9E">
            <w:pPr>
              <w:tabs>
                <w:tab w:val="decimal" w:pos="437"/>
              </w:tabs>
              <w:rPr>
                <w:sz w:val="15"/>
                <w:szCs w:val="15"/>
              </w:rPr>
            </w:pPr>
            <w:r w:rsidRPr="00C003FA">
              <w:rPr>
                <w:sz w:val="15"/>
                <w:szCs w:val="15"/>
              </w:rPr>
              <w:t>995.0</w:t>
            </w:r>
          </w:p>
        </w:tc>
        <w:tc>
          <w:tcPr>
            <w:tcW w:w="811" w:type="dxa"/>
            <w:vAlign w:val="bottom"/>
          </w:tcPr>
          <w:p w:rsidR="00A837C3" w:rsidRPr="00C003FA" w:rsidRDefault="00A837C3" w:rsidP="006C0B9E">
            <w:pPr>
              <w:tabs>
                <w:tab w:val="decimal" w:pos="437"/>
              </w:tabs>
              <w:rPr>
                <w:sz w:val="15"/>
                <w:szCs w:val="15"/>
              </w:rPr>
            </w:pPr>
            <w:r w:rsidRPr="00C003FA">
              <w:rPr>
                <w:sz w:val="15"/>
                <w:szCs w:val="15"/>
              </w:rPr>
              <w:t>973.4</w:t>
            </w:r>
          </w:p>
        </w:tc>
        <w:tc>
          <w:tcPr>
            <w:tcW w:w="901" w:type="dxa"/>
            <w:vAlign w:val="bottom"/>
          </w:tcPr>
          <w:p w:rsidR="00A837C3" w:rsidRPr="00C003FA" w:rsidRDefault="00A837C3" w:rsidP="006C0B9E">
            <w:pPr>
              <w:tabs>
                <w:tab w:val="decimal" w:pos="610"/>
              </w:tabs>
              <w:rPr>
                <w:sz w:val="15"/>
                <w:szCs w:val="15"/>
              </w:rPr>
            </w:pPr>
            <w:r w:rsidRPr="00C003FA">
              <w:rPr>
                <w:sz w:val="15"/>
                <w:szCs w:val="15"/>
              </w:rPr>
              <w:t>991.1</w:t>
            </w:r>
          </w:p>
        </w:tc>
        <w:tc>
          <w:tcPr>
            <w:tcW w:w="900" w:type="dxa"/>
            <w:vAlign w:val="bottom"/>
          </w:tcPr>
          <w:p w:rsidR="00A837C3" w:rsidRPr="00C003FA" w:rsidRDefault="00A837C3" w:rsidP="006C0B9E">
            <w:pPr>
              <w:tabs>
                <w:tab w:val="decimal" w:pos="590"/>
              </w:tabs>
              <w:rPr>
                <w:sz w:val="15"/>
                <w:szCs w:val="15"/>
              </w:rPr>
            </w:pPr>
            <w:r w:rsidRPr="00C003FA">
              <w:rPr>
                <w:sz w:val="15"/>
                <w:szCs w:val="15"/>
              </w:rPr>
              <w:t>982.4</w:t>
            </w:r>
          </w:p>
        </w:tc>
        <w:tc>
          <w:tcPr>
            <w:tcW w:w="810" w:type="dxa"/>
            <w:vAlign w:val="bottom"/>
          </w:tcPr>
          <w:p w:rsidR="00A837C3" w:rsidRPr="00C003FA" w:rsidRDefault="00A837C3" w:rsidP="006C0B9E">
            <w:pPr>
              <w:tabs>
                <w:tab w:val="decimal" w:pos="437"/>
              </w:tabs>
              <w:rPr>
                <w:sz w:val="15"/>
                <w:szCs w:val="15"/>
              </w:rPr>
            </w:pPr>
            <w:r w:rsidRPr="00C003FA">
              <w:rPr>
                <w:sz w:val="15"/>
                <w:szCs w:val="15"/>
              </w:rPr>
              <w:t>920.9</w:t>
            </w:r>
          </w:p>
        </w:tc>
      </w:tr>
      <w:tr w:rsidR="00A837C3" w:rsidRPr="00C003FA" w:rsidTr="006C0B9E">
        <w:trPr>
          <w:jc w:val="center"/>
        </w:trPr>
        <w:tc>
          <w:tcPr>
            <w:tcW w:w="1615" w:type="dxa"/>
            <w:vAlign w:val="bottom"/>
          </w:tcPr>
          <w:p w:rsidR="00A837C3" w:rsidRPr="00C003FA" w:rsidRDefault="00A837C3" w:rsidP="006C0B9E">
            <w:pPr>
              <w:keepNext/>
              <w:keepLines/>
              <w:ind w:left="162" w:hanging="162"/>
              <w:jc w:val="left"/>
              <w:rPr>
                <w:sz w:val="15"/>
                <w:szCs w:val="15"/>
              </w:rPr>
            </w:pPr>
            <w:r w:rsidRPr="00C003FA">
              <w:rPr>
                <w:sz w:val="15"/>
                <w:szCs w:val="15"/>
              </w:rPr>
              <w:t>Money Market</w:t>
            </w:r>
          </w:p>
        </w:tc>
        <w:tc>
          <w:tcPr>
            <w:tcW w:w="810" w:type="dxa"/>
            <w:vAlign w:val="bottom"/>
          </w:tcPr>
          <w:p w:rsidR="00A837C3" w:rsidRPr="00C003FA" w:rsidRDefault="00A837C3" w:rsidP="006C0B9E">
            <w:pPr>
              <w:tabs>
                <w:tab w:val="decimal" w:pos="437"/>
              </w:tabs>
              <w:rPr>
                <w:sz w:val="15"/>
                <w:szCs w:val="15"/>
              </w:rPr>
            </w:pPr>
            <w:r w:rsidRPr="00C003FA">
              <w:rPr>
                <w:sz w:val="15"/>
                <w:szCs w:val="15"/>
              </w:rPr>
              <w:t>350.0</w:t>
            </w:r>
          </w:p>
        </w:tc>
        <w:tc>
          <w:tcPr>
            <w:tcW w:w="810" w:type="dxa"/>
            <w:vAlign w:val="bottom"/>
          </w:tcPr>
          <w:p w:rsidR="00A837C3" w:rsidRPr="00C003FA" w:rsidRDefault="00A837C3" w:rsidP="006C0B9E">
            <w:pPr>
              <w:tabs>
                <w:tab w:val="decimal" w:pos="437"/>
              </w:tabs>
              <w:rPr>
                <w:sz w:val="15"/>
                <w:szCs w:val="15"/>
              </w:rPr>
            </w:pPr>
            <w:r w:rsidRPr="00C003FA">
              <w:rPr>
                <w:sz w:val="15"/>
                <w:szCs w:val="15"/>
              </w:rPr>
              <w:t>255.0</w:t>
            </w:r>
          </w:p>
        </w:tc>
        <w:tc>
          <w:tcPr>
            <w:tcW w:w="811" w:type="dxa"/>
            <w:vAlign w:val="bottom"/>
          </w:tcPr>
          <w:p w:rsidR="00A837C3" w:rsidRPr="00C003FA" w:rsidRDefault="00A837C3" w:rsidP="006C0B9E">
            <w:pPr>
              <w:tabs>
                <w:tab w:val="decimal" w:pos="437"/>
              </w:tabs>
              <w:rPr>
                <w:sz w:val="15"/>
                <w:szCs w:val="15"/>
              </w:rPr>
            </w:pPr>
            <w:r w:rsidRPr="00C003FA">
              <w:rPr>
                <w:sz w:val="15"/>
                <w:szCs w:val="15"/>
              </w:rPr>
              <w:t>540.0</w:t>
            </w:r>
          </w:p>
        </w:tc>
        <w:tc>
          <w:tcPr>
            <w:tcW w:w="810" w:type="dxa"/>
            <w:vAlign w:val="bottom"/>
          </w:tcPr>
          <w:p w:rsidR="00A837C3" w:rsidRPr="00C003FA" w:rsidRDefault="00A837C3" w:rsidP="006C0B9E">
            <w:pPr>
              <w:tabs>
                <w:tab w:val="decimal" w:pos="437"/>
              </w:tabs>
              <w:rPr>
                <w:sz w:val="15"/>
                <w:szCs w:val="15"/>
              </w:rPr>
            </w:pPr>
            <w:r w:rsidRPr="00C003FA">
              <w:rPr>
                <w:sz w:val="15"/>
                <w:szCs w:val="15"/>
              </w:rPr>
              <w:t>450.0</w:t>
            </w:r>
          </w:p>
        </w:tc>
        <w:tc>
          <w:tcPr>
            <w:tcW w:w="811" w:type="dxa"/>
            <w:vAlign w:val="bottom"/>
          </w:tcPr>
          <w:p w:rsidR="00A837C3" w:rsidRPr="00C003FA" w:rsidRDefault="00A837C3" w:rsidP="006C0B9E">
            <w:pPr>
              <w:tabs>
                <w:tab w:val="decimal" w:pos="437"/>
              </w:tabs>
              <w:rPr>
                <w:sz w:val="15"/>
                <w:szCs w:val="15"/>
              </w:rPr>
            </w:pPr>
            <w:r w:rsidRPr="00C003FA">
              <w:rPr>
                <w:sz w:val="15"/>
                <w:szCs w:val="15"/>
              </w:rPr>
              <w:t>470.0</w:t>
            </w:r>
          </w:p>
        </w:tc>
        <w:tc>
          <w:tcPr>
            <w:tcW w:w="810" w:type="dxa"/>
            <w:vAlign w:val="bottom"/>
          </w:tcPr>
          <w:p w:rsidR="00A837C3" w:rsidRPr="00C003FA" w:rsidRDefault="00A837C3" w:rsidP="006C0B9E">
            <w:pPr>
              <w:tabs>
                <w:tab w:val="decimal" w:pos="437"/>
              </w:tabs>
              <w:rPr>
                <w:sz w:val="15"/>
                <w:szCs w:val="15"/>
              </w:rPr>
            </w:pPr>
            <w:r w:rsidRPr="00C003FA">
              <w:rPr>
                <w:sz w:val="15"/>
                <w:szCs w:val="15"/>
              </w:rPr>
              <w:t>350.0</w:t>
            </w:r>
          </w:p>
        </w:tc>
        <w:tc>
          <w:tcPr>
            <w:tcW w:w="811" w:type="dxa"/>
            <w:vAlign w:val="bottom"/>
          </w:tcPr>
          <w:p w:rsidR="00A837C3" w:rsidRPr="00C003FA" w:rsidRDefault="00A837C3" w:rsidP="006C0B9E">
            <w:pPr>
              <w:tabs>
                <w:tab w:val="decimal" w:pos="437"/>
              </w:tabs>
              <w:rPr>
                <w:sz w:val="15"/>
                <w:szCs w:val="15"/>
              </w:rPr>
            </w:pPr>
            <w:r w:rsidRPr="00C003FA">
              <w:rPr>
                <w:sz w:val="15"/>
                <w:szCs w:val="15"/>
              </w:rPr>
              <w:t>480.0</w:t>
            </w:r>
          </w:p>
        </w:tc>
        <w:tc>
          <w:tcPr>
            <w:tcW w:w="810" w:type="dxa"/>
            <w:vAlign w:val="bottom"/>
          </w:tcPr>
          <w:p w:rsidR="00A837C3" w:rsidRPr="00C003FA" w:rsidRDefault="00A837C3" w:rsidP="006C0B9E">
            <w:pPr>
              <w:tabs>
                <w:tab w:val="decimal" w:pos="437"/>
              </w:tabs>
              <w:rPr>
                <w:sz w:val="15"/>
                <w:szCs w:val="15"/>
              </w:rPr>
            </w:pPr>
            <w:r w:rsidRPr="00C003FA">
              <w:rPr>
                <w:sz w:val="15"/>
                <w:szCs w:val="15"/>
              </w:rPr>
              <w:t>440.0</w:t>
            </w:r>
          </w:p>
        </w:tc>
        <w:tc>
          <w:tcPr>
            <w:tcW w:w="811" w:type="dxa"/>
            <w:vAlign w:val="bottom"/>
          </w:tcPr>
          <w:p w:rsidR="00A837C3" w:rsidRPr="00C003FA" w:rsidRDefault="00A837C3" w:rsidP="006C0B9E">
            <w:pPr>
              <w:tabs>
                <w:tab w:val="decimal" w:pos="437"/>
              </w:tabs>
              <w:rPr>
                <w:sz w:val="15"/>
                <w:szCs w:val="15"/>
              </w:rPr>
            </w:pPr>
            <w:r w:rsidRPr="00C003FA">
              <w:rPr>
                <w:sz w:val="15"/>
                <w:szCs w:val="15"/>
              </w:rPr>
              <w:t>380.0</w:t>
            </w:r>
          </w:p>
        </w:tc>
        <w:tc>
          <w:tcPr>
            <w:tcW w:w="901" w:type="dxa"/>
            <w:vAlign w:val="bottom"/>
          </w:tcPr>
          <w:p w:rsidR="00A837C3" w:rsidRPr="00C003FA" w:rsidRDefault="00A837C3" w:rsidP="006C0B9E">
            <w:pPr>
              <w:tabs>
                <w:tab w:val="decimal" w:pos="610"/>
              </w:tabs>
              <w:rPr>
                <w:sz w:val="15"/>
                <w:szCs w:val="15"/>
              </w:rPr>
            </w:pPr>
            <w:r w:rsidRPr="00C003FA">
              <w:rPr>
                <w:sz w:val="15"/>
                <w:szCs w:val="15"/>
              </w:rPr>
              <w:t>625.0</w:t>
            </w:r>
          </w:p>
        </w:tc>
        <w:tc>
          <w:tcPr>
            <w:tcW w:w="900" w:type="dxa"/>
            <w:vAlign w:val="bottom"/>
          </w:tcPr>
          <w:p w:rsidR="00A837C3" w:rsidRPr="00C003FA" w:rsidRDefault="00A837C3" w:rsidP="006C0B9E">
            <w:pPr>
              <w:tabs>
                <w:tab w:val="decimal" w:pos="590"/>
              </w:tabs>
              <w:rPr>
                <w:sz w:val="15"/>
                <w:szCs w:val="15"/>
              </w:rPr>
            </w:pPr>
            <w:r w:rsidRPr="00C003FA">
              <w:rPr>
                <w:sz w:val="15"/>
                <w:szCs w:val="15"/>
              </w:rPr>
              <w:t>345.0</w:t>
            </w:r>
          </w:p>
        </w:tc>
        <w:tc>
          <w:tcPr>
            <w:tcW w:w="810" w:type="dxa"/>
          </w:tcPr>
          <w:p w:rsidR="00A837C3" w:rsidRPr="00C003FA" w:rsidRDefault="00A837C3" w:rsidP="006C0B9E">
            <w:pPr>
              <w:tabs>
                <w:tab w:val="decimal" w:pos="437"/>
              </w:tabs>
              <w:rPr>
                <w:sz w:val="15"/>
                <w:szCs w:val="15"/>
              </w:rPr>
            </w:pPr>
            <w:r w:rsidRPr="00C003FA">
              <w:rPr>
                <w:sz w:val="15"/>
                <w:szCs w:val="15"/>
              </w:rPr>
              <w:t>515.0</w:t>
            </w:r>
          </w:p>
        </w:tc>
      </w:tr>
      <w:tr w:rsidR="00A837C3" w:rsidRPr="00C003FA" w:rsidTr="006C0B9E">
        <w:trPr>
          <w:jc w:val="center"/>
        </w:trPr>
        <w:tc>
          <w:tcPr>
            <w:tcW w:w="1615" w:type="dxa"/>
            <w:vAlign w:val="bottom"/>
          </w:tcPr>
          <w:p w:rsidR="00A837C3" w:rsidRPr="00C003FA" w:rsidRDefault="00A837C3" w:rsidP="006C0B9E">
            <w:pPr>
              <w:keepNext/>
              <w:keepLines/>
              <w:ind w:left="162" w:hanging="162"/>
              <w:jc w:val="left"/>
              <w:rPr>
                <w:sz w:val="15"/>
                <w:szCs w:val="15"/>
              </w:rPr>
            </w:pPr>
            <w:r w:rsidRPr="00C003FA">
              <w:rPr>
                <w:sz w:val="15"/>
                <w:szCs w:val="15"/>
              </w:rPr>
              <w:t>Corporates</w:t>
            </w:r>
          </w:p>
        </w:tc>
        <w:tc>
          <w:tcPr>
            <w:tcW w:w="810" w:type="dxa"/>
            <w:vAlign w:val="bottom"/>
          </w:tcPr>
          <w:p w:rsidR="00A837C3" w:rsidRPr="00C003FA" w:rsidRDefault="00A837C3" w:rsidP="006C0B9E">
            <w:pPr>
              <w:tabs>
                <w:tab w:val="decimal" w:pos="437"/>
              </w:tabs>
              <w:rPr>
                <w:sz w:val="15"/>
                <w:szCs w:val="15"/>
              </w:rPr>
            </w:pPr>
            <w:r w:rsidRPr="00C003FA">
              <w:rPr>
                <w:sz w:val="15"/>
                <w:szCs w:val="15"/>
              </w:rPr>
              <w:t>3,481.7</w:t>
            </w:r>
          </w:p>
        </w:tc>
        <w:tc>
          <w:tcPr>
            <w:tcW w:w="810" w:type="dxa"/>
            <w:vAlign w:val="bottom"/>
          </w:tcPr>
          <w:p w:rsidR="00A837C3" w:rsidRPr="00C003FA" w:rsidRDefault="00A837C3" w:rsidP="006C0B9E">
            <w:pPr>
              <w:tabs>
                <w:tab w:val="decimal" w:pos="437"/>
              </w:tabs>
              <w:rPr>
                <w:sz w:val="15"/>
                <w:szCs w:val="15"/>
              </w:rPr>
            </w:pPr>
            <w:r w:rsidRPr="00C003FA">
              <w:rPr>
                <w:sz w:val="15"/>
                <w:szCs w:val="15"/>
              </w:rPr>
              <w:t>3,396.2</w:t>
            </w:r>
          </w:p>
        </w:tc>
        <w:tc>
          <w:tcPr>
            <w:tcW w:w="811" w:type="dxa"/>
            <w:vAlign w:val="bottom"/>
          </w:tcPr>
          <w:p w:rsidR="00A837C3" w:rsidRPr="00C003FA" w:rsidRDefault="00A837C3" w:rsidP="006C0B9E">
            <w:pPr>
              <w:tabs>
                <w:tab w:val="decimal" w:pos="437"/>
              </w:tabs>
              <w:rPr>
                <w:sz w:val="15"/>
                <w:szCs w:val="15"/>
              </w:rPr>
            </w:pPr>
            <w:r w:rsidRPr="00C003FA">
              <w:rPr>
                <w:sz w:val="15"/>
                <w:szCs w:val="15"/>
              </w:rPr>
              <w:t>3,577.1</w:t>
            </w:r>
          </w:p>
        </w:tc>
        <w:tc>
          <w:tcPr>
            <w:tcW w:w="810" w:type="dxa"/>
            <w:vAlign w:val="bottom"/>
          </w:tcPr>
          <w:p w:rsidR="00A837C3" w:rsidRPr="00C003FA" w:rsidRDefault="00A837C3" w:rsidP="006C0B9E">
            <w:pPr>
              <w:tabs>
                <w:tab w:val="decimal" w:pos="437"/>
              </w:tabs>
              <w:rPr>
                <w:sz w:val="15"/>
                <w:szCs w:val="15"/>
              </w:rPr>
            </w:pPr>
            <w:r w:rsidRPr="00C003FA">
              <w:rPr>
                <w:sz w:val="15"/>
                <w:szCs w:val="15"/>
              </w:rPr>
              <w:t>3,670.1</w:t>
            </w:r>
          </w:p>
        </w:tc>
        <w:tc>
          <w:tcPr>
            <w:tcW w:w="811" w:type="dxa"/>
            <w:vAlign w:val="bottom"/>
          </w:tcPr>
          <w:p w:rsidR="00A837C3" w:rsidRPr="00C003FA" w:rsidRDefault="00A837C3" w:rsidP="006C0B9E">
            <w:pPr>
              <w:tabs>
                <w:tab w:val="decimal" w:pos="437"/>
              </w:tabs>
              <w:rPr>
                <w:sz w:val="15"/>
                <w:szCs w:val="15"/>
              </w:rPr>
            </w:pPr>
            <w:r w:rsidRPr="00C003FA">
              <w:rPr>
                <w:sz w:val="15"/>
                <w:szCs w:val="15"/>
              </w:rPr>
              <w:t>3,522.5</w:t>
            </w:r>
          </w:p>
        </w:tc>
        <w:tc>
          <w:tcPr>
            <w:tcW w:w="810" w:type="dxa"/>
            <w:vAlign w:val="bottom"/>
          </w:tcPr>
          <w:p w:rsidR="00A837C3" w:rsidRPr="00C003FA" w:rsidRDefault="00A837C3" w:rsidP="006C0B9E">
            <w:pPr>
              <w:tabs>
                <w:tab w:val="decimal" w:pos="437"/>
              </w:tabs>
              <w:rPr>
                <w:sz w:val="15"/>
                <w:szCs w:val="15"/>
              </w:rPr>
            </w:pPr>
            <w:r w:rsidRPr="00C003FA">
              <w:rPr>
                <w:sz w:val="15"/>
                <w:szCs w:val="15"/>
              </w:rPr>
              <w:t>3,599.8</w:t>
            </w:r>
          </w:p>
        </w:tc>
        <w:tc>
          <w:tcPr>
            <w:tcW w:w="811" w:type="dxa"/>
            <w:vAlign w:val="bottom"/>
          </w:tcPr>
          <w:p w:rsidR="00A837C3" w:rsidRPr="00C003FA" w:rsidRDefault="00A837C3" w:rsidP="006C0B9E">
            <w:pPr>
              <w:tabs>
                <w:tab w:val="decimal" w:pos="437"/>
              </w:tabs>
              <w:rPr>
                <w:sz w:val="15"/>
                <w:szCs w:val="15"/>
              </w:rPr>
            </w:pPr>
            <w:r w:rsidRPr="00C003FA">
              <w:rPr>
                <w:sz w:val="15"/>
                <w:szCs w:val="15"/>
              </w:rPr>
              <w:t>3,587.8</w:t>
            </w:r>
          </w:p>
        </w:tc>
        <w:tc>
          <w:tcPr>
            <w:tcW w:w="810" w:type="dxa"/>
            <w:vAlign w:val="bottom"/>
          </w:tcPr>
          <w:p w:rsidR="00A837C3" w:rsidRPr="00C003FA" w:rsidRDefault="00A837C3" w:rsidP="006C0B9E">
            <w:pPr>
              <w:tabs>
                <w:tab w:val="decimal" w:pos="437"/>
              </w:tabs>
              <w:rPr>
                <w:sz w:val="15"/>
                <w:szCs w:val="15"/>
              </w:rPr>
            </w:pPr>
            <w:r w:rsidRPr="00C003FA">
              <w:rPr>
                <w:sz w:val="15"/>
                <w:szCs w:val="15"/>
              </w:rPr>
              <w:t>3,344.7</w:t>
            </w:r>
          </w:p>
        </w:tc>
        <w:tc>
          <w:tcPr>
            <w:tcW w:w="811" w:type="dxa"/>
            <w:vAlign w:val="bottom"/>
          </w:tcPr>
          <w:p w:rsidR="00A837C3" w:rsidRPr="00C003FA" w:rsidRDefault="00A837C3" w:rsidP="006C0B9E">
            <w:pPr>
              <w:tabs>
                <w:tab w:val="decimal" w:pos="437"/>
              </w:tabs>
              <w:rPr>
                <w:sz w:val="15"/>
                <w:szCs w:val="15"/>
              </w:rPr>
            </w:pPr>
            <w:r w:rsidRPr="00C003FA">
              <w:rPr>
                <w:sz w:val="15"/>
                <w:szCs w:val="15"/>
              </w:rPr>
              <w:t>3,828.5</w:t>
            </w:r>
          </w:p>
        </w:tc>
        <w:tc>
          <w:tcPr>
            <w:tcW w:w="901" w:type="dxa"/>
            <w:vAlign w:val="bottom"/>
          </w:tcPr>
          <w:p w:rsidR="00A837C3" w:rsidRPr="00C003FA" w:rsidRDefault="00A837C3" w:rsidP="006C0B9E">
            <w:pPr>
              <w:tabs>
                <w:tab w:val="decimal" w:pos="610"/>
              </w:tabs>
              <w:rPr>
                <w:sz w:val="15"/>
                <w:szCs w:val="15"/>
              </w:rPr>
            </w:pPr>
            <w:r w:rsidRPr="00C003FA">
              <w:rPr>
                <w:sz w:val="15"/>
                <w:szCs w:val="15"/>
              </w:rPr>
              <w:t>4,352.8</w:t>
            </w:r>
          </w:p>
        </w:tc>
        <w:tc>
          <w:tcPr>
            <w:tcW w:w="900" w:type="dxa"/>
            <w:vAlign w:val="bottom"/>
          </w:tcPr>
          <w:p w:rsidR="00A837C3" w:rsidRPr="00C003FA" w:rsidRDefault="00A837C3" w:rsidP="006C0B9E">
            <w:pPr>
              <w:tabs>
                <w:tab w:val="decimal" w:pos="590"/>
              </w:tabs>
              <w:rPr>
                <w:sz w:val="15"/>
                <w:szCs w:val="15"/>
              </w:rPr>
            </w:pPr>
            <w:r w:rsidRPr="00C003FA">
              <w:rPr>
                <w:sz w:val="15"/>
                <w:szCs w:val="15"/>
              </w:rPr>
              <w:t>4,593.6</w:t>
            </w:r>
          </w:p>
        </w:tc>
        <w:tc>
          <w:tcPr>
            <w:tcW w:w="810" w:type="dxa"/>
          </w:tcPr>
          <w:p w:rsidR="00A837C3" w:rsidRPr="00C003FA" w:rsidRDefault="00A837C3" w:rsidP="006C0B9E">
            <w:pPr>
              <w:tabs>
                <w:tab w:val="decimal" w:pos="437"/>
              </w:tabs>
              <w:rPr>
                <w:sz w:val="15"/>
                <w:szCs w:val="15"/>
              </w:rPr>
            </w:pPr>
            <w:r w:rsidRPr="00C003FA">
              <w:rPr>
                <w:sz w:val="15"/>
                <w:szCs w:val="15"/>
              </w:rPr>
              <w:t>4,034.6</w:t>
            </w:r>
          </w:p>
        </w:tc>
      </w:tr>
      <w:tr w:rsidR="00A837C3" w:rsidRPr="00C003FA" w:rsidTr="006C0B9E">
        <w:trPr>
          <w:trHeight w:val="80"/>
          <w:jc w:val="center"/>
        </w:trPr>
        <w:tc>
          <w:tcPr>
            <w:tcW w:w="1615" w:type="dxa"/>
            <w:vAlign w:val="bottom"/>
          </w:tcPr>
          <w:p w:rsidR="00A837C3" w:rsidRPr="00C003FA" w:rsidRDefault="00A837C3" w:rsidP="006C0B9E">
            <w:pPr>
              <w:keepNext/>
              <w:keepLines/>
              <w:ind w:left="162" w:hanging="162"/>
              <w:jc w:val="left"/>
              <w:rPr>
                <w:sz w:val="15"/>
                <w:szCs w:val="15"/>
              </w:rPr>
            </w:pPr>
            <w:r w:rsidRPr="00C003FA">
              <w:rPr>
                <w:sz w:val="15"/>
                <w:szCs w:val="15"/>
              </w:rPr>
              <w:t>Certificates of Deposit</w:t>
            </w:r>
          </w:p>
        </w:tc>
        <w:tc>
          <w:tcPr>
            <w:tcW w:w="810" w:type="dxa"/>
            <w:vAlign w:val="bottom"/>
          </w:tcPr>
          <w:p w:rsidR="00A837C3" w:rsidRPr="00C003FA" w:rsidRDefault="00A837C3" w:rsidP="006C0B9E">
            <w:pPr>
              <w:keepNext/>
              <w:keepLines/>
              <w:tabs>
                <w:tab w:val="decimal" w:pos="437"/>
              </w:tabs>
              <w:rPr>
                <w:sz w:val="15"/>
                <w:szCs w:val="15"/>
                <w:u w:val="single"/>
              </w:rPr>
            </w:pPr>
            <w:r w:rsidRPr="00C003FA">
              <w:rPr>
                <w:sz w:val="15"/>
                <w:szCs w:val="15"/>
                <w:u w:val="single"/>
              </w:rPr>
              <w:t xml:space="preserve">        0.0</w:t>
            </w:r>
          </w:p>
        </w:tc>
        <w:tc>
          <w:tcPr>
            <w:tcW w:w="810" w:type="dxa"/>
            <w:vAlign w:val="bottom"/>
          </w:tcPr>
          <w:p w:rsidR="00A837C3" w:rsidRPr="00C003FA" w:rsidRDefault="00A837C3" w:rsidP="006C0B9E">
            <w:pPr>
              <w:keepNext/>
              <w:keepLines/>
              <w:tabs>
                <w:tab w:val="decimal" w:pos="437"/>
              </w:tabs>
              <w:rPr>
                <w:sz w:val="15"/>
                <w:szCs w:val="15"/>
                <w:u w:val="single"/>
              </w:rPr>
            </w:pPr>
            <w:r w:rsidRPr="00C003FA">
              <w:rPr>
                <w:sz w:val="15"/>
                <w:szCs w:val="15"/>
                <w:u w:val="single"/>
              </w:rPr>
              <w:t xml:space="preserve">        0.0</w:t>
            </w:r>
          </w:p>
        </w:tc>
        <w:tc>
          <w:tcPr>
            <w:tcW w:w="811" w:type="dxa"/>
            <w:vAlign w:val="bottom"/>
          </w:tcPr>
          <w:p w:rsidR="00A837C3" w:rsidRPr="00C003FA" w:rsidRDefault="00A837C3" w:rsidP="006C0B9E">
            <w:pPr>
              <w:keepNext/>
              <w:keepLines/>
              <w:tabs>
                <w:tab w:val="decimal" w:pos="437"/>
              </w:tabs>
              <w:rPr>
                <w:sz w:val="15"/>
                <w:szCs w:val="15"/>
                <w:u w:val="single"/>
              </w:rPr>
            </w:pPr>
            <w:r w:rsidRPr="00C003FA">
              <w:rPr>
                <w:sz w:val="15"/>
                <w:szCs w:val="15"/>
                <w:u w:val="single"/>
              </w:rPr>
              <w:t xml:space="preserve">        0.0</w:t>
            </w:r>
          </w:p>
        </w:tc>
        <w:tc>
          <w:tcPr>
            <w:tcW w:w="810" w:type="dxa"/>
            <w:vAlign w:val="bottom"/>
          </w:tcPr>
          <w:p w:rsidR="00A837C3" w:rsidRPr="00C003FA" w:rsidRDefault="00A837C3" w:rsidP="006C0B9E">
            <w:pPr>
              <w:keepNext/>
              <w:keepLines/>
              <w:tabs>
                <w:tab w:val="decimal" w:pos="437"/>
              </w:tabs>
              <w:rPr>
                <w:sz w:val="15"/>
                <w:szCs w:val="15"/>
                <w:u w:val="single"/>
              </w:rPr>
            </w:pPr>
            <w:r w:rsidRPr="00C003FA">
              <w:rPr>
                <w:sz w:val="15"/>
                <w:szCs w:val="15"/>
                <w:u w:val="single"/>
              </w:rPr>
              <w:t xml:space="preserve">        0.0</w:t>
            </w:r>
          </w:p>
        </w:tc>
        <w:tc>
          <w:tcPr>
            <w:tcW w:w="811" w:type="dxa"/>
            <w:vAlign w:val="bottom"/>
          </w:tcPr>
          <w:p w:rsidR="00A837C3" w:rsidRPr="00C003FA" w:rsidRDefault="00A837C3" w:rsidP="006C0B9E">
            <w:pPr>
              <w:keepNext/>
              <w:keepLines/>
              <w:tabs>
                <w:tab w:val="decimal" w:pos="437"/>
              </w:tabs>
              <w:rPr>
                <w:sz w:val="15"/>
                <w:szCs w:val="15"/>
                <w:u w:val="single"/>
              </w:rPr>
            </w:pPr>
            <w:r w:rsidRPr="00C003FA">
              <w:rPr>
                <w:sz w:val="15"/>
                <w:szCs w:val="15"/>
                <w:u w:val="single"/>
              </w:rPr>
              <w:t xml:space="preserve">        0.0</w:t>
            </w:r>
          </w:p>
        </w:tc>
        <w:tc>
          <w:tcPr>
            <w:tcW w:w="810" w:type="dxa"/>
            <w:vAlign w:val="bottom"/>
          </w:tcPr>
          <w:p w:rsidR="00A837C3" w:rsidRPr="00C003FA" w:rsidRDefault="00A837C3" w:rsidP="006C0B9E">
            <w:pPr>
              <w:keepNext/>
              <w:keepLines/>
              <w:tabs>
                <w:tab w:val="decimal" w:pos="437"/>
              </w:tabs>
              <w:rPr>
                <w:sz w:val="15"/>
                <w:szCs w:val="15"/>
                <w:u w:val="single"/>
              </w:rPr>
            </w:pPr>
            <w:r w:rsidRPr="00C003FA">
              <w:rPr>
                <w:sz w:val="15"/>
                <w:szCs w:val="15"/>
                <w:u w:val="single"/>
              </w:rPr>
              <w:t xml:space="preserve">        0.0</w:t>
            </w:r>
          </w:p>
        </w:tc>
        <w:tc>
          <w:tcPr>
            <w:tcW w:w="811" w:type="dxa"/>
            <w:vAlign w:val="bottom"/>
          </w:tcPr>
          <w:p w:rsidR="00A837C3" w:rsidRPr="00C003FA" w:rsidRDefault="00A837C3" w:rsidP="006C0B9E">
            <w:pPr>
              <w:keepNext/>
              <w:keepLines/>
              <w:tabs>
                <w:tab w:val="decimal" w:pos="437"/>
              </w:tabs>
              <w:rPr>
                <w:sz w:val="15"/>
                <w:szCs w:val="15"/>
                <w:u w:val="single"/>
              </w:rPr>
            </w:pPr>
            <w:r w:rsidRPr="00C003FA">
              <w:rPr>
                <w:sz w:val="15"/>
                <w:szCs w:val="15"/>
                <w:u w:val="single"/>
              </w:rPr>
              <w:t xml:space="preserve">        0.0</w:t>
            </w:r>
          </w:p>
        </w:tc>
        <w:tc>
          <w:tcPr>
            <w:tcW w:w="810" w:type="dxa"/>
            <w:vAlign w:val="bottom"/>
          </w:tcPr>
          <w:p w:rsidR="00A837C3" w:rsidRPr="00C003FA" w:rsidRDefault="00A837C3" w:rsidP="006C0B9E">
            <w:pPr>
              <w:keepNext/>
              <w:keepLines/>
              <w:tabs>
                <w:tab w:val="decimal" w:pos="437"/>
              </w:tabs>
              <w:rPr>
                <w:sz w:val="15"/>
                <w:szCs w:val="15"/>
                <w:u w:val="single"/>
              </w:rPr>
            </w:pPr>
            <w:r w:rsidRPr="00C003FA">
              <w:rPr>
                <w:sz w:val="15"/>
                <w:szCs w:val="15"/>
                <w:u w:val="single"/>
              </w:rPr>
              <w:t xml:space="preserve">        0.0</w:t>
            </w:r>
          </w:p>
        </w:tc>
        <w:tc>
          <w:tcPr>
            <w:tcW w:w="811" w:type="dxa"/>
            <w:vAlign w:val="bottom"/>
          </w:tcPr>
          <w:p w:rsidR="00A837C3" w:rsidRPr="00C003FA" w:rsidRDefault="00A837C3" w:rsidP="006C0B9E">
            <w:pPr>
              <w:keepNext/>
              <w:keepLines/>
              <w:tabs>
                <w:tab w:val="decimal" w:pos="437"/>
              </w:tabs>
              <w:rPr>
                <w:sz w:val="15"/>
                <w:szCs w:val="15"/>
                <w:u w:val="single"/>
              </w:rPr>
            </w:pPr>
            <w:r w:rsidRPr="00C003FA">
              <w:rPr>
                <w:sz w:val="15"/>
                <w:szCs w:val="15"/>
                <w:u w:val="single"/>
              </w:rPr>
              <w:t xml:space="preserve">        0.0</w:t>
            </w:r>
          </w:p>
        </w:tc>
        <w:tc>
          <w:tcPr>
            <w:tcW w:w="901" w:type="dxa"/>
            <w:vAlign w:val="bottom"/>
          </w:tcPr>
          <w:p w:rsidR="00A837C3" w:rsidRPr="00C003FA" w:rsidRDefault="00A837C3" w:rsidP="006C0B9E">
            <w:pPr>
              <w:keepNext/>
              <w:keepLines/>
              <w:tabs>
                <w:tab w:val="decimal" w:pos="610"/>
              </w:tabs>
              <w:rPr>
                <w:sz w:val="15"/>
                <w:szCs w:val="15"/>
                <w:u w:val="single"/>
              </w:rPr>
            </w:pPr>
            <w:r w:rsidRPr="00C003FA">
              <w:rPr>
                <w:sz w:val="15"/>
                <w:szCs w:val="15"/>
                <w:u w:val="single"/>
              </w:rPr>
              <w:t xml:space="preserve">        0.0</w:t>
            </w:r>
          </w:p>
        </w:tc>
        <w:tc>
          <w:tcPr>
            <w:tcW w:w="900" w:type="dxa"/>
            <w:vAlign w:val="bottom"/>
          </w:tcPr>
          <w:p w:rsidR="00A837C3" w:rsidRPr="00C003FA" w:rsidRDefault="00A837C3" w:rsidP="006C0B9E">
            <w:pPr>
              <w:keepNext/>
              <w:keepLines/>
              <w:tabs>
                <w:tab w:val="decimal" w:pos="590"/>
              </w:tabs>
              <w:rPr>
                <w:sz w:val="15"/>
                <w:szCs w:val="15"/>
                <w:u w:val="single"/>
              </w:rPr>
            </w:pPr>
            <w:r w:rsidRPr="00C003FA">
              <w:rPr>
                <w:sz w:val="15"/>
                <w:szCs w:val="15"/>
                <w:u w:val="single"/>
              </w:rPr>
              <w:t xml:space="preserve">        0.0</w:t>
            </w:r>
          </w:p>
        </w:tc>
        <w:tc>
          <w:tcPr>
            <w:tcW w:w="810" w:type="dxa"/>
          </w:tcPr>
          <w:p w:rsidR="00A837C3" w:rsidRPr="00C003FA" w:rsidRDefault="00A837C3" w:rsidP="006C0B9E">
            <w:pPr>
              <w:keepNext/>
              <w:keepLines/>
              <w:tabs>
                <w:tab w:val="decimal" w:pos="437"/>
              </w:tabs>
              <w:rPr>
                <w:sz w:val="15"/>
                <w:szCs w:val="15"/>
                <w:u w:val="single"/>
              </w:rPr>
            </w:pPr>
            <w:r w:rsidRPr="00C003FA">
              <w:rPr>
                <w:sz w:val="15"/>
                <w:szCs w:val="15"/>
                <w:u w:val="single"/>
              </w:rPr>
              <w:t xml:space="preserve">        0.0</w:t>
            </w:r>
          </w:p>
        </w:tc>
      </w:tr>
      <w:tr w:rsidR="00A837C3" w:rsidRPr="00C003FA" w:rsidTr="006C0B9E">
        <w:trPr>
          <w:jc w:val="center"/>
        </w:trPr>
        <w:tc>
          <w:tcPr>
            <w:tcW w:w="1615" w:type="dxa"/>
            <w:vAlign w:val="bottom"/>
          </w:tcPr>
          <w:p w:rsidR="00A837C3" w:rsidRPr="00C003FA" w:rsidRDefault="00A837C3" w:rsidP="006C0B9E">
            <w:pPr>
              <w:keepNext/>
              <w:keepLines/>
              <w:ind w:left="342"/>
              <w:jc w:val="left"/>
              <w:rPr>
                <w:sz w:val="15"/>
                <w:szCs w:val="15"/>
              </w:rPr>
            </w:pPr>
            <w:r w:rsidRPr="00C003FA">
              <w:rPr>
                <w:sz w:val="15"/>
                <w:szCs w:val="15"/>
              </w:rPr>
              <w:t>Totals</w:t>
            </w:r>
          </w:p>
        </w:tc>
        <w:tc>
          <w:tcPr>
            <w:tcW w:w="810" w:type="dxa"/>
            <w:vAlign w:val="bottom"/>
          </w:tcPr>
          <w:p w:rsidR="00A837C3" w:rsidRPr="00C003FA" w:rsidRDefault="00A837C3" w:rsidP="006C0B9E">
            <w:pPr>
              <w:keepNext/>
              <w:keepLines/>
              <w:tabs>
                <w:tab w:val="decimal" w:pos="437"/>
              </w:tabs>
              <w:rPr>
                <w:sz w:val="15"/>
                <w:szCs w:val="15"/>
                <w:u w:val="double"/>
              </w:rPr>
            </w:pPr>
            <w:r w:rsidRPr="00C003FA">
              <w:rPr>
                <w:sz w:val="15"/>
                <w:szCs w:val="15"/>
              </w:rPr>
              <w:t>$</w:t>
            </w:r>
            <w:r w:rsidRPr="00C003FA">
              <w:rPr>
                <w:sz w:val="15"/>
                <w:szCs w:val="15"/>
                <w:u w:val="double"/>
              </w:rPr>
              <w:t>8,167.7</w:t>
            </w:r>
          </w:p>
        </w:tc>
        <w:tc>
          <w:tcPr>
            <w:tcW w:w="810" w:type="dxa"/>
            <w:vAlign w:val="bottom"/>
          </w:tcPr>
          <w:p w:rsidR="00A837C3" w:rsidRPr="00C003FA" w:rsidRDefault="00A837C3" w:rsidP="006C0B9E">
            <w:pPr>
              <w:keepNext/>
              <w:keepLines/>
              <w:tabs>
                <w:tab w:val="decimal" w:pos="437"/>
              </w:tabs>
              <w:rPr>
                <w:sz w:val="15"/>
                <w:szCs w:val="15"/>
                <w:u w:val="double"/>
              </w:rPr>
            </w:pPr>
            <w:r w:rsidRPr="00C003FA">
              <w:rPr>
                <w:sz w:val="15"/>
                <w:szCs w:val="15"/>
              </w:rPr>
              <w:t>$</w:t>
            </w:r>
            <w:r w:rsidRPr="00C003FA">
              <w:rPr>
                <w:sz w:val="15"/>
                <w:szCs w:val="15"/>
                <w:u w:val="double"/>
              </w:rPr>
              <w:t>7,884.1</w:t>
            </w:r>
          </w:p>
        </w:tc>
        <w:tc>
          <w:tcPr>
            <w:tcW w:w="811" w:type="dxa"/>
            <w:vAlign w:val="bottom"/>
          </w:tcPr>
          <w:p w:rsidR="00A837C3" w:rsidRPr="00C003FA" w:rsidRDefault="00A837C3" w:rsidP="006C0B9E">
            <w:pPr>
              <w:keepNext/>
              <w:keepLines/>
              <w:tabs>
                <w:tab w:val="decimal" w:pos="437"/>
              </w:tabs>
              <w:rPr>
                <w:sz w:val="15"/>
                <w:szCs w:val="15"/>
                <w:u w:val="double"/>
              </w:rPr>
            </w:pPr>
            <w:r w:rsidRPr="00C003FA">
              <w:rPr>
                <w:sz w:val="15"/>
                <w:szCs w:val="15"/>
              </w:rPr>
              <w:t>$</w:t>
            </w:r>
            <w:r w:rsidRPr="00C003FA">
              <w:rPr>
                <w:sz w:val="15"/>
                <w:szCs w:val="15"/>
                <w:u w:val="double"/>
              </w:rPr>
              <w:t>8,532.7</w:t>
            </w:r>
          </w:p>
        </w:tc>
        <w:tc>
          <w:tcPr>
            <w:tcW w:w="810" w:type="dxa"/>
            <w:vAlign w:val="bottom"/>
          </w:tcPr>
          <w:p w:rsidR="00A837C3" w:rsidRPr="00C003FA" w:rsidRDefault="00A837C3" w:rsidP="006C0B9E">
            <w:pPr>
              <w:keepNext/>
              <w:keepLines/>
              <w:tabs>
                <w:tab w:val="decimal" w:pos="437"/>
              </w:tabs>
              <w:rPr>
                <w:sz w:val="15"/>
                <w:szCs w:val="15"/>
                <w:u w:val="double"/>
              </w:rPr>
            </w:pPr>
            <w:r w:rsidRPr="00C003FA">
              <w:rPr>
                <w:sz w:val="15"/>
                <w:szCs w:val="15"/>
              </w:rPr>
              <w:t>$</w:t>
            </w:r>
            <w:r w:rsidRPr="00C003FA">
              <w:rPr>
                <w:sz w:val="15"/>
                <w:szCs w:val="15"/>
                <w:u w:val="double"/>
              </w:rPr>
              <w:t>8,309.0</w:t>
            </w:r>
          </w:p>
        </w:tc>
        <w:tc>
          <w:tcPr>
            <w:tcW w:w="811" w:type="dxa"/>
            <w:vAlign w:val="bottom"/>
          </w:tcPr>
          <w:p w:rsidR="00A837C3" w:rsidRPr="00C003FA" w:rsidRDefault="00A837C3" w:rsidP="006C0B9E">
            <w:pPr>
              <w:keepNext/>
              <w:keepLines/>
              <w:tabs>
                <w:tab w:val="decimal" w:pos="437"/>
              </w:tabs>
              <w:rPr>
                <w:sz w:val="15"/>
                <w:szCs w:val="15"/>
                <w:u w:val="double"/>
              </w:rPr>
            </w:pPr>
            <w:r w:rsidRPr="00C003FA">
              <w:rPr>
                <w:sz w:val="15"/>
                <w:szCs w:val="15"/>
              </w:rPr>
              <w:t>$</w:t>
            </w:r>
            <w:r w:rsidRPr="00C003FA">
              <w:rPr>
                <w:sz w:val="15"/>
                <w:szCs w:val="15"/>
                <w:u w:val="double"/>
              </w:rPr>
              <w:t>7,977.8</w:t>
            </w:r>
          </w:p>
        </w:tc>
        <w:tc>
          <w:tcPr>
            <w:tcW w:w="810" w:type="dxa"/>
            <w:vAlign w:val="bottom"/>
          </w:tcPr>
          <w:p w:rsidR="00A837C3" w:rsidRPr="00C003FA" w:rsidRDefault="00A837C3" w:rsidP="006C0B9E">
            <w:pPr>
              <w:keepNext/>
              <w:keepLines/>
              <w:tabs>
                <w:tab w:val="decimal" w:pos="437"/>
              </w:tabs>
              <w:rPr>
                <w:sz w:val="15"/>
                <w:szCs w:val="15"/>
                <w:u w:val="double"/>
              </w:rPr>
            </w:pPr>
            <w:r w:rsidRPr="00C003FA">
              <w:rPr>
                <w:sz w:val="15"/>
                <w:szCs w:val="15"/>
              </w:rPr>
              <w:t>$</w:t>
            </w:r>
            <w:r w:rsidRPr="00C003FA">
              <w:rPr>
                <w:sz w:val="15"/>
                <w:szCs w:val="15"/>
                <w:u w:val="double"/>
              </w:rPr>
              <w:t>7,864.9</w:t>
            </w:r>
          </w:p>
        </w:tc>
        <w:tc>
          <w:tcPr>
            <w:tcW w:w="811" w:type="dxa"/>
            <w:vAlign w:val="bottom"/>
          </w:tcPr>
          <w:p w:rsidR="00A837C3" w:rsidRPr="00C003FA" w:rsidRDefault="00A837C3" w:rsidP="006C0B9E">
            <w:pPr>
              <w:keepNext/>
              <w:keepLines/>
              <w:tabs>
                <w:tab w:val="decimal" w:pos="437"/>
              </w:tabs>
              <w:rPr>
                <w:sz w:val="15"/>
                <w:szCs w:val="15"/>
                <w:u w:val="double"/>
              </w:rPr>
            </w:pPr>
            <w:r w:rsidRPr="00C003FA">
              <w:rPr>
                <w:sz w:val="15"/>
                <w:szCs w:val="15"/>
              </w:rPr>
              <w:t>$</w:t>
            </w:r>
            <w:r w:rsidRPr="00C003FA">
              <w:rPr>
                <w:sz w:val="15"/>
                <w:szCs w:val="15"/>
                <w:u w:val="double"/>
              </w:rPr>
              <w:t>8,824.3</w:t>
            </w:r>
          </w:p>
        </w:tc>
        <w:tc>
          <w:tcPr>
            <w:tcW w:w="810" w:type="dxa"/>
            <w:vAlign w:val="bottom"/>
          </w:tcPr>
          <w:p w:rsidR="00A837C3" w:rsidRPr="00C003FA" w:rsidRDefault="00A837C3" w:rsidP="006C0B9E">
            <w:pPr>
              <w:keepNext/>
              <w:keepLines/>
              <w:tabs>
                <w:tab w:val="decimal" w:pos="437"/>
              </w:tabs>
              <w:rPr>
                <w:sz w:val="15"/>
                <w:szCs w:val="15"/>
                <w:u w:val="double"/>
              </w:rPr>
            </w:pPr>
            <w:r w:rsidRPr="00C003FA">
              <w:rPr>
                <w:sz w:val="15"/>
                <w:szCs w:val="15"/>
              </w:rPr>
              <w:t>$</w:t>
            </w:r>
            <w:r w:rsidRPr="00C003FA">
              <w:rPr>
                <w:sz w:val="15"/>
                <w:szCs w:val="15"/>
                <w:u w:val="double"/>
              </w:rPr>
              <w:t>8,610.9</w:t>
            </w:r>
          </w:p>
        </w:tc>
        <w:tc>
          <w:tcPr>
            <w:tcW w:w="811" w:type="dxa"/>
            <w:vAlign w:val="bottom"/>
          </w:tcPr>
          <w:p w:rsidR="00A837C3" w:rsidRPr="00C003FA" w:rsidRDefault="00A837C3" w:rsidP="006C0B9E">
            <w:pPr>
              <w:keepNext/>
              <w:keepLines/>
              <w:tabs>
                <w:tab w:val="decimal" w:pos="437"/>
              </w:tabs>
              <w:rPr>
                <w:sz w:val="15"/>
                <w:szCs w:val="15"/>
                <w:u w:val="double"/>
              </w:rPr>
            </w:pPr>
            <w:r w:rsidRPr="00C003FA">
              <w:rPr>
                <w:sz w:val="15"/>
                <w:szCs w:val="15"/>
              </w:rPr>
              <w:t>$</w:t>
            </w:r>
            <w:r w:rsidRPr="00C003FA">
              <w:rPr>
                <w:sz w:val="15"/>
                <w:szCs w:val="15"/>
                <w:u w:val="double"/>
              </w:rPr>
              <w:t>8,791.2</w:t>
            </w:r>
          </w:p>
        </w:tc>
        <w:tc>
          <w:tcPr>
            <w:tcW w:w="901" w:type="dxa"/>
            <w:vAlign w:val="bottom"/>
          </w:tcPr>
          <w:p w:rsidR="00A837C3" w:rsidRPr="00C003FA" w:rsidRDefault="00A837C3" w:rsidP="006C0B9E">
            <w:pPr>
              <w:keepNext/>
              <w:keepLines/>
              <w:tabs>
                <w:tab w:val="decimal" w:pos="610"/>
              </w:tabs>
              <w:rPr>
                <w:sz w:val="15"/>
                <w:szCs w:val="15"/>
                <w:u w:val="double"/>
              </w:rPr>
            </w:pPr>
            <w:r w:rsidRPr="00C003FA">
              <w:rPr>
                <w:sz w:val="15"/>
                <w:szCs w:val="15"/>
              </w:rPr>
              <w:t>$</w:t>
            </w:r>
            <w:r w:rsidRPr="00C003FA">
              <w:rPr>
                <w:sz w:val="15"/>
                <w:szCs w:val="15"/>
                <w:u w:val="double"/>
              </w:rPr>
              <w:t>10,098.5</w:t>
            </w:r>
          </w:p>
        </w:tc>
        <w:tc>
          <w:tcPr>
            <w:tcW w:w="900" w:type="dxa"/>
            <w:vAlign w:val="bottom"/>
          </w:tcPr>
          <w:p w:rsidR="00A837C3" w:rsidRPr="00C003FA" w:rsidRDefault="00A837C3" w:rsidP="006C0B9E">
            <w:pPr>
              <w:keepNext/>
              <w:keepLines/>
              <w:tabs>
                <w:tab w:val="decimal" w:pos="590"/>
              </w:tabs>
              <w:rPr>
                <w:sz w:val="15"/>
                <w:szCs w:val="15"/>
                <w:u w:val="double"/>
              </w:rPr>
            </w:pPr>
            <w:r w:rsidRPr="00C003FA">
              <w:rPr>
                <w:sz w:val="15"/>
                <w:szCs w:val="15"/>
              </w:rPr>
              <w:t>$</w:t>
            </w:r>
            <w:r w:rsidRPr="00C003FA">
              <w:rPr>
                <w:sz w:val="15"/>
                <w:szCs w:val="15"/>
                <w:u w:val="double"/>
              </w:rPr>
              <w:t>10,051.9</w:t>
            </w:r>
          </w:p>
        </w:tc>
        <w:tc>
          <w:tcPr>
            <w:tcW w:w="810" w:type="dxa"/>
          </w:tcPr>
          <w:p w:rsidR="00A837C3" w:rsidRPr="00C003FA" w:rsidRDefault="00A837C3" w:rsidP="006C0B9E">
            <w:pPr>
              <w:keepNext/>
              <w:keepLines/>
              <w:tabs>
                <w:tab w:val="decimal" w:pos="437"/>
              </w:tabs>
              <w:rPr>
                <w:sz w:val="15"/>
                <w:szCs w:val="15"/>
                <w:u w:val="double"/>
              </w:rPr>
            </w:pPr>
            <w:r w:rsidRPr="00C003FA">
              <w:rPr>
                <w:sz w:val="15"/>
                <w:szCs w:val="15"/>
              </w:rPr>
              <w:t>$</w:t>
            </w:r>
            <w:r w:rsidRPr="00C003FA">
              <w:rPr>
                <w:sz w:val="15"/>
                <w:szCs w:val="15"/>
                <w:u w:val="double"/>
              </w:rPr>
              <w:t>8,981.5</w:t>
            </w:r>
          </w:p>
        </w:tc>
      </w:tr>
    </w:tbl>
    <w:p w:rsidR="00D91B0B" w:rsidRPr="008E459C" w:rsidRDefault="00D91B0B" w:rsidP="00D91B0B">
      <w:pPr>
        <w:pStyle w:val="OStablenotes"/>
        <w:keepNext w:val="0"/>
        <w:spacing w:before="80" w:after="0"/>
        <w:rPr>
          <w:spacing w:val="-3"/>
        </w:rPr>
      </w:pPr>
      <w:r>
        <w:rPr>
          <w:spacing w:val="-3"/>
        </w:rPr>
        <w:t>________________________</w:t>
      </w:r>
    </w:p>
    <w:p w:rsidR="00D91B0B" w:rsidRDefault="00D91B0B" w:rsidP="00D91B0B">
      <w:pPr>
        <w:pStyle w:val="OStablenotes"/>
        <w:keepNext w:val="0"/>
      </w:pPr>
      <w:r w:rsidRPr="001E67A3">
        <w:rPr>
          <w:vertAlign w:val="superscript"/>
        </w:rPr>
        <w:t>1</w:t>
      </w:r>
      <w:r w:rsidRPr="001E67A3">
        <w:tab/>
        <w:t>This table includes all moneys in the State Pool, which includes the General Fund, Borrowable Resources and other moneys that are invested by the State Treasurer</w:t>
      </w:r>
      <w:r>
        <w:t>.</w:t>
      </w:r>
    </w:p>
    <w:p w:rsidR="00D91B0B" w:rsidRDefault="00D91B0B" w:rsidP="00D91B0B">
      <w:pPr>
        <w:pStyle w:val="OStablesources"/>
      </w:pPr>
      <w:r w:rsidRPr="001E67A3">
        <w:t>Source:</w:t>
      </w:r>
      <w:r w:rsidRPr="001E67A3">
        <w:tab/>
        <w:t>State Treasurer</w:t>
      </w:r>
      <w:r>
        <w:t>’</w:t>
      </w:r>
      <w:r w:rsidRPr="001E67A3">
        <w:t>s Office</w:t>
      </w:r>
      <w:r>
        <w:t>.</w:t>
      </w:r>
    </w:p>
    <w:p w:rsidR="00DD4B54" w:rsidRPr="001E67A3" w:rsidRDefault="00DD4B54" w:rsidP="00DD4B54">
      <w:pPr>
        <w:keepNext/>
        <w:jc w:val="center"/>
        <w:rPr>
          <w:b/>
          <w:bCs/>
          <w:sz w:val="20"/>
        </w:rPr>
      </w:pPr>
      <w:r w:rsidRPr="0000186C">
        <w:rPr>
          <w:b/>
          <w:bCs/>
          <w:sz w:val="20"/>
        </w:rPr>
        <w:t>State of Colorado</w:t>
      </w:r>
    </w:p>
    <w:p w:rsidR="00DD4B54" w:rsidRPr="001E67A3" w:rsidRDefault="00DD4B54" w:rsidP="00DD4B54">
      <w:pPr>
        <w:keepNext/>
        <w:jc w:val="center"/>
        <w:rPr>
          <w:b/>
          <w:bCs/>
          <w:sz w:val="20"/>
        </w:rPr>
      </w:pPr>
      <w:r w:rsidRPr="001E67A3">
        <w:rPr>
          <w:b/>
          <w:bCs/>
          <w:sz w:val="20"/>
        </w:rPr>
        <w:t>State Pool Portfolio Mix</w:t>
      </w:r>
    </w:p>
    <w:p w:rsidR="00DD4B54" w:rsidRPr="001E67A3" w:rsidRDefault="00DD4B54" w:rsidP="00DD4B54">
      <w:pPr>
        <w:keepNext/>
        <w:jc w:val="center"/>
        <w:rPr>
          <w:b/>
          <w:bCs/>
          <w:sz w:val="20"/>
        </w:rPr>
      </w:pPr>
      <w:r w:rsidRPr="00B231A4">
        <w:rPr>
          <w:b/>
          <w:bCs/>
          <w:sz w:val="20"/>
        </w:rPr>
        <w:t>Fiscal Year 201</w:t>
      </w:r>
      <w:r w:rsidR="00A837C3">
        <w:rPr>
          <w:b/>
          <w:bCs/>
          <w:sz w:val="20"/>
        </w:rPr>
        <w:t>9</w:t>
      </w:r>
      <w:r w:rsidRPr="00B231A4">
        <w:rPr>
          <w:b/>
          <w:bCs/>
          <w:sz w:val="20"/>
        </w:rPr>
        <w:noBreakHyphen/>
      </w:r>
      <w:r w:rsidR="00A837C3">
        <w:rPr>
          <w:b/>
          <w:bCs/>
          <w:sz w:val="20"/>
        </w:rPr>
        <w:t>20</w:t>
      </w:r>
    </w:p>
    <w:p w:rsidR="00DD4B54" w:rsidRPr="001E67A3" w:rsidRDefault="00DD4B54" w:rsidP="00DD4B54">
      <w:pPr>
        <w:keepNext/>
        <w:keepLines/>
        <w:spacing w:after="120"/>
        <w:jc w:val="center"/>
        <w:rPr>
          <w:position w:val="7"/>
          <w:sz w:val="10"/>
          <w:szCs w:val="10"/>
          <w:vertAlign w:val="superscript"/>
        </w:rPr>
      </w:pPr>
      <w:r w:rsidRPr="001E67A3">
        <w:rPr>
          <w:sz w:val="16"/>
          <w:szCs w:val="16"/>
        </w:rPr>
        <w:t xml:space="preserve">(Amounts expressed in </w:t>
      </w:r>
      <w:r w:rsidRPr="005E3BC6">
        <w:rPr>
          <w:sz w:val="16"/>
          <w:szCs w:val="16"/>
        </w:rPr>
        <w:t>millions)</w:t>
      </w:r>
      <w:r w:rsidRPr="002C3322">
        <w:rPr>
          <w:sz w:val="16"/>
          <w:szCs w:val="16"/>
          <w:vertAlign w:val="superscript"/>
        </w:rPr>
        <w:t>1</w:t>
      </w:r>
    </w:p>
    <w:tbl>
      <w:tblPr>
        <w:tblStyle w:val="TableGrid10"/>
        <w:tblW w:w="115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15"/>
        <w:gridCol w:w="810"/>
        <w:gridCol w:w="810"/>
        <w:gridCol w:w="811"/>
        <w:gridCol w:w="810"/>
        <w:gridCol w:w="811"/>
        <w:gridCol w:w="810"/>
        <w:gridCol w:w="811"/>
        <w:gridCol w:w="810"/>
        <w:gridCol w:w="811"/>
        <w:gridCol w:w="901"/>
        <w:gridCol w:w="900"/>
        <w:gridCol w:w="810"/>
      </w:tblGrid>
      <w:tr w:rsidR="00A837C3" w:rsidRPr="00C003FA" w:rsidTr="006C0B9E">
        <w:trPr>
          <w:jc w:val="center"/>
        </w:trPr>
        <w:tc>
          <w:tcPr>
            <w:tcW w:w="1615" w:type="dxa"/>
            <w:vAlign w:val="bottom"/>
          </w:tcPr>
          <w:p w:rsidR="00A837C3" w:rsidRPr="00C003FA" w:rsidRDefault="00A837C3" w:rsidP="006C0B9E">
            <w:pPr>
              <w:keepNext/>
              <w:keepLines/>
              <w:spacing w:after="120"/>
              <w:jc w:val="left"/>
              <w:rPr>
                <w:sz w:val="15"/>
                <w:szCs w:val="15"/>
              </w:rPr>
            </w:pPr>
          </w:p>
        </w:tc>
        <w:tc>
          <w:tcPr>
            <w:tcW w:w="810" w:type="dxa"/>
            <w:vAlign w:val="bottom"/>
          </w:tcPr>
          <w:p w:rsidR="00A837C3" w:rsidRPr="00C003FA" w:rsidRDefault="00A837C3" w:rsidP="006C0B9E">
            <w:pPr>
              <w:keepNext/>
              <w:keepLines/>
              <w:pBdr>
                <w:bottom w:val="single" w:sz="4" w:space="1" w:color="auto"/>
              </w:pBdr>
              <w:spacing w:after="120"/>
              <w:jc w:val="center"/>
              <w:rPr>
                <w:sz w:val="15"/>
                <w:szCs w:val="15"/>
              </w:rPr>
            </w:pPr>
            <w:r w:rsidRPr="00C003FA">
              <w:rPr>
                <w:sz w:val="15"/>
                <w:szCs w:val="15"/>
              </w:rPr>
              <w:t>July</w:t>
            </w:r>
            <w:r w:rsidRPr="00C003FA">
              <w:rPr>
                <w:sz w:val="15"/>
                <w:szCs w:val="15"/>
              </w:rPr>
              <w:br/>
              <w:t>2019</w:t>
            </w:r>
          </w:p>
        </w:tc>
        <w:tc>
          <w:tcPr>
            <w:tcW w:w="810" w:type="dxa"/>
            <w:vAlign w:val="bottom"/>
          </w:tcPr>
          <w:p w:rsidR="00A837C3" w:rsidRPr="00C003FA" w:rsidRDefault="00A837C3" w:rsidP="006C0B9E">
            <w:pPr>
              <w:keepNext/>
              <w:keepLines/>
              <w:pBdr>
                <w:bottom w:val="single" w:sz="4" w:space="1" w:color="auto"/>
              </w:pBdr>
              <w:spacing w:after="120"/>
              <w:jc w:val="center"/>
              <w:rPr>
                <w:sz w:val="15"/>
                <w:szCs w:val="15"/>
              </w:rPr>
            </w:pPr>
            <w:r w:rsidRPr="00C003FA">
              <w:rPr>
                <w:sz w:val="15"/>
                <w:szCs w:val="15"/>
              </w:rPr>
              <w:t>Aug</w:t>
            </w:r>
            <w:r w:rsidRPr="00C003FA">
              <w:rPr>
                <w:sz w:val="15"/>
                <w:szCs w:val="15"/>
              </w:rPr>
              <w:br/>
              <w:t>2019</w:t>
            </w:r>
          </w:p>
        </w:tc>
        <w:tc>
          <w:tcPr>
            <w:tcW w:w="811" w:type="dxa"/>
            <w:vAlign w:val="bottom"/>
          </w:tcPr>
          <w:p w:rsidR="00A837C3" w:rsidRPr="00C003FA" w:rsidRDefault="00A837C3" w:rsidP="006C0B9E">
            <w:pPr>
              <w:keepNext/>
              <w:keepLines/>
              <w:pBdr>
                <w:bottom w:val="single" w:sz="4" w:space="1" w:color="auto"/>
              </w:pBdr>
              <w:spacing w:after="120"/>
              <w:jc w:val="center"/>
              <w:rPr>
                <w:sz w:val="15"/>
                <w:szCs w:val="15"/>
              </w:rPr>
            </w:pPr>
            <w:r w:rsidRPr="00C003FA">
              <w:rPr>
                <w:sz w:val="15"/>
                <w:szCs w:val="15"/>
              </w:rPr>
              <w:t>Sept</w:t>
            </w:r>
            <w:r w:rsidRPr="00C003FA">
              <w:rPr>
                <w:sz w:val="15"/>
                <w:szCs w:val="15"/>
              </w:rPr>
              <w:br/>
              <w:t>2019</w:t>
            </w:r>
          </w:p>
        </w:tc>
        <w:tc>
          <w:tcPr>
            <w:tcW w:w="810" w:type="dxa"/>
            <w:vAlign w:val="bottom"/>
          </w:tcPr>
          <w:p w:rsidR="00A837C3" w:rsidRPr="00C003FA" w:rsidRDefault="00A837C3" w:rsidP="006C0B9E">
            <w:pPr>
              <w:keepNext/>
              <w:keepLines/>
              <w:pBdr>
                <w:bottom w:val="single" w:sz="4" w:space="1" w:color="auto"/>
              </w:pBdr>
              <w:spacing w:after="120"/>
              <w:jc w:val="center"/>
              <w:rPr>
                <w:sz w:val="15"/>
                <w:szCs w:val="15"/>
              </w:rPr>
            </w:pPr>
            <w:r w:rsidRPr="00C003FA">
              <w:rPr>
                <w:sz w:val="15"/>
                <w:szCs w:val="15"/>
              </w:rPr>
              <w:t>Oct</w:t>
            </w:r>
            <w:r w:rsidRPr="00C003FA">
              <w:rPr>
                <w:sz w:val="15"/>
                <w:szCs w:val="15"/>
              </w:rPr>
              <w:br/>
              <w:t>2019</w:t>
            </w:r>
          </w:p>
        </w:tc>
        <w:tc>
          <w:tcPr>
            <w:tcW w:w="811" w:type="dxa"/>
            <w:vAlign w:val="bottom"/>
          </w:tcPr>
          <w:p w:rsidR="00A837C3" w:rsidRPr="00C003FA" w:rsidRDefault="00A837C3" w:rsidP="006C0B9E">
            <w:pPr>
              <w:keepNext/>
              <w:keepLines/>
              <w:pBdr>
                <w:bottom w:val="single" w:sz="4" w:space="1" w:color="auto"/>
              </w:pBdr>
              <w:spacing w:after="120"/>
              <w:jc w:val="center"/>
              <w:rPr>
                <w:sz w:val="15"/>
                <w:szCs w:val="15"/>
              </w:rPr>
            </w:pPr>
            <w:r w:rsidRPr="00C003FA">
              <w:rPr>
                <w:sz w:val="15"/>
                <w:szCs w:val="15"/>
              </w:rPr>
              <w:t>Nov</w:t>
            </w:r>
            <w:r w:rsidRPr="00C003FA">
              <w:rPr>
                <w:sz w:val="15"/>
                <w:szCs w:val="15"/>
              </w:rPr>
              <w:br/>
              <w:t>2019</w:t>
            </w:r>
          </w:p>
        </w:tc>
        <w:tc>
          <w:tcPr>
            <w:tcW w:w="810" w:type="dxa"/>
            <w:vAlign w:val="bottom"/>
          </w:tcPr>
          <w:p w:rsidR="00A837C3" w:rsidRPr="00C003FA" w:rsidRDefault="00A837C3" w:rsidP="006C0B9E">
            <w:pPr>
              <w:keepNext/>
              <w:keepLines/>
              <w:pBdr>
                <w:bottom w:val="single" w:sz="4" w:space="1" w:color="auto"/>
              </w:pBdr>
              <w:spacing w:after="120"/>
              <w:jc w:val="center"/>
              <w:rPr>
                <w:sz w:val="15"/>
                <w:szCs w:val="15"/>
              </w:rPr>
            </w:pPr>
            <w:r w:rsidRPr="00C003FA">
              <w:rPr>
                <w:sz w:val="15"/>
                <w:szCs w:val="15"/>
              </w:rPr>
              <w:t>Dec</w:t>
            </w:r>
            <w:r w:rsidRPr="00C003FA">
              <w:rPr>
                <w:sz w:val="15"/>
                <w:szCs w:val="15"/>
              </w:rPr>
              <w:br/>
              <w:t>2019</w:t>
            </w:r>
          </w:p>
        </w:tc>
        <w:tc>
          <w:tcPr>
            <w:tcW w:w="811" w:type="dxa"/>
            <w:vAlign w:val="bottom"/>
          </w:tcPr>
          <w:p w:rsidR="00A837C3" w:rsidRPr="00C003FA" w:rsidRDefault="00A837C3" w:rsidP="006C0B9E">
            <w:pPr>
              <w:keepNext/>
              <w:keepLines/>
              <w:pBdr>
                <w:bottom w:val="single" w:sz="4" w:space="1" w:color="auto"/>
              </w:pBdr>
              <w:spacing w:after="120"/>
              <w:jc w:val="center"/>
              <w:rPr>
                <w:sz w:val="15"/>
                <w:szCs w:val="15"/>
              </w:rPr>
            </w:pPr>
            <w:r w:rsidRPr="00C003FA">
              <w:rPr>
                <w:sz w:val="15"/>
                <w:szCs w:val="15"/>
              </w:rPr>
              <w:t>Jan</w:t>
            </w:r>
            <w:r w:rsidRPr="00C003FA">
              <w:rPr>
                <w:sz w:val="15"/>
                <w:szCs w:val="15"/>
              </w:rPr>
              <w:br/>
              <w:t>2020</w:t>
            </w:r>
          </w:p>
        </w:tc>
        <w:tc>
          <w:tcPr>
            <w:tcW w:w="810" w:type="dxa"/>
            <w:vAlign w:val="bottom"/>
          </w:tcPr>
          <w:p w:rsidR="00A837C3" w:rsidRPr="00C003FA" w:rsidRDefault="00A837C3" w:rsidP="006C0B9E">
            <w:pPr>
              <w:keepNext/>
              <w:keepLines/>
              <w:pBdr>
                <w:bottom w:val="single" w:sz="4" w:space="1" w:color="auto"/>
              </w:pBdr>
              <w:spacing w:after="120"/>
              <w:jc w:val="center"/>
              <w:rPr>
                <w:sz w:val="15"/>
                <w:szCs w:val="15"/>
              </w:rPr>
            </w:pPr>
            <w:r w:rsidRPr="00C003FA">
              <w:rPr>
                <w:sz w:val="15"/>
                <w:szCs w:val="15"/>
              </w:rPr>
              <w:t>Feb</w:t>
            </w:r>
            <w:r w:rsidRPr="00C003FA">
              <w:rPr>
                <w:sz w:val="15"/>
                <w:szCs w:val="15"/>
              </w:rPr>
              <w:br/>
              <w:t>2020</w:t>
            </w:r>
          </w:p>
        </w:tc>
        <w:tc>
          <w:tcPr>
            <w:tcW w:w="811" w:type="dxa"/>
            <w:vAlign w:val="bottom"/>
          </w:tcPr>
          <w:p w:rsidR="00A837C3" w:rsidRPr="00C003FA" w:rsidRDefault="00A837C3" w:rsidP="006C0B9E">
            <w:pPr>
              <w:keepNext/>
              <w:keepLines/>
              <w:pBdr>
                <w:bottom w:val="single" w:sz="4" w:space="1" w:color="auto"/>
              </w:pBdr>
              <w:spacing w:after="120"/>
              <w:jc w:val="center"/>
              <w:rPr>
                <w:sz w:val="15"/>
                <w:szCs w:val="15"/>
              </w:rPr>
            </w:pPr>
            <w:r w:rsidRPr="00C003FA">
              <w:rPr>
                <w:sz w:val="15"/>
                <w:szCs w:val="15"/>
              </w:rPr>
              <w:t>Mar</w:t>
            </w:r>
            <w:r w:rsidRPr="00C003FA">
              <w:rPr>
                <w:sz w:val="15"/>
                <w:szCs w:val="15"/>
              </w:rPr>
              <w:br/>
              <w:t>2020</w:t>
            </w:r>
          </w:p>
        </w:tc>
        <w:tc>
          <w:tcPr>
            <w:tcW w:w="901" w:type="dxa"/>
            <w:vAlign w:val="bottom"/>
          </w:tcPr>
          <w:p w:rsidR="00A837C3" w:rsidRPr="00C003FA" w:rsidRDefault="00A837C3" w:rsidP="006C0B9E">
            <w:pPr>
              <w:keepNext/>
              <w:keepLines/>
              <w:pBdr>
                <w:bottom w:val="single" w:sz="4" w:space="1" w:color="auto"/>
              </w:pBdr>
              <w:spacing w:after="120"/>
              <w:jc w:val="center"/>
              <w:rPr>
                <w:sz w:val="15"/>
                <w:szCs w:val="15"/>
              </w:rPr>
            </w:pPr>
            <w:r w:rsidRPr="00C003FA">
              <w:rPr>
                <w:sz w:val="15"/>
                <w:szCs w:val="15"/>
              </w:rPr>
              <w:t>Apr</w:t>
            </w:r>
            <w:r w:rsidRPr="00C003FA">
              <w:rPr>
                <w:sz w:val="15"/>
                <w:szCs w:val="15"/>
              </w:rPr>
              <w:br/>
              <w:t>2020</w:t>
            </w:r>
          </w:p>
        </w:tc>
        <w:tc>
          <w:tcPr>
            <w:tcW w:w="900" w:type="dxa"/>
            <w:vAlign w:val="bottom"/>
          </w:tcPr>
          <w:p w:rsidR="00A837C3" w:rsidRPr="00C003FA" w:rsidRDefault="00A837C3" w:rsidP="006C0B9E">
            <w:pPr>
              <w:keepNext/>
              <w:keepLines/>
              <w:pBdr>
                <w:bottom w:val="single" w:sz="4" w:space="1" w:color="auto"/>
              </w:pBdr>
              <w:spacing w:after="120"/>
              <w:jc w:val="center"/>
              <w:rPr>
                <w:sz w:val="15"/>
                <w:szCs w:val="15"/>
              </w:rPr>
            </w:pPr>
            <w:r w:rsidRPr="00C003FA">
              <w:rPr>
                <w:sz w:val="15"/>
                <w:szCs w:val="15"/>
              </w:rPr>
              <w:t>May</w:t>
            </w:r>
            <w:r w:rsidRPr="00C003FA">
              <w:rPr>
                <w:sz w:val="15"/>
                <w:szCs w:val="15"/>
              </w:rPr>
              <w:br/>
              <w:t>2020</w:t>
            </w:r>
          </w:p>
        </w:tc>
        <w:tc>
          <w:tcPr>
            <w:tcW w:w="810" w:type="dxa"/>
          </w:tcPr>
          <w:p w:rsidR="00A837C3" w:rsidRPr="00C003FA" w:rsidRDefault="00A837C3" w:rsidP="006C0B9E">
            <w:pPr>
              <w:keepNext/>
              <w:keepLines/>
              <w:pBdr>
                <w:bottom w:val="single" w:sz="4" w:space="1" w:color="auto"/>
              </w:pBdr>
              <w:spacing w:after="120"/>
              <w:jc w:val="center"/>
              <w:rPr>
                <w:sz w:val="15"/>
                <w:szCs w:val="15"/>
              </w:rPr>
            </w:pPr>
            <w:r w:rsidRPr="00C003FA">
              <w:rPr>
                <w:sz w:val="15"/>
                <w:szCs w:val="15"/>
              </w:rPr>
              <w:t>June</w:t>
            </w:r>
            <w:r w:rsidRPr="00C003FA">
              <w:rPr>
                <w:sz w:val="15"/>
                <w:szCs w:val="15"/>
              </w:rPr>
              <w:br/>
              <w:t>2020</w:t>
            </w:r>
          </w:p>
        </w:tc>
      </w:tr>
      <w:tr w:rsidR="00A837C3" w:rsidRPr="00C003FA" w:rsidTr="006C0B9E">
        <w:trPr>
          <w:jc w:val="center"/>
        </w:trPr>
        <w:tc>
          <w:tcPr>
            <w:tcW w:w="1615" w:type="dxa"/>
            <w:vAlign w:val="bottom"/>
          </w:tcPr>
          <w:p w:rsidR="00A837C3" w:rsidRPr="00C003FA" w:rsidRDefault="00A837C3" w:rsidP="006C0B9E">
            <w:pPr>
              <w:keepNext/>
              <w:keepLines/>
              <w:ind w:left="162" w:hanging="162"/>
              <w:jc w:val="left"/>
              <w:rPr>
                <w:sz w:val="15"/>
                <w:szCs w:val="15"/>
              </w:rPr>
            </w:pPr>
            <w:r w:rsidRPr="00C003FA">
              <w:rPr>
                <w:sz w:val="15"/>
                <w:szCs w:val="15"/>
              </w:rPr>
              <w:t>Agency CMOs</w:t>
            </w:r>
          </w:p>
        </w:tc>
        <w:tc>
          <w:tcPr>
            <w:tcW w:w="810" w:type="dxa"/>
            <w:vAlign w:val="bottom"/>
          </w:tcPr>
          <w:p w:rsidR="00A837C3" w:rsidRPr="00C003FA" w:rsidRDefault="00A837C3" w:rsidP="006C0B9E">
            <w:pPr>
              <w:keepNext/>
              <w:keepLines/>
              <w:tabs>
                <w:tab w:val="decimal" w:pos="437"/>
              </w:tabs>
              <w:rPr>
                <w:sz w:val="15"/>
                <w:szCs w:val="15"/>
              </w:rPr>
            </w:pPr>
            <w:r w:rsidRPr="00C003FA">
              <w:rPr>
                <w:sz w:val="15"/>
                <w:szCs w:val="15"/>
              </w:rPr>
              <w:t>$      0.2</w:t>
            </w:r>
          </w:p>
        </w:tc>
        <w:tc>
          <w:tcPr>
            <w:tcW w:w="810" w:type="dxa"/>
            <w:vAlign w:val="bottom"/>
          </w:tcPr>
          <w:p w:rsidR="00A837C3" w:rsidRPr="00C003FA" w:rsidRDefault="00A837C3" w:rsidP="006C0B9E">
            <w:pPr>
              <w:keepNext/>
              <w:keepLines/>
              <w:tabs>
                <w:tab w:val="decimal" w:pos="437"/>
              </w:tabs>
              <w:rPr>
                <w:sz w:val="15"/>
                <w:szCs w:val="15"/>
              </w:rPr>
            </w:pPr>
            <w:r w:rsidRPr="00C003FA">
              <w:rPr>
                <w:sz w:val="15"/>
                <w:szCs w:val="15"/>
              </w:rPr>
              <w:t>$       0.2</w:t>
            </w:r>
          </w:p>
        </w:tc>
        <w:tc>
          <w:tcPr>
            <w:tcW w:w="811" w:type="dxa"/>
            <w:vAlign w:val="bottom"/>
          </w:tcPr>
          <w:p w:rsidR="00A837C3" w:rsidRPr="00C003FA" w:rsidRDefault="00A837C3" w:rsidP="006C0B9E">
            <w:pPr>
              <w:keepNext/>
              <w:keepLines/>
              <w:tabs>
                <w:tab w:val="decimal" w:pos="437"/>
              </w:tabs>
              <w:rPr>
                <w:sz w:val="15"/>
                <w:szCs w:val="15"/>
              </w:rPr>
            </w:pPr>
            <w:r w:rsidRPr="00C003FA">
              <w:rPr>
                <w:sz w:val="15"/>
                <w:szCs w:val="15"/>
              </w:rPr>
              <w:t>$       0.2</w:t>
            </w:r>
          </w:p>
        </w:tc>
        <w:tc>
          <w:tcPr>
            <w:tcW w:w="810" w:type="dxa"/>
            <w:vAlign w:val="bottom"/>
          </w:tcPr>
          <w:p w:rsidR="00A837C3" w:rsidRPr="00C003FA" w:rsidRDefault="00A837C3" w:rsidP="006C0B9E">
            <w:pPr>
              <w:keepNext/>
              <w:keepLines/>
              <w:tabs>
                <w:tab w:val="decimal" w:pos="437"/>
              </w:tabs>
              <w:rPr>
                <w:sz w:val="15"/>
                <w:szCs w:val="15"/>
              </w:rPr>
            </w:pPr>
            <w:r w:rsidRPr="00C003FA">
              <w:rPr>
                <w:sz w:val="15"/>
                <w:szCs w:val="15"/>
              </w:rPr>
              <w:t>$       0.2</w:t>
            </w:r>
          </w:p>
        </w:tc>
        <w:tc>
          <w:tcPr>
            <w:tcW w:w="811" w:type="dxa"/>
            <w:vAlign w:val="bottom"/>
          </w:tcPr>
          <w:p w:rsidR="00A837C3" w:rsidRPr="00C003FA" w:rsidRDefault="00A837C3" w:rsidP="006C0B9E">
            <w:pPr>
              <w:keepNext/>
              <w:keepLines/>
              <w:tabs>
                <w:tab w:val="decimal" w:pos="437"/>
              </w:tabs>
              <w:rPr>
                <w:sz w:val="15"/>
                <w:szCs w:val="15"/>
              </w:rPr>
            </w:pPr>
            <w:r w:rsidRPr="00C003FA">
              <w:rPr>
                <w:sz w:val="15"/>
                <w:szCs w:val="15"/>
              </w:rPr>
              <w:t>$      41.6</w:t>
            </w:r>
          </w:p>
        </w:tc>
        <w:tc>
          <w:tcPr>
            <w:tcW w:w="810" w:type="dxa"/>
            <w:vAlign w:val="bottom"/>
          </w:tcPr>
          <w:p w:rsidR="00A837C3" w:rsidRPr="00C003FA" w:rsidRDefault="00A837C3" w:rsidP="006C0B9E">
            <w:pPr>
              <w:keepNext/>
              <w:keepLines/>
              <w:tabs>
                <w:tab w:val="decimal" w:pos="437"/>
              </w:tabs>
              <w:rPr>
                <w:sz w:val="15"/>
                <w:szCs w:val="15"/>
              </w:rPr>
            </w:pPr>
            <w:r w:rsidRPr="00C003FA">
              <w:rPr>
                <w:sz w:val="15"/>
                <w:szCs w:val="15"/>
              </w:rPr>
              <w:t>$      41.6</w:t>
            </w:r>
          </w:p>
        </w:tc>
        <w:tc>
          <w:tcPr>
            <w:tcW w:w="811" w:type="dxa"/>
            <w:vAlign w:val="bottom"/>
          </w:tcPr>
          <w:p w:rsidR="00A837C3" w:rsidRPr="00C003FA" w:rsidRDefault="00A837C3" w:rsidP="006C0B9E">
            <w:pPr>
              <w:keepNext/>
              <w:keepLines/>
              <w:tabs>
                <w:tab w:val="decimal" w:pos="437"/>
              </w:tabs>
              <w:rPr>
                <w:sz w:val="15"/>
                <w:szCs w:val="15"/>
              </w:rPr>
            </w:pPr>
            <w:r w:rsidRPr="00C003FA">
              <w:rPr>
                <w:sz w:val="15"/>
                <w:szCs w:val="15"/>
              </w:rPr>
              <w:t>$      41.6</w:t>
            </w:r>
          </w:p>
        </w:tc>
        <w:tc>
          <w:tcPr>
            <w:tcW w:w="810" w:type="dxa"/>
            <w:vAlign w:val="bottom"/>
          </w:tcPr>
          <w:p w:rsidR="00A837C3" w:rsidRPr="00C003FA" w:rsidRDefault="00A837C3" w:rsidP="006C0B9E">
            <w:pPr>
              <w:keepNext/>
              <w:keepLines/>
              <w:tabs>
                <w:tab w:val="decimal" w:pos="437"/>
              </w:tabs>
              <w:rPr>
                <w:sz w:val="15"/>
                <w:szCs w:val="15"/>
              </w:rPr>
            </w:pPr>
            <w:r w:rsidRPr="00C003FA">
              <w:rPr>
                <w:sz w:val="15"/>
                <w:szCs w:val="15"/>
              </w:rPr>
              <w:t>$      41.6</w:t>
            </w:r>
          </w:p>
        </w:tc>
        <w:tc>
          <w:tcPr>
            <w:tcW w:w="811" w:type="dxa"/>
            <w:vAlign w:val="bottom"/>
          </w:tcPr>
          <w:p w:rsidR="00A837C3" w:rsidRPr="00C003FA" w:rsidRDefault="00A837C3" w:rsidP="006C0B9E">
            <w:pPr>
              <w:keepNext/>
              <w:keepLines/>
              <w:tabs>
                <w:tab w:val="decimal" w:pos="437"/>
              </w:tabs>
              <w:rPr>
                <w:sz w:val="15"/>
                <w:szCs w:val="15"/>
              </w:rPr>
            </w:pPr>
            <w:r w:rsidRPr="00C003FA">
              <w:rPr>
                <w:sz w:val="15"/>
                <w:szCs w:val="15"/>
              </w:rPr>
              <w:t>$      41.6</w:t>
            </w:r>
          </w:p>
        </w:tc>
        <w:tc>
          <w:tcPr>
            <w:tcW w:w="901" w:type="dxa"/>
            <w:vAlign w:val="bottom"/>
          </w:tcPr>
          <w:p w:rsidR="00A837C3" w:rsidRPr="00C003FA" w:rsidRDefault="00A837C3" w:rsidP="006C0B9E">
            <w:pPr>
              <w:keepNext/>
              <w:keepLines/>
              <w:tabs>
                <w:tab w:val="decimal" w:pos="610"/>
              </w:tabs>
              <w:rPr>
                <w:sz w:val="15"/>
                <w:szCs w:val="15"/>
              </w:rPr>
            </w:pPr>
            <w:r w:rsidRPr="00C003FA">
              <w:rPr>
                <w:sz w:val="15"/>
                <w:szCs w:val="15"/>
              </w:rPr>
              <w:t>$      41.6</w:t>
            </w:r>
          </w:p>
        </w:tc>
        <w:tc>
          <w:tcPr>
            <w:tcW w:w="900" w:type="dxa"/>
            <w:vAlign w:val="bottom"/>
          </w:tcPr>
          <w:p w:rsidR="00A837C3" w:rsidRPr="00C003FA" w:rsidRDefault="00A837C3" w:rsidP="006C0B9E">
            <w:pPr>
              <w:keepNext/>
              <w:keepLines/>
              <w:tabs>
                <w:tab w:val="decimal" w:pos="590"/>
              </w:tabs>
              <w:rPr>
                <w:sz w:val="15"/>
                <w:szCs w:val="15"/>
              </w:rPr>
            </w:pPr>
            <w:r w:rsidRPr="00C003FA">
              <w:rPr>
                <w:sz w:val="15"/>
                <w:szCs w:val="15"/>
              </w:rPr>
              <w:t>$        41.5</w:t>
            </w:r>
          </w:p>
        </w:tc>
        <w:tc>
          <w:tcPr>
            <w:tcW w:w="810" w:type="dxa"/>
          </w:tcPr>
          <w:p w:rsidR="00A837C3" w:rsidRPr="00C003FA" w:rsidRDefault="00A837C3" w:rsidP="006C0B9E">
            <w:pPr>
              <w:keepNext/>
              <w:keepLines/>
              <w:tabs>
                <w:tab w:val="decimal" w:pos="437"/>
              </w:tabs>
              <w:rPr>
                <w:sz w:val="15"/>
                <w:szCs w:val="15"/>
              </w:rPr>
            </w:pPr>
            <w:r w:rsidRPr="00C003FA">
              <w:rPr>
                <w:sz w:val="15"/>
                <w:szCs w:val="15"/>
              </w:rPr>
              <w:t>$   103.6</w:t>
            </w:r>
          </w:p>
        </w:tc>
      </w:tr>
      <w:tr w:rsidR="00A837C3" w:rsidRPr="00C003FA" w:rsidTr="006C0B9E">
        <w:trPr>
          <w:jc w:val="center"/>
        </w:trPr>
        <w:tc>
          <w:tcPr>
            <w:tcW w:w="1615" w:type="dxa"/>
            <w:vAlign w:val="bottom"/>
          </w:tcPr>
          <w:p w:rsidR="00A837C3" w:rsidRPr="00C003FA" w:rsidRDefault="00A837C3" w:rsidP="006C0B9E">
            <w:pPr>
              <w:keepNext/>
              <w:keepLines/>
              <w:ind w:left="162" w:hanging="162"/>
              <w:jc w:val="left"/>
              <w:rPr>
                <w:sz w:val="15"/>
                <w:szCs w:val="15"/>
              </w:rPr>
            </w:pPr>
            <w:r w:rsidRPr="00C003FA">
              <w:rPr>
                <w:sz w:val="15"/>
                <w:szCs w:val="15"/>
              </w:rPr>
              <w:t>Commercial Paper</w:t>
            </w:r>
          </w:p>
        </w:tc>
        <w:tc>
          <w:tcPr>
            <w:tcW w:w="810" w:type="dxa"/>
            <w:vAlign w:val="bottom"/>
          </w:tcPr>
          <w:p w:rsidR="00A837C3" w:rsidRPr="00C003FA" w:rsidRDefault="00A837C3" w:rsidP="006C0B9E">
            <w:pPr>
              <w:keepNext/>
              <w:keepLines/>
              <w:tabs>
                <w:tab w:val="decimal" w:pos="437"/>
              </w:tabs>
              <w:rPr>
                <w:sz w:val="15"/>
                <w:szCs w:val="15"/>
              </w:rPr>
            </w:pPr>
            <w:r w:rsidRPr="00C003FA">
              <w:rPr>
                <w:sz w:val="15"/>
                <w:szCs w:val="15"/>
              </w:rPr>
              <w:t>2,190.9</w:t>
            </w:r>
          </w:p>
        </w:tc>
        <w:tc>
          <w:tcPr>
            <w:tcW w:w="810" w:type="dxa"/>
            <w:vAlign w:val="bottom"/>
          </w:tcPr>
          <w:p w:rsidR="00A837C3" w:rsidRPr="00C003FA" w:rsidRDefault="00A837C3" w:rsidP="006C0B9E">
            <w:pPr>
              <w:keepNext/>
              <w:keepLines/>
              <w:tabs>
                <w:tab w:val="decimal" w:pos="437"/>
              </w:tabs>
              <w:rPr>
                <w:sz w:val="15"/>
                <w:szCs w:val="15"/>
              </w:rPr>
            </w:pPr>
            <w:r w:rsidRPr="00C003FA">
              <w:rPr>
                <w:sz w:val="15"/>
                <w:szCs w:val="15"/>
              </w:rPr>
              <w:t>1,854.6</w:t>
            </w:r>
          </w:p>
        </w:tc>
        <w:tc>
          <w:tcPr>
            <w:tcW w:w="811" w:type="dxa"/>
            <w:vAlign w:val="bottom"/>
          </w:tcPr>
          <w:p w:rsidR="00A837C3" w:rsidRPr="00C003FA" w:rsidRDefault="00A837C3" w:rsidP="006C0B9E">
            <w:pPr>
              <w:tabs>
                <w:tab w:val="decimal" w:pos="437"/>
              </w:tabs>
              <w:rPr>
                <w:sz w:val="15"/>
                <w:szCs w:val="15"/>
              </w:rPr>
            </w:pPr>
            <w:r w:rsidRPr="00C003FA">
              <w:rPr>
                <w:sz w:val="15"/>
                <w:szCs w:val="15"/>
              </w:rPr>
              <w:t>1,477.4</w:t>
            </w:r>
          </w:p>
        </w:tc>
        <w:tc>
          <w:tcPr>
            <w:tcW w:w="810" w:type="dxa"/>
            <w:vAlign w:val="bottom"/>
          </w:tcPr>
          <w:p w:rsidR="00A837C3" w:rsidRPr="00C003FA" w:rsidRDefault="00A837C3" w:rsidP="006C0B9E">
            <w:pPr>
              <w:tabs>
                <w:tab w:val="decimal" w:pos="437"/>
              </w:tabs>
              <w:rPr>
                <w:sz w:val="15"/>
                <w:szCs w:val="15"/>
              </w:rPr>
            </w:pPr>
            <w:r w:rsidRPr="00C003FA">
              <w:rPr>
                <w:sz w:val="15"/>
                <w:szCs w:val="15"/>
              </w:rPr>
              <w:t>1,814.2</w:t>
            </w:r>
          </w:p>
        </w:tc>
        <w:tc>
          <w:tcPr>
            <w:tcW w:w="811" w:type="dxa"/>
            <w:vAlign w:val="bottom"/>
          </w:tcPr>
          <w:p w:rsidR="00A837C3" w:rsidRPr="00C003FA" w:rsidRDefault="00A837C3" w:rsidP="006C0B9E">
            <w:pPr>
              <w:tabs>
                <w:tab w:val="decimal" w:pos="437"/>
              </w:tabs>
              <w:rPr>
                <w:sz w:val="15"/>
                <w:szCs w:val="15"/>
              </w:rPr>
            </w:pPr>
            <w:r w:rsidRPr="00C003FA">
              <w:rPr>
                <w:sz w:val="15"/>
                <w:szCs w:val="15"/>
              </w:rPr>
              <w:t>1,993.5</w:t>
            </w:r>
          </w:p>
        </w:tc>
        <w:tc>
          <w:tcPr>
            <w:tcW w:w="810" w:type="dxa"/>
            <w:vAlign w:val="bottom"/>
          </w:tcPr>
          <w:p w:rsidR="00A837C3" w:rsidRPr="00C003FA" w:rsidRDefault="00A837C3" w:rsidP="006C0B9E">
            <w:pPr>
              <w:tabs>
                <w:tab w:val="decimal" w:pos="437"/>
              </w:tabs>
              <w:rPr>
                <w:sz w:val="15"/>
                <w:szCs w:val="15"/>
              </w:rPr>
            </w:pPr>
            <w:r w:rsidRPr="00C003FA">
              <w:rPr>
                <w:sz w:val="15"/>
                <w:szCs w:val="15"/>
              </w:rPr>
              <w:t>2,074.0</w:t>
            </w:r>
          </w:p>
        </w:tc>
        <w:tc>
          <w:tcPr>
            <w:tcW w:w="811" w:type="dxa"/>
            <w:vAlign w:val="bottom"/>
          </w:tcPr>
          <w:p w:rsidR="00A837C3" w:rsidRPr="00C003FA" w:rsidRDefault="00A837C3" w:rsidP="006C0B9E">
            <w:pPr>
              <w:tabs>
                <w:tab w:val="decimal" w:pos="437"/>
              </w:tabs>
              <w:rPr>
                <w:sz w:val="15"/>
                <w:szCs w:val="15"/>
              </w:rPr>
            </w:pPr>
            <w:r w:rsidRPr="00C003FA">
              <w:rPr>
                <w:sz w:val="15"/>
                <w:szCs w:val="15"/>
              </w:rPr>
              <w:t>2,610.7</w:t>
            </w:r>
          </w:p>
        </w:tc>
        <w:tc>
          <w:tcPr>
            <w:tcW w:w="810" w:type="dxa"/>
            <w:vAlign w:val="bottom"/>
          </w:tcPr>
          <w:p w:rsidR="00A837C3" w:rsidRPr="00C003FA" w:rsidRDefault="00A837C3" w:rsidP="006C0B9E">
            <w:pPr>
              <w:tabs>
                <w:tab w:val="decimal" w:pos="437"/>
              </w:tabs>
              <w:rPr>
                <w:sz w:val="15"/>
                <w:szCs w:val="15"/>
              </w:rPr>
            </w:pPr>
            <w:r w:rsidRPr="00C003FA">
              <w:rPr>
                <w:sz w:val="15"/>
                <w:szCs w:val="15"/>
              </w:rPr>
              <w:t>2,149.7</w:t>
            </w:r>
          </w:p>
        </w:tc>
        <w:tc>
          <w:tcPr>
            <w:tcW w:w="811" w:type="dxa"/>
            <w:vAlign w:val="bottom"/>
          </w:tcPr>
          <w:p w:rsidR="00A837C3" w:rsidRPr="00C003FA" w:rsidRDefault="00A837C3" w:rsidP="006C0B9E">
            <w:pPr>
              <w:tabs>
                <w:tab w:val="decimal" w:pos="437"/>
              </w:tabs>
              <w:rPr>
                <w:sz w:val="15"/>
                <w:szCs w:val="15"/>
              </w:rPr>
            </w:pPr>
            <w:r w:rsidRPr="00C003FA">
              <w:rPr>
                <w:sz w:val="15"/>
                <w:szCs w:val="15"/>
              </w:rPr>
              <w:t>1,109.1</w:t>
            </w:r>
          </w:p>
        </w:tc>
        <w:tc>
          <w:tcPr>
            <w:tcW w:w="901" w:type="dxa"/>
            <w:vAlign w:val="bottom"/>
          </w:tcPr>
          <w:p w:rsidR="00A837C3" w:rsidRPr="00C003FA" w:rsidRDefault="00A837C3" w:rsidP="006C0B9E">
            <w:pPr>
              <w:tabs>
                <w:tab w:val="decimal" w:pos="610"/>
              </w:tabs>
              <w:rPr>
                <w:sz w:val="15"/>
                <w:szCs w:val="15"/>
              </w:rPr>
            </w:pPr>
            <w:r w:rsidRPr="00C003FA">
              <w:rPr>
                <w:sz w:val="15"/>
                <w:szCs w:val="15"/>
              </w:rPr>
              <w:t>1,219.9</w:t>
            </w:r>
          </w:p>
        </w:tc>
        <w:tc>
          <w:tcPr>
            <w:tcW w:w="900" w:type="dxa"/>
            <w:vAlign w:val="bottom"/>
          </w:tcPr>
          <w:p w:rsidR="00A837C3" w:rsidRPr="00C003FA" w:rsidRDefault="00A837C3" w:rsidP="006C0B9E">
            <w:pPr>
              <w:tabs>
                <w:tab w:val="decimal" w:pos="590"/>
              </w:tabs>
              <w:rPr>
                <w:sz w:val="15"/>
                <w:szCs w:val="15"/>
              </w:rPr>
            </w:pPr>
            <w:r w:rsidRPr="00C003FA">
              <w:rPr>
                <w:sz w:val="15"/>
                <w:szCs w:val="15"/>
              </w:rPr>
              <w:t>1,155.4</w:t>
            </w:r>
          </w:p>
        </w:tc>
        <w:tc>
          <w:tcPr>
            <w:tcW w:w="810" w:type="dxa"/>
          </w:tcPr>
          <w:p w:rsidR="00A837C3" w:rsidRPr="00C003FA" w:rsidRDefault="00A837C3" w:rsidP="006C0B9E">
            <w:pPr>
              <w:tabs>
                <w:tab w:val="decimal" w:pos="437"/>
              </w:tabs>
              <w:rPr>
                <w:sz w:val="15"/>
                <w:szCs w:val="15"/>
              </w:rPr>
            </w:pPr>
            <w:r w:rsidRPr="00C003FA">
              <w:rPr>
                <w:sz w:val="15"/>
                <w:szCs w:val="15"/>
              </w:rPr>
              <w:t>385.0</w:t>
            </w:r>
          </w:p>
        </w:tc>
      </w:tr>
      <w:tr w:rsidR="00A837C3" w:rsidRPr="00C003FA" w:rsidTr="006C0B9E">
        <w:trPr>
          <w:jc w:val="center"/>
        </w:trPr>
        <w:tc>
          <w:tcPr>
            <w:tcW w:w="1615" w:type="dxa"/>
            <w:vAlign w:val="bottom"/>
          </w:tcPr>
          <w:p w:rsidR="00A837C3" w:rsidRPr="00C003FA" w:rsidRDefault="00A837C3" w:rsidP="006C0B9E">
            <w:pPr>
              <w:keepNext/>
              <w:keepLines/>
              <w:ind w:left="162" w:hanging="162"/>
              <w:jc w:val="left"/>
              <w:rPr>
                <w:sz w:val="15"/>
                <w:szCs w:val="15"/>
              </w:rPr>
            </w:pPr>
            <w:r w:rsidRPr="00C003FA">
              <w:rPr>
                <w:sz w:val="15"/>
                <w:szCs w:val="15"/>
              </w:rPr>
              <w:t>U.S. Treasury Notes</w:t>
            </w:r>
          </w:p>
        </w:tc>
        <w:tc>
          <w:tcPr>
            <w:tcW w:w="810" w:type="dxa"/>
            <w:vAlign w:val="bottom"/>
          </w:tcPr>
          <w:p w:rsidR="00A837C3" w:rsidRPr="00C003FA" w:rsidRDefault="00A837C3" w:rsidP="006C0B9E">
            <w:pPr>
              <w:tabs>
                <w:tab w:val="decimal" w:pos="437"/>
              </w:tabs>
              <w:rPr>
                <w:sz w:val="15"/>
                <w:szCs w:val="15"/>
              </w:rPr>
            </w:pPr>
            <w:r w:rsidRPr="00C003FA">
              <w:rPr>
                <w:sz w:val="15"/>
                <w:szCs w:val="15"/>
              </w:rPr>
              <w:t>757.1</w:t>
            </w:r>
          </w:p>
        </w:tc>
        <w:tc>
          <w:tcPr>
            <w:tcW w:w="810" w:type="dxa"/>
            <w:vAlign w:val="bottom"/>
          </w:tcPr>
          <w:p w:rsidR="00A837C3" w:rsidRPr="00C003FA" w:rsidRDefault="00A837C3" w:rsidP="006C0B9E">
            <w:pPr>
              <w:tabs>
                <w:tab w:val="decimal" w:pos="437"/>
              </w:tabs>
              <w:rPr>
                <w:sz w:val="15"/>
                <w:szCs w:val="15"/>
              </w:rPr>
            </w:pPr>
            <w:r w:rsidRPr="00C003FA">
              <w:rPr>
                <w:sz w:val="15"/>
                <w:szCs w:val="15"/>
              </w:rPr>
              <w:t>702.8</w:t>
            </w:r>
          </w:p>
        </w:tc>
        <w:tc>
          <w:tcPr>
            <w:tcW w:w="811" w:type="dxa"/>
            <w:vAlign w:val="bottom"/>
          </w:tcPr>
          <w:p w:rsidR="00A837C3" w:rsidRPr="00C003FA" w:rsidRDefault="00A837C3" w:rsidP="006C0B9E">
            <w:pPr>
              <w:tabs>
                <w:tab w:val="decimal" w:pos="437"/>
              </w:tabs>
              <w:rPr>
                <w:sz w:val="15"/>
                <w:szCs w:val="15"/>
              </w:rPr>
            </w:pPr>
            <w:r w:rsidRPr="00C003FA">
              <w:rPr>
                <w:sz w:val="15"/>
                <w:szCs w:val="15"/>
              </w:rPr>
              <w:t>809.2</w:t>
            </w:r>
          </w:p>
        </w:tc>
        <w:tc>
          <w:tcPr>
            <w:tcW w:w="810" w:type="dxa"/>
            <w:vAlign w:val="bottom"/>
          </w:tcPr>
          <w:p w:rsidR="00A837C3" w:rsidRPr="00C003FA" w:rsidRDefault="00A837C3" w:rsidP="006C0B9E">
            <w:pPr>
              <w:tabs>
                <w:tab w:val="decimal" w:pos="437"/>
              </w:tabs>
              <w:rPr>
                <w:sz w:val="15"/>
                <w:szCs w:val="15"/>
              </w:rPr>
            </w:pPr>
            <w:r w:rsidRPr="00C003FA">
              <w:rPr>
                <w:sz w:val="15"/>
                <w:szCs w:val="15"/>
              </w:rPr>
              <w:t>895.1</w:t>
            </w:r>
          </w:p>
        </w:tc>
        <w:tc>
          <w:tcPr>
            <w:tcW w:w="811" w:type="dxa"/>
            <w:vAlign w:val="bottom"/>
          </w:tcPr>
          <w:p w:rsidR="00A837C3" w:rsidRPr="00C003FA" w:rsidRDefault="00A837C3" w:rsidP="006C0B9E">
            <w:pPr>
              <w:tabs>
                <w:tab w:val="decimal" w:pos="437"/>
              </w:tabs>
              <w:rPr>
                <w:sz w:val="15"/>
                <w:szCs w:val="15"/>
              </w:rPr>
            </w:pPr>
            <w:r w:rsidRPr="00C003FA">
              <w:rPr>
                <w:sz w:val="15"/>
                <w:szCs w:val="15"/>
              </w:rPr>
              <w:t>931.6</w:t>
            </w:r>
          </w:p>
        </w:tc>
        <w:tc>
          <w:tcPr>
            <w:tcW w:w="810" w:type="dxa"/>
            <w:vAlign w:val="bottom"/>
          </w:tcPr>
          <w:p w:rsidR="00A837C3" w:rsidRPr="00C003FA" w:rsidRDefault="00A837C3" w:rsidP="006C0B9E">
            <w:pPr>
              <w:tabs>
                <w:tab w:val="decimal" w:pos="437"/>
              </w:tabs>
              <w:rPr>
                <w:sz w:val="15"/>
                <w:szCs w:val="15"/>
              </w:rPr>
            </w:pPr>
            <w:r w:rsidRPr="00C003FA">
              <w:rPr>
                <w:sz w:val="15"/>
                <w:szCs w:val="15"/>
              </w:rPr>
              <w:t>939.8</w:t>
            </w:r>
          </w:p>
        </w:tc>
        <w:tc>
          <w:tcPr>
            <w:tcW w:w="811" w:type="dxa"/>
            <w:vAlign w:val="bottom"/>
          </w:tcPr>
          <w:p w:rsidR="00A837C3" w:rsidRPr="00C003FA" w:rsidRDefault="00A837C3" w:rsidP="006C0B9E">
            <w:pPr>
              <w:tabs>
                <w:tab w:val="decimal" w:pos="437"/>
              </w:tabs>
              <w:rPr>
                <w:sz w:val="15"/>
                <w:szCs w:val="15"/>
              </w:rPr>
            </w:pPr>
            <w:r w:rsidRPr="00C003FA">
              <w:rPr>
                <w:sz w:val="15"/>
                <w:szCs w:val="15"/>
              </w:rPr>
              <w:t>897.8</w:t>
            </w:r>
          </w:p>
        </w:tc>
        <w:tc>
          <w:tcPr>
            <w:tcW w:w="810" w:type="dxa"/>
            <w:vAlign w:val="bottom"/>
          </w:tcPr>
          <w:p w:rsidR="00A837C3" w:rsidRPr="00C003FA" w:rsidRDefault="00A837C3" w:rsidP="006C0B9E">
            <w:pPr>
              <w:tabs>
                <w:tab w:val="decimal" w:pos="437"/>
              </w:tabs>
              <w:rPr>
                <w:sz w:val="15"/>
                <w:szCs w:val="15"/>
              </w:rPr>
            </w:pPr>
            <w:r w:rsidRPr="00C003FA">
              <w:rPr>
                <w:sz w:val="15"/>
                <w:szCs w:val="15"/>
              </w:rPr>
              <w:t>1,173.5</w:t>
            </w:r>
          </w:p>
        </w:tc>
        <w:tc>
          <w:tcPr>
            <w:tcW w:w="811" w:type="dxa"/>
            <w:vAlign w:val="bottom"/>
          </w:tcPr>
          <w:p w:rsidR="00A837C3" w:rsidRPr="00C003FA" w:rsidRDefault="00A837C3" w:rsidP="006C0B9E">
            <w:pPr>
              <w:tabs>
                <w:tab w:val="decimal" w:pos="437"/>
              </w:tabs>
              <w:rPr>
                <w:sz w:val="15"/>
                <w:szCs w:val="15"/>
              </w:rPr>
            </w:pPr>
            <w:r w:rsidRPr="00C003FA">
              <w:rPr>
                <w:sz w:val="15"/>
                <w:szCs w:val="15"/>
              </w:rPr>
              <w:t>1,105.9</w:t>
            </w:r>
          </w:p>
        </w:tc>
        <w:tc>
          <w:tcPr>
            <w:tcW w:w="901" w:type="dxa"/>
            <w:vAlign w:val="bottom"/>
          </w:tcPr>
          <w:p w:rsidR="00A837C3" w:rsidRPr="00C003FA" w:rsidRDefault="00A837C3" w:rsidP="006C0B9E">
            <w:pPr>
              <w:tabs>
                <w:tab w:val="decimal" w:pos="610"/>
              </w:tabs>
              <w:rPr>
                <w:sz w:val="15"/>
                <w:szCs w:val="15"/>
              </w:rPr>
            </w:pPr>
            <w:r w:rsidRPr="00C003FA">
              <w:rPr>
                <w:sz w:val="15"/>
                <w:szCs w:val="15"/>
              </w:rPr>
              <w:t>1,128.5</w:t>
            </w:r>
          </w:p>
        </w:tc>
        <w:tc>
          <w:tcPr>
            <w:tcW w:w="900" w:type="dxa"/>
            <w:vAlign w:val="bottom"/>
          </w:tcPr>
          <w:p w:rsidR="00A837C3" w:rsidRPr="00C003FA" w:rsidRDefault="00A837C3" w:rsidP="006C0B9E">
            <w:pPr>
              <w:tabs>
                <w:tab w:val="decimal" w:pos="590"/>
              </w:tabs>
              <w:rPr>
                <w:sz w:val="15"/>
                <w:szCs w:val="15"/>
              </w:rPr>
            </w:pPr>
            <w:r w:rsidRPr="00C003FA">
              <w:rPr>
                <w:sz w:val="15"/>
                <w:szCs w:val="15"/>
              </w:rPr>
              <w:t>1,506.3</w:t>
            </w:r>
          </w:p>
        </w:tc>
        <w:tc>
          <w:tcPr>
            <w:tcW w:w="810" w:type="dxa"/>
          </w:tcPr>
          <w:p w:rsidR="00A837C3" w:rsidRPr="00C003FA" w:rsidRDefault="00A837C3" w:rsidP="006C0B9E">
            <w:pPr>
              <w:tabs>
                <w:tab w:val="decimal" w:pos="437"/>
              </w:tabs>
              <w:rPr>
                <w:sz w:val="15"/>
                <w:szCs w:val="15"/>
              </w:rPr>
            </w:pPr>
            <w:r w:rsidRPr="00C003FA">
              <w:rPr>
                <w:sz w:val="15"/>
                <w:szCs w:val="15"/>
              </w:rPr>
              <w:t>1,212.7</w:t>
            </w:r>
          </w:p>
        </w:tc>
      </w:tr>
      <w:tr w:rsidR="00A837C3" w:rsidRPr="00C003FA" w:rsidTr="006C0B9E">
        <w:trPr>
          <w:jc w:val="center"/>
        </w:trPr>
        <w:tc>
          <w:tcPr>
            <w:tcW w:w="1615" w:type="dxa"/>
            <w:vAlign w:val="bottom"/>
          </w:tcPr>
          <w:p w:rsidR="00A837C3" w:rsidRPr="00C003FA" w:rsidRDefault="00A837C3" w:rsidP="006C0B9E">
            <w:pPr>
              <w:keepNext/>
              <w:keepLines/>
              <w:ind w:left="162" w:hanging="162"/>
              <w:jc w:val="left"/>
              <w:rPr>
                <w:sz w:val="15"/>
                <w:szCs w:val="15"/>
              </w:rPr>
            </w:pPr>
            <w:r w:rsidRPr="00C003FA">
              <w:rPr>
                <w:sz w:val="15"/>
                <w:szCs w:val="15"/>
              </w:rPr>
              <w:t>Federal Agencies</w:t>
            </w:r>
          </w:p>
        </w:tc>
        <w:tc>
          <w:tcPr>
            <w:tcW w:w="810" w:type="dxa"/>
            <w:vAlign w:val="bottom"/>
          </w:tcPr>
          <w:p w:rsidR="00A837C3" w:rsidRPr="00C003FA" w:rsidRDefault="00A837C3" w:rsidP="006C0B9E">
            <w:pPr>
              <w:tabs>
                <w:tab w:val="decimal" w:pos="437"/>
              </w:tabs>
              <w:rPr>
                <w:sz w:val="15"/>
                <w:szCs w:val="15"/>
              </w:rPr>
            </w:pPr>
            <w:r w:rsidRPr="00C003FA">
              <w:rPr>
                <w:sz w:val="15"/>
                <w:szCs w:val="15"/>
              </w:rPr>
              <w:t>804.6</w:t>
            </w:r>
          </w:p>
        </w:tc>
        <w:tc>
          <w:tcPr>
            <w:tcW w:w="810" w:type="dxa"/>
            <w:vAlign w:val="bottom"/>
          </w:tcPr>
          <w:p w:rsidR="00A837C3" w:rsidRPr="00C003FA" w:rsidRDefault="00A837C3" w:rsidP="006C0B9E">
            <w:pPr>
              <w:tabs>
                <w:tab w:val="decimal" w:pos="437"/>
              </w:tabs>
              <w:rPr>
                <w:sz w:val="15"/>
                <w:szCs w:val="15"/>
              </w:rPr>
            </w:pPr>
            <w:r w:rsidRPr="00C003FA">
              <w:rPr>
                <w:sz w:val="15"/>
                <w:szCs w:val="15"/>
              </w:rPr>
              <w:t>913.2</w:t>
            </w:r>
          </w:p>
        </w:tc>
        <w:tc>
          <w:tcPr>
            <w:tcW w:w="811" w:type="dxa"/>
            <w:vAlign w:val="bottom"/>
          </w:tcPr>
          <w:p w:rsidR="00A837C3" w:rsidRPr="00C003FA" w:rsidRDefault="00A837C3" w:rsidP="006C0B9E">
            <w:pPr>
              <w:tabs>
                <w:tab w:val="decimal" w:pos="437"/>
              </w:tabs>
              <w:rPr>
                <w:sz w:val="15"/>
                <w:szCs w:val="15"/>
              </w:rPr>
            </w:pPr>
            <w:r w:rsidRPr="00C003FA">
              <w:rPr>
                <w:sz w:val="15"/>
                <w:szCs w:val="15"/>
              </w:rPr>
              <w:t>806.9</w:t>
            </w:r>
          </w:p>
        </w:tc>
        <w:tc>
          <w:tcPr>
            <w:tcW w:w="810" w:type="dxa"/>
            <w:vAlign w:val="bottom"/>
          </w:tcPr>
          <w:p w:rsidR="00A837C3" w:rsidRPr="00C003FA" w:rsidRDefault="00A837C3" w:rsidP="006C0B9E">
            <w:pPr>
              <w:tabs>
                <w:tab w:val="decimal" w:pos="437"/>
              </w:tabs>
              <w:rPr>
                <w:sz w:val="15"/>
                <w:szCs w:val="15"/>
              </w:rPr>
            </w:pPr>
            <w:r w:rsidRPr="00C003FA">
              <w:rPr>
                <w:sz w:val="15"/>
                <w:szCs w:val="15"/>
              </w:rPr>
              <w:t>600.2</w:t>
            </w:r>
          </w:p>
        </w:tc>
        <w:tc>
          <w:tcPr>
            <w:tcW w:w="811" w:type="dxa"/>
            <w:vAlign w:val="bottom"/>
          </w:tcPr>
          <w:p w:rsidR="00A837C3" w:rsidRPr="00C003FA" w:rsidRDefault="00A837C3" w:rsidP="006C0B9E">
            <w:pPr>
              <w:tabs>
                <w:tab w:val="decimal" w:pos="437"/>
              </w:tabs>
              <w:rPr>
                <w:sz w:val="15"/>
                <w:szCs w:val="15"/>
              </w:rPr>
            </w:pPr>
            <w:r w:rsidRPr="00C003FA">
              <w:rPr>
                <w:sz w:val="15"/>
                <w:szCs w:val="15"/>
              </w:rPr>
              <w:t>520.7</w:t>
            </w:r>
          </w:p>
        </w:tc>
        <w:tc>
          <w:tcPr>
            <w:tcW w:w="810" w:type="dxa"/>
            <w:vAlign w:val="bottom"/>
          </w:tcPr>
          <w:p w:rsidR="00A837C3" w:rsidRPr="00C003FA" w:rsidRDefault="00A837C3" w:rsidP="006C0B9E">
            <w:pPr>
              <w:tabs>
                <w:tab w:val="decimal" w:pos="437"/>
              </w:tabs>
              <w:rPr>
                <w:sz w:val="15"/>
                <w:szCs w:val="15"/>
              </w:rPr>
            </w:pPr>
            <w:r w:rsidRPr="00C003FA">
              <w:rPr>
                <w:sz w:val="15"/>
                <w:szCs w:val="15"/>
              </w:rPr>
              <w:t>379.7</w:t>
            </w:r>
          </w:p>
        </w:tc>
        <w:tc>
          <w:tcPr>
            <w:tcW w:w="811" w:type="dxa"/>
            <w:vAlign w:val="bottom"/>
          </w:tcPr>
          <w:p w:rsidR="00A837C3" w:rsidRPr="00C003FA" w:rsidRDefault="00A837C3" w:rsidP="006C0B9E">
            <w:pPr>
              <w:tabs>
                <w:tab w:val="decimal" w:pos="437"/>
              </w:tabs>
              <w:rPr>
                <w:sz w:val="15"/>
                <w:szCs w:val="15"/>
              </w:rPr>
            </w:pPr>
            <w:r w:rsidRPr="00C003FA">
              <w:rPr>
                <w:sz w:val="15"/>
                <w:szCs w:val="15"/>
              </w:rPr>
              <w:t>694.7</w:t>
            </w:r>
          </w:p>
        </w:tc>
        <w:tc>
          <w:tcPr>
            <w:tcW w:w="810" w:type="dxa"/>
            <w:vAlign w:val="bottom"/>
          </w:tcPr>
          <w:p w:rsidR="00A837C3" w:rsidRPr="00C003FA" w:rsidRDefault="00A837C3" w:rsidP="006C0B9E">
            <w:pPr>
              <w:tabs>
                <w:tab w:val="decimal" w:pos="437"/>
              </w:tabs>
              <w:rPr>
                <w:sz w:val="15"/>
                <w:szCs w:val="15"/>
              </w:rPr>
            </w:pPr>
            <w:r w:rsidRPr="00C003FA">
              <w:rPr>
                <w:sz w:val="15"/>
                <w:szCs w:val="15"/>
              </w:rPr>
              <w:t>714.5</w:t>
            </w:r>
          </w:p>
        </w:tc>
        <w:tc>
          <w:tcPr>
            <w:tcW w:w="811" w:type="dxa"/>
            <w:vAlign w:val="bottom"/>
          </w:tcPr>
          <w:p w:rsidR="00A837C3" w:rsidRPr="00C003FA" w:rsidRDefault="00A837C3" w:rsidP="006C0B9E">
            <w:pPr>
              <w:tabs>
                <w:tab w:val="decimal" w:pos="437"/>
              </w:tabs>
              <w:rPr>
                <w:sz w:val="15"/>
                <w:szCs w:val="15"/>
              </w:rPr>
            </w:pPr>
            <w:r w:rsidRPr="00C003FA">
              <w:rPr>
                <w:sz w:val="15"/>
                <w:szCs w:val="15"/>
              </w:rPr>
              <w:t>880.5</w:t>
            </w:r>
          </w:p>
        </w:tc>
        <w:tc>
          <w:tcPr>
            <w:tcW w:w="901" w:type="dxa"/>
            <w:vAlign w:val="bottom"/>
          </w:tcPr>
          <w:p w:rsidR="00A837C3" w:rsidRPr="00C003FA" w:rsidRDefault="00A837C3" w:rsidP="006C0B9E">
            <w:pPr>
              <w:tabs>
                <w:tab w:val="decimal" w:pos="610"/>
              </w:tabs>
              <w:rPr>
                <w:sz w:val="15"/>
                <w:szCs w:val="15"/>
              </w:rPr>
            </w:pPr>
            <w:r w:rsidRPr="00C003FA">
              <w:rPr>
                <w:sz w:val="15"/>
                <w:szCs w:val="15"/>
              </w:rPr>
              <w:t>929.6</w:t>
            </w:r>
          </w:p>
        </w:tc>
        <w:tc>
          <w:tcPr>
            <w:tcW w:w="900" w:type="dxa"/>
            <w:vAlign w:val="bottom"/>
          </w:tcPr>
          <w:p w:rsidR="00A837C3" w:rsidRPr="00C003FA" w:rsidRDefault="00A837C3" w:rsidP="006C0B9E">
            <w:pPr>
              <w:tabs>
                <w:tab w:val="decimal" w:pos="590"/>
              </w:tabs>
              <w:rPr>
                <w:sz w:val="15"/>
                <w:szCs w:val="15"/>
              </w:rPr>
            </w:pPr>
            <w:r w:rsidRPr="00C003FA">
              <w:rPr>
                <w:sz w:val="15"/>
                <w:szCs w:val="15"/>
              </w:rPr>
              <w:t>844.7</w:t>
            </w:r>
          </w:p>
        </w:tc>
        <w:tc>
          <w:tcPr>
            <w:tcW w:w="810" w:type="dxa"/>
          </w:tcPr>
          <w:p w:rsidR="00A837C3" w:rsidRPr="00C003FA" w:rsidRDefault="00A837C3" w:rsidP="006C0B9E">
            <w:pPr>
              <w:tabs>
                <w:tab w:val="decimal" w:pos="437"/>
              </w:tabs>
              <w:rPr>
                <w:sz w:val="15"/>
                <w:szCs w:val="15"/>
              </w:rPr>
            </w:pPr>
            <w:r w:rsidRPr="00C003FA">
              <w:rPr>
                <w:sz w:val="15"/>
                <w:szCs w:val="15"/>
              </w:rPr>
              <w:t>371.3</w:t>
            </w:r>
          </w:p>
        </w:tc>
      </w:tr>
      <w:tr w:rsidR="00A837C3" w:rsidRPr="00C003FA" w:rsidTr="006C0B9E">
        <w:trPr>
          <w:jc w:val="center"/>
        </w:trPr>
        <w:tc>
          <w:tcPr>
            <w:tcW w:w="1615" w:type="dxa"/>
            <w:vAlign w:val="bottom"/>
          </w:tcPr>
          <w:p w:rsidR="00A837C3" w:rsidRPr="00C003FA" w:rsidRDefault="00A837C3" w:rsidP="006C0B9E">
            <w:pPr>
              <w:keepNext/>
              <w:keepLines/>
              <w:ind w:left="162" w:hanging="162"/>
              <w:jc w:val="left"/>
              <w:rPr>
                <w:sz w:val="15"/>
                <w:szCs w:val="15"/>
              </w:rPr>
            </w:pPr>
            <w:r w:rsidRPr="00C003FA">
              <w:rPr>
                <w:sz w:val="15"/>
                <w:szCs w:val="15"/>
              </w:rPr>
              <w:t>Asset-Backed Securities</w:t>
            </w:r>
          </w:p>
        </w:tc>
        <w:tc>
          <w:tcPr>
            <w:tcW w:w="810" w:type="dxa"/>
            <w:vAlign w:val="bottom"/>
          </w:tcPr>
          <w:p w:rsidR="00A837C3" w:rsidRPr="00C003FA" w:rsidRDefault="00A837C3" w:rsidP="006C0B9E">
            <w:pPr>
              <w:tabs>
                <w:tab w:val="decimal" w:pos="437"/>
              </w:tabs>
              <w:rPr>
                <w:sz w:val="15"/>
                <w:szCs w:val="15"/>
              </w:rPr>
            </w:pPr>
            <w:r w:rsidRPr="00C003FA">
              <w:rPr>
                <w:sz w:val="15"/>
                <w:szCs w:val="15"/>
              </w:rPr>
              <w:t>901.0</w:t>
            </w:r>
          </w:p>
        </w:tc>
        <w:tc>
          <w:tcPr>
            <w:tcW w:w="810" w:type="dxa"/>
            <w:vAlign w:val="bottom"/>
          </w:tcPr>
          <w:p w:rsidR="00A837C3" w:rsidRPr="00C003FA" w:rsidRDefault="00A837C3" w:rsidP="006C0B9E">
            <w:pPr>
              <w:tabs>
                <w:tab w:val="decimal" w:pos="437"/>
              </w:tabs>
              <w:rPr>
                <w:sz w:val="15"/>
                <w:szCs w:val="15"/>
              </w:rPr>
            </w:pPr>
            <w:r w:rsidRPr="00C003FA">
              <w:rPr>
                <w:sz w:val="15"/>
                <w:szCs w:val="15"/>
              </w:rPr>
              <w:t>863.9</w:t>
            </w:r>
          </w:p>
        </w:tc>
        <w:tc>
          <w:tcPr>
            <w:tcW w:w="811" w:type="dxa"/>
            <w:vAlign w:val="bottom"/>
          </w:tcPr>
          <w:p w:rsidR="00A837C3" w:rsidRPr="00C003FA" w:rsidRDefault="00A837C3" w:rsidP="006C0B9E">
            <w:pPr>
              <w:tabs>
                <w:tab w:val="decimal" w:pos="437"/>
              </w:tabs>
              <w:rPr>
                <w:sz w:val="15"/>
                <w:szCs w:val="15"/>
              </w:rPr>
            </w:pPr>
            <w:r w:rsidRPr="00C003FA">
              <w:rPr>
                <w:sz w:val="15"/>
                <w:szCs w:val="15"/>
              </w:rPr>
              <w:t>930.1</w:t>
            </w:r>
          </w:p>
        </w:tc>
        <w:tc>
          <w:tcPr>
            <w:tcW w:w="810" w:type="dxa"/>
            <w:vAlign w:val="bottom"/>
          </w:tcPr>
          <w:p w:rsidR="00A837C3" w:rsidRPr="00C003FA" w:rsidRDefault="00A837C3" w:rsidP="006C0B9E">
            <w:pPr>
              <w:tabs>
                <w:tab w:val="decimal" w:pos="437"/>
              </w:tabs>
              <w:rPr>
                <w:sz w:val="15"/>
                <w:szCs w:val="15"/>
              </w:rPr>
            </w:pPr>
            <w:r w:rsidRPr="00C003FA">
              <w:rPr>
                <w:sz w:val="15"/>
                <w:szCs w:val="15"/>
              </w:rPr>
              <w:t>915.8</w:t>
            </w:r>
          </w:p>
        </w:tc>
        <w:tc>
          <w:tcPr>
            <w:tcW w:w="811" w:type="dxa"/>
            <w:vAlign w:val="bottom"/>
          </w:tcPr>
          <w:p w:rsidR="00A837C3" w:rsidRPr="00C003FA" w:rsidRDefault="00A837C3" w:rsidP="006C0B9E">
            <w:pPr>
              <w:tabs>
                <w:tab w:val="decimal" w:pos="437"/>
              </w:tabs>
              <w:rPr>
                <w:sz w:val="15"/>
                <w:szCs w:val="15"/>
              </w:rPr>
            </w:pPr>
            <w:r w:rsidRPr="00C003FA">
              <w:rPr>
                <w:sz w:val="15"/>
                <w:szCs w:val="15"/>
              </w:rPr>
              <w:t>875.6</w:t>
            </w:r>
          </w:p>
        </w:tc>
        <w:tc>
          <w:tcPr>
            <w:tcW w:w="810" w:type="dxa"/>
            <w:vAlign w:val="bottom"/>
          </w:tcPr>
          <w:p w:rsidR="00A837C3" w:rsidRPr="00C003FA" w:rsidRDefault="00A837C3" w:rsidP="006C0B9E">
            <w:pPr>
              <w:tabs>
                <w:tab w:val="decimal" w:pos="437"/>
              </w:tabs>
              <w:rPr>
                <w:sz w:val="15"/>
                <w:szCs w:val="15"/>
              </w:rPr>
            </w:pPr>
            <w:r w:rsidRPr="00C003FA">
              <w:rPr>
                <w:sz w:val="15"/>
                <w:szCs w:val="15"/>
              </w:rPr>
              <w:t>804.8</w:t>
            </w:r>
          </w:p>
        </w:tc>
        <w:tc>
          <w:tcPr>
            <w:tcW w:w="811" w:type="dxa"/>
            <w:vAlign w:val="bottom"/>
          </w:tcPr>
          <w:p w:rsidR="00A837C3" w:rsidRPr="00C003FA" w:rsidRDefault="00A837C3" w:rsidP="006C0B9E">
            <w:pPr>
              <w:tabs>
                <w:tab w:val="decimal" w:pos="437"/>
              </w:tabs>
              <w:rPr>
                <w:sz w:val="15"/>
                <w:szCs w:val="15"/>
              </w:rPr>
            </w:pPr>
            <w:r w:rsidRPr="00C003FA">
              <w:rPr>
                <w:sz w:val="15"/>
                <w:szCs w:val="15"/>
              </w:rPr>
              <w:t>683.8</w:t>
            </w:r>
          </w:p>
        </w:tc>
        <w:tc>
          <w:tcPr>
            <w:tcW w:w="810" w:type="dxa"/>
            <w:vAlign w:val="bottom"/>
          </w:tcPr>
          <w:p w:rsidR="00A837C3" w:rsidRPr="00C003FA" w:rsidRDefault="00A837C3" w:rsidP="006C0B9E">
            <w:pPr>
              <w:tabs>
                <w:tab w:val="decimal" w:pos="437"/>
              </w:tabs>
              <w:rPr>
                <w:sz w:val="15"/>
                <w:szCs w:val="15"/>
              </w:rPr>
            </w:pPr>
            <w:r w:rsidRPr="00C003FA">
              <w:rPr>
                <w:sz w:val="15"/>
                <w:szCs w:val="15"/>
              </w:rPr>
              <w:t>683.9</w:t>
            </w:r>
          </w:p>
        </w:tc>
        <w:tc>
          <w:tcPr>
            <w:tcW w:w="811" w:type="dxa"/>
            <w:vAlign w:val="bottom"/>
          </w:tcPr>
          <w:p w:rsidR="00A837C3" w:rsidRPr="00C003FA" w:rsidRDefault="00A837C3" w:rsidP="006C0B9E">
            <w:pPr>
              <w:tabs>
                <w:tab w:val="decimal" w:pos="437"/>
              </w:tabs>
              <w:rPr>
                <w:sz w:val="15"/>
                <w:szCs w:val="15"/>
              </w:rPr>
            </w:pPr>
            <w:r w:rsidRPr="00C003FA">
              <w:rPr>
                <w:sz w:val="15"/>
                <w:szCs w:val="15"/>
              </w:rPr>
              <w:t>674.8</w:t>
            </w:r>
          </w:p>
        </w:tc>
        <w:tc>
          <w:tcPr>
            <w:tcW w:w="901" w:type="dxa"/>
            <w:vAlign w:val="bottom"/>
          </w:tcPr>
          <w:p w:rsidR="00A837C3" w:rsidRPr="00C003FA" w:rsidRDefault="00A837C3" w:rsidP="006C0B9E">
            <w:pPr>
              <w:tabs>
                <w:tab w:val="decimal" w:pos="610"/>
              </w:tabs>
              <w:rPr>
                <w:sz w:val="15"/>
                <w:szCs w:val="15"/>
              </w:rPr>
            </w:pPr>
            <w:r w:rsidRPr="00C003FA">
              <w:rPr>
                <w:sz w:val="15"/>
                <w:szCs w:val="15"/>
              </w:rPr>
              <w:t>666.8</w:t>
            </w:r>
          </w:p>
        </w:tc>
        <w:tc>
          <w:tcPr>
            <w:tcW w:w="900" w:type="dxa"/>
            <w:vAlign w:val="bottom"/>
          </w:tcPr>
          <w:p w:rsidR="00A837C3" w:rsidRPr="00C003FA" w:rsidRDefault="00A837C3" w:rsidP="006C0B9E">
            <w:pPr>
              <w:tabs>
                <w:tab w:val="decimal" w:pos="590"/>
              </w:tabs>
              <w:rPr>
                <w:sz w:val="15"/>
                <w:szCs w:val="15"/>
              </w:rPr>
            </w:pPr>
            <w:r w:rsidRPr="00C003FA">
              <w:rPr>
                <w:sz w:val="15"/>
                <w:szCs w:val="15"/>
              </w:rPr>
              <w:t>666.3</w:t>
            </w:r>
          </w:p>
        </w:tc>
        <w:tc>
          <w:tcPr>
            <w:tcW w:w="810" w:type="dxa"/>
            <w:vAlign w:val="bottom"/>
          </w:tcPr>
          <w:p w:rsidR="00A837C3" w:rsidRPr="00C003FA" w:rsidRDefault="00A837C3" w:rsidP="006C0B9E">
            <w:pPr>
              <w:tabs>
                <w:tab w:val="decimal" w:pos="437"/>
              </w:tabs>
              <w:rPr>
                <w:sz w:val="15"/>
                <w:szCs w:val="15"/>
              </w:rPr>
            </w:pPr>
            <w:r w:rsidRPr="00C003FA">
              <w:rPr>
                <w:sz w:val="15"/>
                <w:szCs w:val="15"/>
              </w:rPr>
              <w:t>634.5</w:t>
            </w:r>
          </w:p>
        </w:tc>
      </w:tr>
      <w:tr w:rsidR="00A837C3" w:rsidRPr="00C003FA" w:rsidTr="006C0B9E">
        <w:trPr>
          <w:jc w:val="center"/>
        </w:trPr>
        <w:tc>
          <w:tcPr>
            <w:tcW w:w="1615" w:type="dxa"/>
            <w:vAlign w:val="bottom"/>
          </w:tcPr>
          <w:p w:rsidR="00A837C3" w:rsidRPr="00C003FA" w:rsidRDefault="00A837C3" w:rsidP="006C0B9E">
            <w:pPr>
              <w:keepNext/>
              <w:keepLines/>
              <w:ind w:left="162" w:hanging="162"/>
              <w:jc w:val="left"/>
              <w:rPr>
                <w:sz w:val="15"/>
                <w:szCs w:val="15"/>
              </w:rPr>
            </w:pPr>
            <w:r w:rsidRPr="00C003FA">
              <w:rPr>
                <w:sz w:val="15"/>
                <w:szCs w:val="15"/>
              </w:rPr>
              <w:t>Money Market</w:t>
            </w:r>
          </w:p>
        </w:tc>
        <w:tc>
          <w:tcPr>
            <w:tcW w:w="810" w:type="dxa"/>
            <w:vAlign w:val="bottom"/>
          </w:tcPr>
          <w:p w:rsidR="00A837C3" w:rsidRPr="00C003FA" w:rsidRDefault="00A837C3" w:rsidP="006C0B9E">
            <w:pPr>
              <w:tabs>
                <w:tab w:val="decimal" w:pos="437"/>
              </w:tabs>
              <w:rPr>
                <w:sz w:val="15"/>
                <w:szCs w:val="15"/>
              </w:rPr>
            </w:pPr>
            <w:r w:rsidRPr="00C003FA">
              <w:rPr>
                <w:sz w:val="15"/>
                <w:szCs w:val="15"/>
              </w:rPr>
              <w:t>430.0</w:t>
            </w:r>
          </w:p>
        </w:tc>
        <w:tc>
          <w:tcPr>
            <w:tcW w:w="810" w:type="dxa"/>
            <w:vAlign w:val="bottom"/>
          </w:tcPr>
          <w:p w:rsidR="00A837C3" w:rsidRPr="00C003FA" w:rsidRDefault="00A837C3" w:rsidP="006C0B9E">
            <w:pPr>
              <w:tabs>
                <w:tab w:val="decimal" w:pos="437"/>
              </w:tabs>
              <w:rPr>
                <w:sz w:val="15"/>
                <w:szCs w:val="15"/>
              </w:rPr>
            </w:pPr>
            <w:r w:rsidRPr="00C003FA">
              <w:rPr>
                <w:sz w:val="15"/>
                <w:szCs w:val="15"/>
              </w:rPr>
              <w:t>235.0</w:t>
            </w:r>
          </w:p>
        </w:tc>
        <w:tc>
          <w:tcPr>
            <w:tcW w:w="811" w:type="dxa"/>
            <w:vAlign w:val="bottom"/>
          </w:tcPr>
          <w:p w:rsidR="00A837C3" w:rsidRPr="00C003FA" w:rsidRDefault="00A837C3" w:rsidP="006C0B9E">
            <w:pPr>
              <w:tabs>
                <w:tab w:val="decimal" w:pos="437"/>
              </w:tabs>
              <w:rPr>
                <w:sz w:val="15"/>
                <w:szCs w:val="15"/>
              </w:rPr>
            </w:pPr>
            <w:r w:rsidRPr="00C003FA">
              <w:rPr>
                <w:sz w:val="15"/>
                <w:szCs w:val="15"/>
              </w:rPr>
              <w:t>460.0</w:t>
            </w:r>
          </w:p>
        </w:tc>
        <w:tc>
          <w:tcPr>
            <w:tcW w:w="810" w:type="dxa"/>
            <w:vAlign w:val="bottom"/>
          </w:tcPr>
          <w:p w:rsidR="00A837C3" w:rsidRPr="00C003FA" w:rsidRDefault="00A837C3" w:rsidP="006C0B9E">
            <w:pPr>
              <w:tabs>
                <w:tab w:val="decimal" w:pos="437"/>
              </w:tabs>
              <w:rPr>
                <w:sz w:val="15"/>
                <w:szCs w:val="15"/>
              </w:rPr>
            </w:pPr>
            <w:r w:rsidRPr="00C003FA">
              <w:rPr>
                <w:sz w:val="15"/>
                <w:szCs w:val="15"/>
              </w:rPr>
              <w:t>515.0</w:t>
            </w:r>
          </w:p>
        </w:tc>
        <w:tc>
          <w:tcPr>
            <w:tcW w:w="811" w:type="dxa"/>
            <w:vAlign w:val="bottom"/>
          </w:tcPr>
          <w:p w:rsidR="00A837C3" w:rsidRPr="00C003FA" w:rsidRDefault="00A837C3" w:rsidP="006C0B9E">
            <w:pPr>
              <w:tabs>
                <w:tab w:val="decimal" w:pos="437"/>
              </w:tabs>
              <w:rPr>
                <w:sz w:val="15"/>
                <w:szCs w:val="15"/>
              </w:rPr>
            </w:pPr>
            <w:r w:rsidRPr="00C003FA">
              <w:rPr>
                <w:sz w:val="15"/>
                <w:szCs w:val="15"/>
              </w:rPr>
              <w:t>560.0</w:t>
            </w:r>
          </w:p>
        </w:tc>
        <w:tc>
          <w:tcPr>
            <w:tcW w:w="810" w:type="dxa"/>
            <w:vAlign w:val="bottom"/>
          </w:tcPr>
          <w:p w:rsidR="00A837C3" w:rsidRPr="00C003FA" w:rsidRDefault="00A837C3" w:rsidP="006C0B9E">
            <w:pPr>
              <w:tabs>
                <w:tab w:val="decimal" w:pos="437"/>
              </w:tabs>
              <w:rPr>
                <w:sz w:val="15"/>
                <w:szCs w:val="15"/>
              </w:rPr>
            </w:pPr>
            <w:r w:rsidRPr="00C003FA">
              <w:rPr>
                <w:sz w:val="15"/>
                <w:szCs w:val="15"/>
              </w:rPr>
              <w:t>604.0</w:t>
            </w:r>
          </w:p>
        </w:tc>
        <w:tc>
          <w:tcPr>
            <w:tcW w:w="811" w:type="dxa"/>
            <w:vAlign w:val="bottom"/>
          </w:tcPr>
          <w:p w:rsidR="00A837C3" w:rsidRPr="00C003FA" w:rsidRDefault="00A837C3" w:rsidP="006C0B9E">
            <w:pPr>
              <w:tabs>
                <w:tab w:val="decimal" w:pos="437"/>
              </w:tabs>
              <w:rPr>
                <w:sz w:val="15"/>
                <w:szCs w:val="15"/>
              </w:rPr>
            </w:pPr>
            <w:r w:rsidRPr="00C003FA">
              <w:rPr>
                <w:sz w:val="15"/>
                <w:szCs w:val="15"/>
              </w:rPr>
              <w:t>410.0</w:t>
            </w:r>
          </w:p>
        </w:tc>
        <w:tc>
          <w:tcPr>
            <w:tcW w:w="810" w:type="dxa"/>
            <w:vAlign w:val="bottom"/>
          </w:tcPr>
          <w:p w:rsidR="00A837C3" w:rsidRPr="00C003FA" w:rsidRDefault="00A837C3" w:rsidP="006C0B9E">
            <w:pPr>
              <w:tabs>
                <w:tab w:val="decimal" w:pos="437"/>
              </w:tabs>
              <w:rPr>
                <w:sz w:val="15"/>
                <w:szCs w:val="15"/>
              </w:rPr>
            </w:pPr>
            <w:r w:rsidRPr="00C003FA">
              <w:rPr>
                <w:sz w:val="15"/>
                <w:szCs w:val="15"/>
              </w:rPr>
              <w:t>445.0</w:t>
            </w:r>
          </w:p>
        </w:tc>
        <w:tc>
          <w:tcPr>
            <w:tcW w:w="811" w:type="dxa"/>
            <w:vAlign w:val="bottom"/>
          </w:tcPr>
          <w:p w:rsidR="00A837C3" w:rsidRPr="00C003FA" w:rsidRDefault="00A837C3" w:rsidP="006C0B9E">
            <w:pPr>
              <w:tabs>
                <w:tab w:val="decimal" w:pos="437"/>
              </w:tabs>
              <w:rPr>
                <w:sz w:val="15"/>
                <w:szCs w:val="15"/>
              </w:rPr>
            </w:pPr>
            <w:r w:rsidRPr="00C003FA">
              <w:rPr>
                <w:sz w:val="15"/>
                <w:szCs w:val="15"/>
              </w:rPr>
              <w:t>925.0</w:t>
            </w:r>
          </w:p>
        </w:tc>
        <w:tc>
          <w:tcPr>
            <w:tcW w:w="901" w:type="dxa"/>
            <w:vAlign w:val="bottom"/>
          </w:tcPr>
          <w:p w:rsidR="00A837C3" w:rsidRPr="00C003FA" w:rsidRDefault="00A837C3" w:rsidP="006C0B9E">
            <w:pPr>
              <w:tabs>
                <w:tab w:val="decimal" w:pos="610"/>
              </w:tabs>
              <w:rPr>
                <w:sz w:val="15"/>
                <w:szCs w:val="15"/>
              </w:rPr>
            </w:pPr>
            <w:r w:rsidRPr="00C003FA">
              <w:rPr>
                <w:sz w:val="15"/>
                <w:szCs w:val="15"/>
              </w:rPr>
              <w:t>3,017.0</w:t>
            </w:r>
          </w:p>
        </w:tc>
        <w:tc>
          <w:tcPr>
            <w:tcW w:w="900" w:type="dxa"/>
            <w:vAlign w:val="bottom"/>
          </w:tcPr>
          <w:p w:rsidR="00A837C3" w:rsidRPr="00C003FA" w:rsidRDefault="00A837C3" w:rsidP="006C0B9E">
            <w:pPr>
              <w:tabs>
                <w:tab w:val="decimal" w:pos="590"/>
              </w:tabs>
              <w:rPr>
                <w:sz w:val="15"/>
                <w:szCs w:val="15"/>
              </w:rPr>
            </w:pPr>
            <w:r w:rsidRPr="00C003FA">
              <w:rPr>
                <w:sz w:val="15"/>
                <w:szCs w:val="15"/>
              </w:rPr>
              <w:t>2,327.0</w:t>
            </w:r>
          </w:p>
        </w:tc>
        <w:tc>
          <w:tcPr>
            <w:tcW w:w="810" w:type="dxa"/>
          </w:tcPr>
          <w:p w:rsidR="00A837C3" w:rsidRPr="00C003FA" w:rsidRDefault="00A837C3" w:rsidP="006C0B9E">
            <w:pPr>
              <w:tabs>
                <w:tab w:val="decimal" w:pos="437"/>
              </w:tabs>
              <w:rPr>
                <w:sz w:val="15"/>
                <w:szCs w:val="15"/>
              </w:rPr>
            </w:pPr>
            <w:r w:rsidRPr="00C003FA">
              <w:rPr>
                <w:sz w:val="15"/>
                <w:szCs w:val="15"/>
              </w:rPr>
              <w:t>2,942.0</w:t>
            </w:r>
          </w:p>
        </w:tc>
      </w:tr>
      <w:tr w:rsidR="00A837C3" w:rsidRPr="00C003FA" w:rsidTr="006C0B9E">
        <w:trPr>
          <w:jc w:val="center"/>
        </w:trPr>
        <w:tc>
          <w:tcPr>
            <w:tcW w:w="1615" w:type="dxa"/>
            <w:vAlign w:val="bottom"/>
          </w:tcPr>
          <w:p w:rsidR="00A837C3" w:rsidRPr="00C003FA" w:rsidRDefault="00A837C3" w:rsidP="006C0B9E">
            <w:pPr>
              <w:keepNext/>
              <w:keepLines/>
              <w:ind w:left="162" w:hanging="162"/>
              <w:jc w:val="left"/>
              <w:rPr>
                <w:sz w:val="15"/>
                <w:szCs w:val="15"/>
              </w:rPr>
            </w:pPr>
            <w:r w:rsidRPr="00C003FA">
              <w:rPr>
                <w:sz w:val="15"/>
                <w:szCs w:val="15"/>
              </w:rPr>
              <w:t>Corporates</w:t>
            </w:r>
          </w:p>
        </w:tc>
        <w:tc>
          <w:tcPr>
            <w:tcW w:w="810" w:type="dxa"/>
            <w:vAlign w:val="bottom"/>
          </w:tcPr>
          <w:p w:rsidR="00A837C3" w:rsidRPr="00C003FA" w:rsidRDefault="00A837C3" w:rsidP="006C0B9E">
            <w:pPr>
              <w:tabs>
                <w:tab w:val="decimal" w:pos="437"/>
              </w:tabs>
              <w:rPr>
                <w:sz w:val="15"/>
                <w:szCs w:val="15"/>
              </w:rPr>
            </w:pPr>
            <w:r w:rsidRPr="00C003FA">
              <w:rPr>
                <w:sz w:val="15"/>
                <w:szCs w:val="15"/>
              </w:rPr>
              <w:t>4,458.6</w:t>
            </w:r>
          </w:p>
        </w:tc>
        <w:tc>
          <w:tcPr>
            <w:tcW w:w="810" w:type="dxa"/>
            <w:vAlign w:val="bottom"/>
          </w:tcPr>
          <w:p w:rsidR="00A837C3" w:rsidRPr="00C003FA" w:rsidRDefault="00A837C3" w:rsidP="006C0B9E">
            <w:pPr>
              <w:tabs>
                <w:tab w:val="decimal" w:pos="437"/>
              </w:tabs>
              <w:rPr>
                <w:sz w:val="15"/>
                <w:szCs w:val="15"/>
              </w:rPr>
            </w:pPr>
            <w:r w:rsidRPr="00C003FA">
              <w:rPr>
                <w:sz w:val="15"/>
                <w:szCs w:val="15"/>
              </w:rPr>
              <w:t>4,704.7</w:t>
            </w:r>
          </w:p>
        </w:tc>
        <w:tc>
          <w:tcPr>
            <w:tcW w:w="811" w:type="dxa"/>
            <w:vAlign w:val="bottom"/>
          </w:tcPr>
          <w:p w:rsidR="00A837C3" w:rsidRPr="00C003FA" w:rsidRDefault="00A837C3" w:rsidP="006C0B9E">
            <w:pPr>
              <w:tabs>
                <w:tab w:val="decimal" w:pos="437"/>
              </w:tabs>
              <w:rPr>
                <w:sz w:val="15"/>
                <w:szCs w:val="15"/>
              </w:rPr>
            </w:pPr>
            <w:r w:rsidRPr="00C003FA">
              <w:rPr>
                <w:sz w:val="15"/>
                <w:szCs w:val="15"/>
              </w:rPr>
              <w:t>4,717.2</w:t>
            </w:r>
          </w:p>
        </w:tc>
        <w:tc>
          <w:tcPr>
            <w:tcW w:w="810" w:type="dxa"/>
            <w:vAlign w:val="bottom"/>
          </w:tcPr>
          <w:p w:rsidR="00A837C3" w:rsidRPr="00C003FA" w:rsidRDefault="00A837C3" w:rsidP="006C0B9E">
            <w:pPr>
              <w:tabs>
                <w:tab w:val="decimal" w:pos="437"/>
              </w:tabs>
              <w:rPr>
                <w:sz w:val="15"/>
                <w:szCs w:val="15"/>
              </w:rPr>
            </w:pPr>
            <w:r w:rsidRPr="00C003FA">
              <w:rPr>
                <w:sz w:val="15"/>
                <w:szCs w:val="15"/>
              </w:rPr>
              <w:t>4,369.6</w:t>
            </w:r>
          </w:p>
        </w:tc>
        <w:tc>
          <w:tcPr>
            <w:tcW w:w="811" w:type="dxa"/>
            <w:vAlign w:val="bottom"/>
          </w:tcPr>
          <w:p w:rsidR="00A837C3" w:rsidRPr="00C003FA" w:rsidRDefault="00A837C3" w:rsidP="006C0B9E">
            <w:pPr>
              <w:tabs>
                <w:tab w:val="decimal" w:pos="437"/>
              </w:tabs>
              <w:rPr>
                <w:sz w:val="15"/>
                <w:szCs w:val="15"/>
              </w:rPr>
            </w:pPr>
            <w:r w:rsidRPr="00C003FA">
              <w:rPr>
                <w:sz w:val="15"/>
                <w:szCs w:val="15"/>
              </w:rPr>
              <w:t>3,955.6</w:t>
            </w:r>
          </w:p>
        </w:tc>
        <w:tc>
          <w:tcPr>
            <w:tcW w:w="810" w:type="dxa"/>
            <w:vAlign w:val="bottom"/>
          </w:tcPr>
          <w:p w:rsidR="00A837C3" w:rsidRPr="00C003FA" w:rsidRDefault="00A837C3" w:rsidP="006C0B9E">
            <w:pPr>
              <w:tabs>
                <w:tab w:val="decimal" w:pos="437"/>
              </w:tabs>
              <w:rPr>
                <w:sz w:val="15"/>
                <w:szCs w:val="15"/>
              </w:rPr>
            </w:pPr>
            <w:r w:rsidRPr="00C003FA">
              <w:rPr>
                <w:sz w:val="15"/>
                <w:szCs w:val="15"/>
              </w:rPr>
              <w:t>3,938.5</w:t>
            </w:r>
          </w:p>
        </w:tc>
        <w:tc>
          <w:tcPr>
            <w:tcW w:w="811" w:type="dxa"/>
            <w:vAlign w:val="bottom"/>
          </w:tcPr>
          <w:p w:rsidR="00A837C3" w:rsidRPr="00C003FA" w:rsidRDefault="00A837C3" w:rsidP="006C0B9E">
            <w:pPr>
              <w:tabs>
                <w:tab w:val="decimal" w:pos="437"/>
              </w:tabs>
              <w:rPr>
                <w:sz w:val="15"/>
                <w:szCs w:val="15"/>
              </w:rPr>
            </w:pPr>
            <w:r w:rsidRPr="00C003FA">
              <w:rPr>
                <w:sz w:val="15"/>
                <w:szCs w:val="15"/>
              </w:rPr>
              <w:t>4,214.9</w:t>
            </w:r>
          </w:p>
        </w:tc>
        <w:tc>
          <w:tcPr>
            <w:tcW w:w="810" w:type="dxa"/>
            <w:vAlign w:val="bottom"/>
          </w:tcPr>
          <w:p w:rsidR="00A837C3" w:rsidRPr="00C003FA" w:rsidRDefault="00A837C3" w:rsidP="006C0B9E">
            <w:pPr>
              <w:tabs>
                <w:tab w:val="decimal" w:pos="437"/>
              </w:tabs>
              <w:rPr>
                <w:sz w:val="15"/>
                <w:szCs w:val="15"/>
              </w:rPr>
            </w:pPr>
            <w:r w:rsidRPr="00C003FA">
              <w:rPr>
                <w:sz w:val="15"/>
                <w:szCs w:val="15"/>
              </w:rPr>
              <w:t>3,991.7</w:t>
            </w:r>
          </w:p>
        </w:tc>
        <w:tc>
          <w:tcPr>
            <w:tcW w:w="811" w:type="dxa"/>
            <w:vAlign w:val="bottom"/>
          </w:tcPr>
          <w:p w:rsidR="00A837C3" w:rsidRPr="00C003FA" w:rsidRDefault="00A837C3" w:rsidP="006C0B9E">
            <w:pPr>
              <w:tabs>
                <w:tab w:val="decimal" w:pos="610"/>
              </w:tabs>
              <w:rPr>
                <w:sz w:val="15"/>
                <w:szCs w:val="15"/>
              </w:rPr>
            </w:pPr>
            <w:r w:rsidRPr="00C003FA">
              <w:rPr>
                <w:sz w:val="15"/>
                <w:szCs w:val="15"/>
              </w:rPr>
              <w:t>4,709.3</w:t>
            </w:r>
          </w:p>
        </w:tc>
        <w:tc>
          <w:tcPr>
            <w:tcW w:w="901" w:type="dxa"/>
            <w:vAlign w:val="bottom"/>
          </w:tcPr>
          <w:p w:rsidR="00A837C3" w:rsidRPr="00C003FA" w:rsidRDefault="00A837C3" w:rsidP="006C0B9E">
            <w:pPr>
              <w:tabs>
                <w:tab w:val="decimal" w:pos="590"/>
              </w:tabs>
              <w:rPr>
                <w:sz w:val="15"/>
                <w:szCs w:val="15"/>
              </w:rPr>
            </w:pPr>
            <w:r w:rsidRPr="00C003FA">
              <w:rPr>
                <w:sz w:val="15"/>
                <w:szCs w:val="15"/>
              </w:rPr>
              <w:t>3,918.7</w:t>
            </w:r>
          </w:p>
        </w:tc>
        <w:tc>
          <w:tcPr>
            <w:tcW w:w="900" w:type="dxa"/>
            <w:vAlign w:val="bottom"/>
          </w:tcPr>
          <w:p w:rsidR="00A837C3" w:rsidRPr="00C003FA" w:rsidRDefault="00A837C3" w:rsidP="006C0B9E">
            <w:pPr>
              <w:tabs>
                <w:tab w:val="decimal" w:pos="590"/>
              </w:tabs>
              <w:rPr>
                <w:sz w:val="15"/>
                <w:szCs w:val="15"/>
              </w:rPr>
            </w:pPr>
            <w:r w:rsidRPr="00C003FA">
              <w:rPr>
                <w:sz w:val="15"/>
                <w:szCs w:val="15"/>
              </w:rPr>
              <w:t>3,686.2</w:t>
            </w:r>
          </w:p>
        </w:tc>
        <w:tc>
          <w:tcPr>
            <w:tcW w:w="810" w:type="dxa"/>
          </w:tcPr>
          <w:p w:rsidR="00A837C3" w:rsidRPr="00C003FA" w:rsidRDefault="00A837C3" w:rsidP="006C0B9E">
            <w:pPr>
              <w:tabs>
                <w:tab w:val="decimal" w:pos="437"/>
              </w:tabs>
              <w:rPr>
                <w:sz w:val="15"/>
                <w:szCs w:val="15"/>
              </w:rPr>
            </w:pPr>
            <w:r w:rsidRPr="00C003FA">
              <w:rPr>
                <w:sz w:val="15"/>
                <w:szCs w:val="15"/>
              </w:rPr>
              <w:t>3,693.1</w:t>
            </w:r>
          </w:p>
        </w:tc>
      </w:tr>
      <w:tr w:rsidR="00A837C3" w:rsidRPr="00C003FA" w:rsidTr="006C0B9E">
        <w:trPr>
          <w:trHeight w:val="80"/>
          <w:jc w:val="center"/>
        </w:trPr>
        <w:tc>
          <w:tcPr>
            <w:tcW w:w="1615" w:type="dxa"/>
            <w:vAlign w:val="bottom"/>
          </w:tcPr>
          <w:p w:rsidR="00A837C3" w:rsidRPr="00C003FA" w:rsidRDefault="00A837C3" w:rsidP="006C0B9E">
            <w:pPr>
              <w:keepNext/>
              <w:keepLines/>
              <w:ind w:left="162" w:hanging="162"/>
              <w:jc w:val="left"/>
              <w:rPr>
                <w:sz w:val="15"/>
                <w:szCs w:val="15"/>
              </w:rPr>
            </w:pPr>
            <w:r w:rsidRPr="00C003FA">
              <w:rPr>
                <w:sz w:val="15"/>
                <w:szCs w:val="15"/>
              </w:rPr>
              <w:t>Certificates of Deposit</w:t>
            </w:r>
          </w:p>
        </w:tc>
        <w:tc>
          <w:tcPr>
            <w:tcW w:w="810" w:type="dxa"/>
            <w:vAlign w:val="bottom"/>
          </w:tcPr>
          <w:p w:rsidR="00A837C3" w:rsidRPr="00C003FA" w:rsidRDefault="00A837C3" w:rsidP="006C0B9E">
            <w:pPr>
              <w:keepNext/>
              <w:keepLines/>
              <w:tabs>
                <w:tab w:val="decimal" w:pos="437"/>
              </w:tabs>
              <w:rPr>
                <w:sz w:val="15"/>
                <w:szCs w:val="15"/>
                <w:u w:val="single"/>
              </w:rPr>
            </w:pPr>
            <w:r w:rsidRPr="00C003FA">
              <w:rPr>
                <w:sz w:val="15"/>
                <w:szCs w:val="15"/>
                <w:u w:val="single"/>
              </w:rPr>
              <w:t xml:space="preserve">        0.0</w:t>
            </w:r>
          </w:p>
        </w:tc>
        <w:tc>
          <w:tcPr>
            <w:tcW w:w="810" w:type="dxa"/>
            <w:vAlign w:val="bottom"/>
          </w:tcPr>
          <w:p w:rsidR="00A837C3" w:rsidRPr="00C003FA" w:rsidRDefault="00A837C3" w:rsidP="006C0B9E">
            <w:pPr>
              <w:keepNext/>
              <w:keepLines/>
              <w:tabs>
                <w:tab w:val="decimal" w:pos="437"/>
              </w:tabs>
              <w:rPr>
                <w:sz w:val="15"/>
                <w:szCs w:val="15"/>
                <w:u w:val="single"/>
              </w:rPr>
            </w:pPr>
            <w:r w:rsidRPr="00C003FA">
              <w:rPr>
                <w:sz w:val="15"/>
                <w:szCs w:val="15"/>
                <w:u w:val="single"/>
              </w:rPr>
              <w:t xml:space="preserve">        0.0</w:t>
            </w:r>
          </w:p>
        </w:tc>
        <w:tc>
          <w:tcPr>
            <w:tcW w:w="811" w:type="dxa"/>
            <w:vAlign w:val="bottom"/>
          </w:tcPr>
          <w:p w:rsidR="00A837C3" w:rsidRPr="00C003FA" w:rsidRDefault="00A837C3" w:rsidP="006C0B9E">
            <w:pPr>
              <w:keepNext/>
              <w:keepLines/>
              <w:tabs>
                <w:tab w:val="decimal" w:pos="437"/>
              </w:tabs>
              <w:rPr>
                <w:sz w:val="15"/>
                <w:szCs w:val="15"/>
                <w:u w:val="single"/>
              </w:rPr>
            </w:pPr>
            <w:r w:rsidRPr="00C003FA">
              <w:rPr>
                <w:sz w:val="15"/>
                <w:szCs w:val="15"/>
                <w:u w:val="single"/>
              </w:rPr>
              <w:t xml:space="preserve">        0.0</w:t>
            </w:r>
          </w:p>
        </w:tc>
        <w:tc>
          <w:tcPr>
            <w:tcW w:w="810" w:type="dxa"/>
            <w:vAlign w:val="bottom"/>
          </w:tcPr>
          <w:p w:rsidR="00A837C3" w:rsidRPr="00C003FA" w:rsidRDefault="00A837C3" w:rsidP="006C0B9E">
            <w:pPr>
              <w:keepNext/>
              <w:keepLines/>
              <w:tabs>
                <w:tab w:val="decimal" w:pos="437"/>
              </w:tabs>
              <w:rPr>
                <w:sz w:val="15"/>
                <w:szCs w:val="15"/>
                <w:u w:val="single"/>
              </w:rPr>
            </w:pPr>
            <w:r w:rsidRPr="00C003FA">
              <w:rPr>
                <w:sz w:val="15"/>
                <w:szCs w:val="15"/>
                <w:u w:val="single"/>
              </w:rPr>
              <w:t xml:space="preserve">        0.0</w:t>
            </w:r>
          </w:p>
        </w:tc>
        <w:tc>
          <w:tcPr>
            <w:tcW w:w="811" w:type="dxa"/>
            <w:vAlign w:val="bottom"/>
          </w:tcPr>
          <w:p w:rsidR="00A837C3" w:rsidRPr="00C003FA" w:rsidRDefault="00A837C3" w:rsidP="006C0B9E">
            <w:pPr>
              <w:keepNext/>
              <w:keepLines/>
              <w:tabs>
                <w:tab w:val="decimal" w:pos="437"/>
              </w:tabs>
              <w:rPr>
                <w:sz w:val="15"/>
                <w:szCs w:val="15"/>
                <w:u w:val="single"/>
              </w:rPr>
            </w:pPr>
            <w:r w:rsidRPr="00C003FA">
              <w:rPr>
                <w:sz w:val="15"/>
                <w:szCs w:val="15"/>
                <w:u w:val="single"/>
              </w:rPr>
              <w:t xml:space="preserve">        0.0</w:t>
            </w:r>
          </w:p>
        </w:tc>
        <w:tc>
          <w:tcPr>
            <w:tcW w:w="810" w:type="dxa"/>
            <w:vAlign w:val="bottom"/>
          </w:tcPr>
          <w:p w:rsidR="00A837C3" w:rsidRPr="00C003FA" w:rsidRDefault="00A837C3" w:rsidP="006C0B9E">
            <w:pPr>
              <w:keepNext/>
              <w:keepLines/>
              <w:tabs>
                <w:tab w:val="decimal" w:pos="437"/>
              </w:tabs>
              <w:rPr>
                <w:sz w:val="15"/>
                <w:szCs w:val="15"/>
                <w:u w:val="single"/>
              </w:rPr>
            </w:pPr>
            <w:r w:rsidRPr="00C003FA">
              <w:rPr>
                <w:sz w:val="15"/>
                <w:szCs w:val="15"/>
                <w:u w:val="single"/>
              </w:rPr>
              <w:t xml:space="preserve">        0.0</w:t>
            </w:r>
          </w:p>
        </w:tc>
        <w:tc>
          <w:tcPr>
            <w:tcW w:w="811" w:type="dxa"/>
            <w:vAlign w:val="bottom"/>
          </w:tcPr>
          <w:p w:rsidR="00A837C3" w:rsidRPr="00C003FA" w:rsidRDefault="00A837C3" w:rsidP="006C0B9E">
            <w:pPr>
              <w:keepNext/>
              <w:keepLines/>
              <w:tabs>
                <w:tab w:val="decimal" w:pos="437"/>
              </w:tabs>
              <w:rPr>
                <w:sz w:val="15"/>
                <w:szCs w:val="15"/>
                <w:u w:val="single"/>
              </w:rPr>
            </w:pPr>
            <w:r w:rsidRPr="00C003FA">
              <w:rPr>
                <w:sz w:val="15"/>
                <w:szCs w:val="15"/>
                <w:u w:val="single"/>
              </w:rPr>
              <w:t xml:space="preserve">        0.0</w:t>
            </w:r>
          </w:p>
        </w:tc>
        <w:tc>
          <w:tcPr>
            <w:tcW w:w="810" w:type="dxa"/>
            <w:vAlign w:val="bottom"/>
          </w:tcPr>
          <w:p w:rsidR="00A837C3" w:rsidRPr="00C003FA" w:rsidRDefault="00A837C3" w:rsidP="006C0B9E">
            <w:pPr>
              <w:keepNext/>
              <w:keepLines/>
              <w:tabs>
                <w:tab w:val="decimal" w:pos="437"/>
              </w:tabs>
              <w:rPr>
                <w:sz w:val="15"/>
                <w:szCs w:val="15"/>
                <w:u w:val="single"/>
              </w:rPr>
            </w:pPr>
            <w:r w:rsidRPr="00C003FA">
              <w:rPr>
                <w:sz w:val="15"/>
                <w:szCs w:val="15"/>
                <w:u w:val="single"/>
              </w:rPr>
              <w:t xml:space="preserve">        0.0</w:t>
            </w:r>
          </w:p>
        </w:tc>
        <w:tc>
          <w:tcPr>
            <w:tcW w:w="811" w:type="dxa"/>
            <w:vAlign w:val="bottom"/>
          </w:tcPr>
          <w:p w:rsidR="00A837C3" w:rsidRPr="00C003FA" w:rsidRDefault="00A837C3" w:rsidP="006C0B9E">
            <w:pPr>
              <w:keepNext/>
              <w:keepLines/>
              <w:tabs>
                <w:tab w:val="decimal" w:pos="437"/>
              </w:tabs>
              <w:rPr>
                <w:sz w:val="15"/>
                <w:szCs w:val="15"/>
                <w:u w:val="single"/>
              </w:rPr>
            </w:pPr>
            <w:r w:rsidRPr="00C003FA">
              <w:rPr>
                <w:sz w:val="15"/>
                <w:szCs w:val="15"/>
                <w:u w:val="single"/>
              </w:rPr>
              <w:t xml:space="preserve">        0.0</w:t>
            </w:r>
          </w:p>
        </w:tc>
        <w:tc>
          <w:tcPr>
            <w:tcW w:w="901" w:type="dxa"/>
            <w:vAlign w:val="bottom"/>
          </w:tcPr>
          <w:p w:rsidR="00A837C3" w:rsidRPr="00C003FA" w:rsidRDefault="00A837C3" w:rsidP="006C0B9E">
            <w:pPr>
              <w:keepNext/>
              <w:keepLines/>
              <w:tabs>
                <w:tab w:val="decimal" w:pos="610"/>
              </w:tabs>
              <w:rPr>
                <w:sz w:val="15"/>
                <w:szCs w:val="15"/>
                <w:u w:val="single"/>
              </w:rPr>
            </w:pPr>
            <w:r w:rsidRPr="00C003FA">
              <w:rPr>
                <w:sz w:val="15"/>
                <w:szCs w:val="15"/>
                <w:u w:val="single"/>
              </w:rPr>
              <w:t xml:space="preserve">         0.0</w:t>
            </w:r>
          </w:p>
        </w:tc>
        <w:tc>
          <w:tcPr>
            <w:tcW w:w="900" w:type="dxa"/>
            <w:vAlign w:val="bottom"/>
          </w:tcPr>
          <w:p w:rsidR="00A837C3" w:rsidRPr="00C003FA" w:rsidRDefault="00A837C3" w:rsidP="006C0B9E">
            <w:pPr>
              <w:keepNext/>
              <w:keepLines/>
              <w:tabs>
                <w:tab w:val="decimal" w:pos="590"/>
              </w:tabs>
              <w:rPr>
                <w:sz w:val="15"/>
                <w:szCs w:val="15"/>
                <w:u w:val="single"/>
              </w:rPr>
            </w:pPr>
            <w:r w:rsidRPr="00C003FA">
              <w:rPr>
                <w:sz w:val="15"/>
                <w:szCs w:val="15"/>
                <w:u w:val="single"/>
              </w:rPr>
              <w:t xml:space="preserve">       0.00</w:t>
            </w:r>
          </w:p>
        </w:tc>
        <w:tc>
          <w:tcPr>
            <w:tcW w:w="810" w:type="dxa"/>
          </w:tcPr>
          <w:p w:rsidR="00A837C3" w:rsidRPr="00C003FA" w:rsidRDefault="00A837C3" w:rsidP="006C0B9E">
            <w:pPr>
              <w:keepNext/>
              <w:keepLines/>
              <w:tabs>
                <w:tab w:val="decimal" w:pos="437"/>
              </w:tabs>
              <w:rPr>
                <w:sz w:val="15"/>
                <w:szCs w:val="15"/>
                <w:u w:val="single"/>
              </w:rPr>
            </w:pPr>
            <w:r w:rsidRPr="00C003FA">
              <w:rPr>
                <w:sz w:val="15"/>
                <w:szCs w:val="15"/>
                <w:u w:val="single"/>
              </w:rPr>
              <w:t xml:space="preserve">       0.00</w:t>
            </w:r>
          </w:p>
        </w:tc>
      </w:tr>
      <w:tr w:rsidR="00A837C3" w:rsidRPr="00C003FA" w:rsidTr="006C0B9E">
        <w:trPr>
          <w:jc w:val="center"/>
        </w:trPr>
        <w:tc>
          <w:tcPr>
            <w:tcW w:w="1615" w:type="dxa"/>
            <w:vAlign w:val="bottom"/>
          </w:tcPr>
          <w:p w:rsidR="00A837C3" w:rsidRPr="00C003FA" w:rsidRDefault="00A837C3" w:rsidP="006C0B9E">
            <w:pPr>
              <w:keepNext/>
              <w:keepLines/>
              <w:ind w:left="342"/>
              <w:jc w:val="left"/>
              <w:rPr>
                <w:sz w:val="15"/>
                <w:szCs w:val="15"/>
              </w:rPr>
            </w:pPr>
            <w:r w:rsidRPr="00C003FA">
              <w:rPr>
                <w:sz w:val="15"/>
                <w:szCs w:val="15"/>
              </w:rPr>
              <w:t>Totals</w:t>
            </w:r>
          </w:p>
        </w:tc>
        <w:tc>
          <w:tcPr>
            <w:tcW w:w="810" w:type="dxa"/>
            <w:vAlign w:val="bottom"/>
          </w:tcPr>
          <w:p w:rsidR="00A837C3" w:rsidRPr="00C003FA" w:rsidRDefault="00A837C3" w:rsidP="006C0B9E">
            <w:pPr>
              <w:keepNext/>
              <w:keepLines/>
              <w:tabs>
                <w:tab w:val="decimal" w:pos="437"/>
              </w:tabs>
              <w:rPr>
                <w:sz w:val="15"/>
                <w:szCs w:val="15"/>
                <w:u w:val="double"/>
              </w:rPr>
            </w:pPr>
            <w:r w:rsidRPr="00C003FA">
              <w:rPr>
                <w:sz w:val="15"/>
                <w:szCs w:val="15"/>
              </w:rPr>
              <w:t>$</w:t>
            </w:r>
            <w:r w:rsidRPr="00C003FA">
              <w:rPr>
                <w:sz w:val="15"/>
                <w:szCs w:val="15"/>
                <w:u w:val="double"/>
              </w:rPr>
              <w:t>9,542.4</w:t>
            </w:r>
          </w:p>
        </w:tc>
        <w:tc>
          <w:tcPr>
            <w:tcW w:w="810" w:type="dxa"/>
            <w:vAlign w:val="bottom"/>
          </w:tcPr>
          <w:p w:rsidR="00A837C3" w:rsidRPr="00C003FA" w:rsidRDefault="00A837C3" w:rsidP="006C0B9E">
            <w:pPr>
              <w:keepNext/>
              <w:keepLines/>
              <w:tabs>
                <w:tab w:val="decimal" w:pos="437"/>
              </w:tabs>
              <w:rPr>
                <w:sz w:val="15"/>
                <w:szCs w:val="15"/>
                <w:u w:val="double"/>
              </w:rPr>
            </w:pPr>
            <w:r w:rsidRPr="00C003FA">
              <w:rPr>
                <w:sz w:val="15"/>
                <w:szCs w:val="15"/>
              </w:rPr>
              <w:t>$</w:t>
            </w:r>
            <w:r w:rsidRPr="00C003FA">
              <w:rPr>
                <w:sz w:val="15"/>
                <w:szCs w:val="15"/>
                <w:u w:val="double"/>
              </w:rPr>
              <w:t>9,274.4</w:t>
            </w:r>
          </w:p>
        </w:tc>
        <w:tc>
          <w:tcPr>
            <w:tcW w:w="811" w:type="dxa"/>
            <w:vAlign w:val="bottom"/>
          </w:tcPr>
          <w:p w:rsidR="00A837C3" w:rsidRPr="00C003FA" w:rsidRDefault="00A837C3" w:rsidP="006C0B9E">
            <w:pPr>
              <w:keepNext/>
              <w:keepLines/>
              <w:tabs>
                <w:tab w:val="decimal" w:pos="437"/>
              </w:tabs>
              <w:rPr>
                <w:sz w:val="15"/>
                <w:szCs w:val="15"/>
                <w:u w:val="double"/>
              </w:rPr>
            </w:pPr>
            <w:r w:rsidRPr="00C003FA">
              <w:rPr>
                <w:sz w:val="15"/>
                <w:szCs w:val="15"/>
              </w:rPr>
              <w:t>$</w:t>
            </w:r>
            <w:r w:rsidRPr="00C003FA">
              <w:rPr>
                <w:sz w:val="15"/>
                <w:szCs w:val="15"/>
                <w:u w:val="double"/>
              </w:rPr>
              <w:t>9,201.0</w:t>
            </w:r>
          </w:p>
        </w:tc>
        <w:tc>
          <w:tcPr>
            <w:tcW w:w="810" w:type="dxa"/>
            <w:vAlign w:val="bottom"/>
          </w:tcPr>
          <w:p w:rsidR="00A837C3" w:rsidRPr="00C003FA" w:rsidRDefault="00A837C3" w:rsidP="006C0B9E">
            <w:pPr>
              <w:keepNext/>
              <w:keepLines/>
              <w:tabs>
                <w:tab w:val="decimal" w:pos="437"/>
              </w:tabs>
              <w:rPr>
                <w:sz w:val="15"/>
                <w:szCs w:val="15"/>
                <w:u w:val="double"/>
              </w:rPr>
            </w:pPr>
            <w:r w:rsidRPr="00C003FA">
              <w:rPr>
                <w:sz w:val="15"/>
                <w:szCs w:val="15"/>
              </w:rPr>
              <w:t>$</w:t>
            </w:r>
            <w:r w:rsidRPr="00C003FA">
              <w:rPr>
                <w:sz w:val="15"/>
                <w:szCs w:val="15"/>
                <w:u w:val="double"/>
              </w:rPr>
              <w:t>9,110.1</w:t>
            </w:r>
          </w:p>
        </w:tc>
        <w:tc>
          <w:tcPr>
            <w:tcW w:w="811" w:type="dxa"/>
            <w:vAlign w:val="bottom"/>
          </w:tcPr>
          <w:p w:rsidR="00A837C3" w:rsidRPr="00C003FA" w:rsidRDefault="00A837C3" w:rsidP="006C0B9E">
            <w:pPr>
              <w:keepNext/>
              <w:keepLines/>
              <w:tabs>
                <w:tab w:val="decimal" w:pos="437"/>
              </w:tabs>
              <w:rPr>
                <w:sz w:val="15"/>
                <w:szCs w:val="15"/>
                <w:u w:val="double"/>
              </w:rPr>
            </w:pPr>
            <w:r w:rsidRPr="00C003FA">
              <w:rPr>
                <w:sz w:val="15"/>
                <w:szCs w:val="15"/>
              </w:rPr>
              <w:t>$</w:t>
            </w:r>
            <w:r w:rsidRPr="00C003FA">
              <w:rPr>
                <w:sz w:val="15"/>
                <w:szCs w:val="15"/>
                <w:u w:val="double"/>
              </w:rPr>
              <w:t>8,878.6</w:t>
            </w:r>
          </w:p>
        </w:tc>
        <w:tc>
          <w:tcPr>
            <w:tcW w:w="810" w:type="dxa"/>
            <w:vAlign w:val="bottom"/>
          </w:tcPr>
          <w:p w:rsidR="00A837C3" w:rsidRPr="00C003FA" w:rsidRDefault="00A837C3" w:rsidP="006C0B9E">
            <w:pPr>
              <w:keepNext/>
              <w:keepLines/>
              <w:tabs>
                <w:tab w:val="decimal" w:pos="437"/>
              </w:tabs>
              <w:rPr>
                <w:sz w:val="15"/>
                <w:szCs w:val="15"/>
                <w:u w:val="double"/>
              </w:rPr>
            </w:pPr>
            <w:r w:rsidRPr="00C003FA">
              <w:rPr>
                <w:sz w:val="15"/>
                <w:szCs w:val="15"/>
              </w:rPr>
              <w:t>$</w:t>
            </w:r>
            <w:r w:rsidRPr="00C003FA">
              <w:rPr>
                <w:sz w:val="15"/>
                <w:szCs w:val="15"/>
                <w:u w:val="double"/>
              </w:rPr>
              <w:t>8,782.4</w:t>
            </w:r>
          </w:p>
        </w:tc>
        <w:tc>
          <w:tcPr>
            <w:tcW w:w="811" w:type="dxa"/>
            <w:vAlign w:val="bottom"/>
          </w:tcPr>
          <w:p w:rsidR="00A837C3" w:rsidRPr="00C003FA" w:rsidRDefault="00A837C3" w:rsidP="006C0B9E">
            <w:pPr>
              <w:keepNext/>
              <w:keepLines/>
              <w:tabs>
                <w:tab w:val="decimal" w:pos="437"/>
              </w:tabs>
              <w:rPr>
                <w:sz w:val="15"/>
                <w:szCs w:val="15"/>
                <w:u w:val="double"/>
              </w:rPr>
            </w:pPr>
            <w:r w:rsidRPr="00C003FA">
              <w:rPr>
                <w:sz w:val="15"/>
                <w:szCs w:val="15"/>
              </w:rPr>
              <w:t>$</w:t>
            </w:r>
            <w:r w:rsidRPr="00C003FA">
              <w:rPr>
                <w:sz w:val="15"/>
                <w:szCs w:val="15"/>
                <w:u w:val="double"/>
              </w:rPr>
              <w:t>9,553.5</w:t>
            </w:r>
          </w:p>
        </w:tc>
        <w:tc>
          <w:tcPr>
            <w:tcW w:w="810" w:type="dxa"/>
            <w:vAlign w:val="bottom"/>
          </w:tcPr>
          <w:p w:rsidR="00A837C3" w:rsidRPr="00C003FA" w:rsidRDefault="00A837C3" w:rsidP="006C0B9E">
            <w:pPr>
              <w:keepNext/>
              <w:keepLines/>
              <w:tabs>
                <w:tab w:val="decimal" w:pos="437"/>
              </w:tabs>
              <w:rPr>
                <w:sz w:val="15"/>
                <w:szCs w:val="15"/>
                <w:u w:val="double"/>
              </w:rPr>
            </w:pPr>
            <w:r w:rsidRPr="00C003FA">
              <w:rPr>
                <w:sz w:val="15"/>
                <w:szCs w:val="15"/>
              </w:rPr>
              <w:t>$</w:t>
            </w:r>
            <w:r w:rsidRPr="00C003FA">
              <w:rPr>
                <w:sz w:val="15"/>
                <w:szCs w:val="15"/>
                <w:u w:val="double"/>
              </w:rPr>
              <w:t>9,199.9</w:t>
            </w:r>
          </w:p>
        </w:tc>
        <w:tc>
          <w:tcPr>
            <w:tcW w:w="811" w:type="dxa"/>
            <w:vAlign w:val="bottom"/>
          </w:tcPr>
          <w:p w:rsidR="00A837C3" w:rsidRPr="00C003FA" w:rsidRDefault="00A837C3" w:rsidP="006C0B9E">
            <w:pPr>
              <w:keepNext/>
              <w:keepLines/>
              <w:tabs>
                <w:tab w:val="decimal" w:pos="437"/>
              </w:tabs>
              <w:rPr>
                <w:sz w:val="15"/>
                <w:szCs w:val="15"/>
                <w:u w:val="double"/>
              </w:rPr>
            </w:pPr>
            <w:r w:rsidRPr="00C003FA">
              <w:rPr>
                <w:sz w:val="15"/>
                <w:szCs w:val="15"/>
              </w:rPr>
              <w:t>$</w:t>
            </w:r>
            <w:r w:rsidRPr="00C003FA">
              <w:rPr>
                <w:sz w:val="15"/>
                <w:szCs w:val="15"/>
                <w:u w:val="double"/>
              </w:rPr>
              <w:t>9,446.1</w:t>
            </w:r>
          </w:p>
        </w:tc>
        <w:tc>
          <w:tcPr>
            <w:tcW w:w="901" w:type="dxa"/>
            <w:vAlign w:val="bottom"/>
          </w:tcPr>
          <w:p w:rsidR="00A837C3" w:rsidRPr="00C003FA" w:rsidRDefault="00A837C3" w:rsidP="006C0B9E">
            <w:pPr>
              <w:keepNext/>
              <w:keepLines/>
              <w:tabs>
                <w:tab w:val="decimal" w:pos="610"/>
              </w:tabs>
              <w:rPr>
                <w:sz w:val="15"/>
                <w:szCs w:val="15"/>
                <w:u w:val="double"/>
              </w:rPr>
            </w:pPr>
            <w:r w:rsidRPr="00C003FA">
              <w:rPr>
                <w:sz w:val="15"/>
                <w:szCs w:val="15"/>
              </w:rPr>
              <w:t>$</w:t>
            </w:r>
            <w:r w:rsidRPr="00C003FA">
              <w:rPr>
                <w:sz w:val="15"/>
                <w:szCs w:val="15"/>
                <w:u w:val="double"/>
              </w:rPr>
              <w:t>10,992.1</w:t>
            </w:r>
          </w:p>
        </w:tc>
        <w:tc>
          <w:tcPr>
            <w:tcW w:w="900" w:type="dxa"/>
            <w:vAlign w:val="bottom"/>
          </w:tcPr>
          <w:p w:rsidR="00A837C3" w:rsidRPr="00C003FA" w:rsidRDefault="00A837C3" w:rsidP="006C0B9E">
            <w:pPr>
              <w:keepNext/>
              <w:keepLines/>
              <w:tabs>
                <w:tab w:val="decimal" w:pos="590"/>
              </w:tabs>
              <w:rPr>
                <w:sz w:val="15"/>
                <w:szCs w:val="15"/>
                <w:u w:val="double"/>
              </w:rPr>
            </w:pPr>
            <w:r w:rsidRPr="00C003FA">
              <w:rPr>
                <w:sz w:val="15"/>
                <w:szCs w:val="15"/>
              </w:rPr>
              <w:t>$</w:t>
            </w:r>
            <w:r w:rsidRPr="00C003FA">
              <w:rPr>
                <w:sz w:val="15"/>
                <w:szCs w:val="15"/>
                <w:u w:val="double"/>
              </w:rPr>
              <w:t>10,227.4</w:t>
            </w:r>
          </w:p>
        </w:tc>
        <w:tc>
          <w:tcPr>
            <w:tcW w:w="810" w:type="dxa"/>
          </w:tcPr>
          <w:p w:rsidR="00A837C3" w:rsidRPr="00C003FA" w:rsidRDefault="00A837C3" w:rsidP="006C0B9E">
            <w:pPr>
              <w:keepNext/>
              <w:keepLines/>
              <w:tabs>
                <w:tab w:val="decimal" w:pos="437"/>
              </w:tabs>
              <w:rPr>
                <w:sz w:val="15"/>
                <w:szCs w:val="15"/>
                <w:u w:val="double"/>
              </w:rPr>
            </w:pPr>
            <w:r w:rsidRPr="00C003FA">
              <w:rPr>
                <w:sz w:val="15"/>
                <w:szCs w:val="15"/>
              </w:rPr>
              <w:t>$</w:t>
            </w:r>
            <w:r w:rsidRPr="00C003FA">
              <w:rPr>
                <w:sz w:val="15"/>
                <w:szCs w:val="15"/>
                <w:u w:val="double"/>
              </w:rPr>
              <w:t>9,342.2</w:t>
            </w:r>
          </w:p>
        </w:tc>
      </w:tr>
    </w:tbl>
    <w:p w:rsidR="00DD4B54" w:rsidRPr="008E459C" w:rsidRDefault="00DD4B54" w:rsidP="00DD4B54">
      <w:pPr>
        <w:pStyle w:val="OStablenotes"/>
        <w:keepNext w:val="0"/>
        <w:spacing w:before="80" w:after="0"/>
        <w:rPr>
          <w:spacing w:val="-3"/>
        </w:rPr>
      </w:pPr>
      <w:r>
        <w:rPr>
          <w:spacing w:val="-3"/>
        </w:rPr>
        <w:t>________________________</w:t>
      </w:r>
    </w:p>
    <w:p w:rsidR="00DD4B54" w:rsidRDefault="00DD4B54" w:rsidP="00DD4B54">
      <w:pPr>
        <w:pStyle w:val="OStablenotes"/>
      </w:pPr>
      <w:r w:rsidRPr="001E67A3">
        <w:rPr>
          <w:vertAlign w:val="superscript"/>
        </w:rPr>
        <w:t>1</w:t>
      </w:r>
      <w:r w:rsidRPr="001E67A3">
        <w:tab/>
        <w:t>This table includes all moneys in the State Pool, which includes the General Fund, Borrowable Resources and other moneys that are invested by the State Treasurer</w:t>
      </w:r>
      <w:r>
        <w:t>.</w:t>
      </w:r>
    </w:p>
    <w:p w:rsidR="00DD4B54" w:rsidRDefault="00DD4B54" w:rsidP="00DD4B54">
      <w:pPr>
        <w:pStyle w:val="OStablesources"/>
      </w:pPr>
      <w:r w:rsidRPr="001E67A3">
        <w:t>Source:</w:t>
      </w:r>
      <w:r w:rsidRPr="001E67A3">
        <w:tab/>
        <w:t>State Treasurer</w:t>
      </w:r>
      <w:r w:rsidR="00A06786">
        <w:t>’</w:t>
      </w:r>
      <w:r w:rsidRPr="001E67A3">
        <w:t>s Office</w:t>
      </w:r>
      <w:r w:rsidR="004B2DCB">
        <w:t>.</w:t>
      </w:r>
    </w:p>
    <w:p w:rsidR="00DD4B54" w:rsidRPr="001E0EFB" w:rsidRDefault="00DD4B54" w:rsidP="00DD4B54">
      <w:pPr>
        <w:jc w:val="center"/>
        <w:rPr>
          <w:rFonts w:cs="Times New Roman"/>
          <w:szCs w:val="24"/>
        </w:rPr>
      </w:pPr>
    </w:p>
    <w:p w:rsidR="00DD4B54" w:rsidRDefault="00DD4B54" w:rsidP="00DD4B54">
      <w:pPr>
        <w:rPr>
          <w:rFonts w:cs="Times New Roman"/>
          <w:szCs w:val="24"/>
        </w:rPr>
      </w:pPr>
    </w:p>
    <w:p w:rsidR="00CF788E" w:rsidRPr="00DD4B54" w:rsidRDefault="00CF788E" w:rsidP="00DD4B54"/>
    <w:p w:rsidR="00CF788E" w:rsidRDefault="00CF788E" w:rsidP="006123A1">
      <w:pPr>
        <w:sectPr w:rsidR="00CF788E" w:rsidSect="00CC52EE">
          <w:footerReference w:type="default" r:id="rId34"/>
          <w:footerReference w:type="first" r:id="rId35"/>
          <w:footnotePr>
            <w:numRestart w:val="eachPage"/>
          </w:footnotePr>
          <w:pgSz w:w="12240" w:h="15840"/>
          <w:pgMar w:top="1440" w:right="1440" w:bottom="1440" w:left="1440" w:header="720" w:footer="720" w:gutter="0"/>
          <w:cols w:space="720"/>
          <w:titlePg/>
          <w:docGrid w:linePitch="360"/>
        </w:sectPr>
      </w:pPr>
    </w:p>
    <w:p w:rsidR="006123A1" w:rsidRPr="00B22F88" w:rsidRDefault="006123A1" w:rsidP="00B22F88">
      <w:pPr>
        <w:jc w:val="center"/>
        <w:rPr>
          <w:b/>
        </w:rPr>
      </w:pPr>
      <w:r w:rsidRPr="00B22F88">
        <w:rPr>
          <w:b/>
        </w:rPr>
        <w:t>APPENDIX F</w:t>
      </w:r>
    </w:p>
    <w:p w:rsidR="00CF788E" w:rsidRPr="00B22F88" w:rsidRDefault="00CF788E" w:rsidP="00B22F88">
      <w:pPr>
        <w:jc w:val="center"/>
        <w:rPr>
          <w:b/>
        </w:rPr>
      </w:pPr>
    </w:p>
    <w:p w:rsidR="006123A1" w:rsidRPr="00B22F88" w:rsidRDefault="009B293F" w:rsidP="00B22F88">
      <w:pPr>
        <w:jc w:val="center"/>
        <w:rPr>
          <w:b/>
        </w:rPr>
      </w:pPr>
      <w:r>
        <w:rPr>
          <w:b/>
        </w:rPr>
        <w:t>OSPB SEPTEMBER 2020</w:t>
      </w:r>
      <w:r w:rsidR="006123A1" w:rsidRPr="00B22F88">
        <w:rPr>
          <w:b/>
        </w:rPr>
        <w:t xml:space="preserve"> REVENUE FORECAST</w:t>
      </w:r>
    </w:p>
    <w:p w:rsidR="00CF788E" w:rsidRDefault="00CF788E" w:rsidP="006123A1"/>
    <w:p w:rsidR="006123A1" w:rsidRDefault="006123A1" w:rsidP="00B22F88">
      <w:pPr>
        <w:pStyle w:val="BodyText1"/>
      </w:pPr>
      <w:r>
        <w:t xml:space="preserve">As discussed in </w:t>
      </w:r>
      <w:r w:rsidR="00A06786">
        <w:t>“</w:t>
      </w:r>
      <w:r>
        <w:t>APPENDIX E – THE STATE GENERAL FUND – Revenue Estimation; OSPB Revenue and Economic Forecasts,</w:t>
      </w:r>
      <w:r w:rsidR="00A06786">
        <w:t>”</w:t>
      </w:r>
      <w:r>
        <w:t xml:space="preserve"> the OSPB prepares quarterly revenue estimates and is currently forecasting for Fis</w:t>
      </w:r>
      <w:r w:rsidR="009F7CA9">
        <w:t>cal Years 2020</w:t>
      </w:r>
      <w:r w:rsidR="0038445F">
        <w:t>-</w:t>
      </w:r>
      <w:r w:rsidR="009F7CA9">
        <w:t>21</w:t>
      </w:r>
      <w:r>
        <w:t xml:space="preserve"> through 20</w:t>
      </w:r>
      <w:r w:rsidR="009F7CA9">
        <w:t>22-23</w:t>
      </w:r>
      <w:r>
        <w:t>.  The forecasts include projections of General Fund revenues available for spending and end-of-year reserves through the forecast period.  Budgeted General Fund spending levels are also included.  The forecasts are based on historical patterns, with economic and legislative changes explicitly included in the models that forecast revenue growth, and include both State and national economic forecasts.</w:t>
      </w:r>
    </w:p>
    <w:p w:rsidR="006123A1" w:rsidRDefault="006123A1" w:rsidP="00B22F88">
      <w:pPr>
        <w:pStyle w:val="BodyText1"/>
      </w:pPr>
      <w:r>
        <w:t xml:space="preserve">The most recent OSPB Revenue Forecast was issued on </w:t>
      </w:r>
      <w:r w:rsidR="0038445F">
        <w:t xml:space="preserve">September </w:t>
      </w:r>
      <w:r w:rsidR="009F7CA9">
        <w:t>18</w:t>
      </w:r>
      <w:r>
        <w:t>, 20</w:t>
      </w:r>
      <w:r w:rsidR="009F7CA9">
        <w:t>20</w:t>
      </w:r>
      <w:r>
        <w:t xml:space="preserve">, and is included in its entirety in this Appendix. </w:t>
      </w:r>
      <w:r w:rsidR="009F7CA9">
        <w:t xml:space="preserve"> See “CERTAIN RISK FACTORS -- Potential Impact of COVID-19 (Coronavirus).” </w:t>
      </w:r>
      <w:r>
        <w:t xml:space="preserve"> The pagination of this Appendix reflects the original printed document</w:t>
      </w:r>
      <w:r w:rsidR="009F7CA9">
        <w:t>,</w:t>
      </w:r>
    </w:p>
    <w:p w:rsidR="006123A1" w:rsidRDefault="006123A1" w:rsidP="00B22F88">
      <w:pPr>
        <w:pStyle w:val="BodyText1"/>
      </w:pPr>
      <w:r>
        <w:t xml:space="preserve">Prospective investors are cautioned that any forecast is subject to uncertainties, and inevitably some assumptions used to develop the forecasts will not be realized, and unanticipated events and circumstances may occur.  Therefore, there are likely to be differences between forecasted and actual results, and such differences may be material.  No representation or guaranty is made herein as to the accuracy of the forecasts.  See also </w:t>
      </w:r>
      <w:r w:rsidR="00A06786">
        <w:t>“</w:t>
      </w:r>
      <w:r>
        <w:t>PRELIMINARY NOTICES – Cautionary Statement Regarding Projections, Estimates and Other Forward-Looking Statements</w:t>
      </w:r>
      <w:r w:rsidR="00A06786">
        <w:t>”</w:t>
      </w:r>
      <w:r>
        <w:t xml:space="preserve"> at the beginning of this Official Statement.</w:t>
      </w:r>
    </w:p>
    <w:p w:rsidR="00B22F88" w:rsidRDefault="006123A1" w:rsidP="00B22F88">
      <w:pPr>
        <w:jc w:val="center"/>
        <w:sectPr w:rsidR="00B22F88" w:rsidSect="009F07A3">
          <w:footerReference w:type="default" r:id="rId36"/>
          <w:footerReference w:type="first" r:id="rId37"/>
          <w:footnotePr>
            <w:numRestart w:val="eachPage"/>
          </w:footnotePr>
          <w:pgSz w:w="12240" w:h="15840"/>
          <w:pgMar w:top="1440" w:right="1440" w:bottom="1440" w:left="1440" w:header="720" w:footer="720" w:gutter="0"/>
          <w:pgNumType w:start="1"/>
          <w:cols w:space="720"/>
          <w:titlePg/>
          <w:docGrid w:linePitch="360"/>
        </w:sectPr>
      </w:pPr>
      <w:r>
        <w:t>[Remainder of page intentionally left blank]</w:t>
      </w:r>
    </w:p>
    <w:p w:rsidR="00B22F88" w:rsidRDefault="00B22F88" w:rsidP="00B22F88">
      <w:pPr>
        <w:jc w:val="center"/>
      </w:pPr>
    </w:p>
    <w:p w:rsidR="00B22F88" w:rsidRDefault="00B22F88" w:rsidP="00B22F88">
      <w:pPr>
        <w:jc w:val="center"/>
      </w:pPr>
    </w:p>
    <w:p w:rsidR="00B22F88" w:rsidRDefault="00B22F88" w:rsidP="00B22F88">
      <w:pPr>
        <w:jc w:val="center"/>
      </w:pPr>
    </w:p>
    <w:p w:rsidR="00B22F88" w:rsidRDefault="00B22F88" w:rsidP="00B22F88">
      <w:pPr>
        <w:jc w:val="center"/>
      </w:pPr>
    </w:p>
    <w:p w:rsidR="00B22F88" w:rsidRDefault="00B22F88" w:rsidP="00B22F88">
      <w:pPr>
        <w:jc w:val="center"/>
      </w:pPr>
    </w:p>
    <w:p w:rsidR="00B22F88" w:rsidRDefault="00B22F88" w:rsidP="00B22F88">
      <w:pPr>
        <w:jc w:val="center"/>
      </w:pPr>
    </w:p>
    <w:p w:rsidR="00B22F88" w:rsidRDefault="00B22F88" w:rsidP="00B22F88">
      <w:pPr>
        <w:jc w:val="center"/>
      </w:pPr>
    </w:p>
    <w:p w:rsidR="00B22F88" w:rsidRDefault="00B22F88" w:rsidP="00B22F88">
      <w:pPr>
        <w:jc w:val="center"/>
      </w:pPr>
    </w:p>
    <w:p w:rsidR="00B22F88" w:rsidRDefault="00B22F88" w:rsidP="00B22F88">
      <w:pPr>
        <w:jc w:val="center"/>
      </w:pPr>
    </w:p>
    <w:p w:rsidR="00B22F88" w:rsidRDefault="00B22F88" w:rsidP="00B22F88">
      <w:pPr>
        <w:jc w:val="center"/>
      </w:pPr>
    </w:p>
    <w:p w:rsidR="00B22F88" w:rsidRDefault="00B22F88" w:rsidP="00B22F88">
      <w:pPr>
        <w:jc w:val="center"/>
      </w:pPr>
    </w:p>
    <w:p w:rsidR="00B22F88" w:rsidRDefault="00B22F88" w:rsidP="00B22F88">
      <w:pPr>
        <w:jc w:val="center"/>
      </w:pPr>
    </w:p>
    <w:p w:rsidR="00B22F88" w:rsidRDefault="00B22F88" w:rsidP="00B22F88">
      <w:pPr>
        <w:jc w:val="center"/>
      </w:pPr>
    </w:p>
    <w:p w:rsidR="00B22F88" w:rsidRDefault="00B22F88" w:rsidP="00B22F88">
      <w:pPr>
        <w:jc w:val="center"/>
      </w:pPr>
    </w:p>
    <w:p w:rsidR="00B22F88" w:rsidRDefault="00B22F88" w:rsidP="00B22F88">
      <w:pPr>
        <w:jc w:val="center"/>
      </w:pPr>
    </w:p>
    <w:p w:rsidR="00B22F88" w:rsidRDefault="00B22F88" w:rsidP="00B22F88">
      <w:pPr>
        <w:jc w:val="center"/>
      </w:pPr>
    </w:p>
    <w:p w:rsidR="00B22F88" w:rsidRDefault="00B22F88" w:rsidP="00B22F88">
      <w:pPr>
        <w:jc w:val="center"/>
      </w:pPr>
    </w:p>
    <w:p w:rsidR="00B22F88" w:rsidRDefault="00B22F88" w:rsidP="00B22F88">
      <w:pPr>
        <w:jc w:val="center"/>
      </w:pPr>
    </w:p>
    <w:p w:rsidR="00B22F88" w:rsidRDefault="00B22F88" w:rsidP="00B22F88">
      <w:pPr>
        <w:jc w:val="center"/>
      </w:pPr>
    </w:p>
    <w:p w:rsidR="00B22F88" w:rsidRDefault="00B22F88" w:rsidP="00B22F88">
      <w:pPr>
        <w:jc w:val="center"/>
      </w:pPr>
    </w:p>
    <w:p w:rsidR="00B22F88" w:rsidRDefault="00B22F88" w:rsidP="00B22F88">
      <w:pPr>
        <w:jc w:val="center"/>
      </w:pPr>
    </w:p>
    <w:p w:rsidR="00B22F88" w:rsidRDefault="00B22F88" w:rsidP="00B22F88">
      <w:pPr>
        <w:jc w:val="center"/>
      </w:pPr>
    </w:p>
    <w:p w:rsidR="00B22F88" w:rsidRDefault="00B22F88" w:rsidP="00B22F88">
      <w:pPr>
        <w:jc w:val="center"/>
      </w:pPr>
    </w:p>
    <w:p w:rsidR="00B22F88" w:rsidRDefault="00B22F88" w:rsidP="00B22F88">
      <w:pPr>
        <w:jc w:val="center"/>
      </w:pPr>
    </w:p>
    <w:p w:rsidR="00B22F88" w:rsidRDefault="00B22F88" w:rsidP="00B22F88">
      <w:pPr>
        <w:jc w:val="center"/>
      </w:pPr>
    </w:p>
    <w:p w:rsidR="00B22F88" w:rsidRDefault="00B22F88" w:rsidP="00B22F88">
      <w:pPr>
        <w:jc w:val="center"/>
        <w:sectPr w:rsidR="00B22F88" w:rsidSect="009F07A3">
          <w:footerReference w:type="first" r:id="rId38"/>
          <w:footnotePr>
            <w:numRestart w:val="eachPage"/>
          </w:footnotePr>
          <w:pgSz w:w="12240" w:h="15840"/>
          <w:pgMar w:top="1440" w:right="1440" w:bottom="1440" w:left="1440" w:header="720" w:footer="720" w:gutter="0"/>
          <w:cols w:space="720"/>
          <w:titlePg/>
          <w:docGrid w:linePitch="360"/>
        </w:sectPr>
      </w:pPr>
      <w:r>
        <w:t>[This page intentionally left blank]</w:t>
      </w:r>
    </w:p>
    <w:p w:rsidR="006123A1" w:rsidRPr="00B22F88" w:rsidRDefault="006123A1" w:rsidP="00B22F88">
      <w:pPr>
        <w:jc w:val="center"/>
        <w:rPr>
          <w:b/>
        </w:rPr>
      </w:pPr>
      <w:r w:rsidRPr="00B22F88">
        <w:rPr>
          <w:b/>
        </w:rPr>
        <w:t>APPENDIX G</w:t>
      </w:r>
    </w:p>
    <w:p w:rsidR="00B22F88" w:rsidRPr="00B22F88" w:rsidRDefault="00B22F88" w:rsidP="00B22F88">
      <w:pPr>
        <w:jc w:val="center"/>
        <w:rPr>
          <w:b/>
        </w:rPr>
      </w:pPr>
    </w:p>
    <w:p w:rsidR="006123A1" w:rsidRPr="00B22F88" w:rsidRDefault="006123A1" w:rsidP="00B22F88">
      <w:pPr>
        <w:jc w:val="center"/>
        <w:rPr>
          <w:b/>
        </w:rPr>
      </w:pPr>
      <w:r w:rsidRPr="00B22F88">
        <w:rPr>
          <w:b/>
        </w:rPr>
        <w:t>PUBLIC SCHOOL CAPITAL CONSTRUCTION ASSISTANCE FUND</w:t>
      </w:r>
    </w:p>
    <w:p w:rsidR="00B22F88" w:rsidRDefault="00B22F88" w:rsidP="006123A1"/>
    <w:p w:rsidR="006123A1" w:rsidRDefault="006123A1" w:rsidP="00B22F88">
      <w:pPr>
        <w:pStyle w:val="Subtitle"/>
      </w:pPr>
      <w:r>
        <w:t>Introduction</w:t>
      </w:r>
    </w:p>
    <w:p w:rsidR="006123A1" w:rsidRDefault="006123A1" w:rsidP="00B22F88">
      <w:pPr>
        <w:pStyle w:val="BodyText1"/>
      </w:pPr>
      <w:r>
        <w:t>The Act creates the Public School Capital Construction Assistance Board and the Public School Capital Construction Assistance Fund</w:t>
      </w:r>
      <w:r w:rsidR="00D57A4D">
        <w:t xml:space="preserve"> (the “Assistance Fund”)</w:t>
      </w:r>
      <w:r>
        <w:t xml:space="preserve">.  In accordance with the Act, the Assistance Fund is funded from revenues received by the State from (i) a portion of rental income and royalties derived from State public school lands, (ii) a portion of State lottery proceeds, (iii) amounts paid by Participating </w:t>
      </w:r>
      <w:r w:rsidR="00006F60">
        <w:t>K-12</w:t>
      </w:r>
      <w:r>
        <w:t xml:space="preserve"> Institutions for which capital projects are financed through the Program, (iv) excise tax revenue from marijuana sales and (v) State appropriations described in the following paragraph.</w:t>
      </w:r>
    </w:p>
    <w:p w:rsidR="006123A1" w:rsidRDefault="006123A1" w:rsidP="00B22F88">
      <w:pPr>
        <w:pStyle w:val="BodyText1"/>
      </w:pPr>
      <w:r>
        <w:t xml:space="preserve">Under the Act, the State Treasurer may enter into lease purchase agreements (the </w:t>
      </w:r>
      <w:r w:rsidR="00A06786">
        <w:t>“</w:t>
      </w:r>
      <w:r>
        <w:t>Leases</w:t>
      </w:r>
      <w:r w:rsidR="00A06786">
        <w:t>”</w:t>
      </w:r>
      <w:r>
        <w:t xml:space="preserve">) for which the State may decide annually to appropriate rent from the Assistance Fund.  The General Assembly is also authorized to appropriate or transfer moneys to the Assistance Fund from any legally available source, including the State General Fund, if the amount in the Assistance Fund is insufficient to pay the full amount of the payments due to be made under the Leases.  See </w:t>
      </w:r>
      <w:r w:rsidR="00A06786">
        <w:t>“</w:t>
      </w:r>
      <w:r>
        <w:t>APPENDIX E – THE STATE GENERAL FUND.</w:t>
      </w:r>
      <w:r w:rsidR="00A06786">
        <w:t>”</w:t>
      </w:r>
    </w:p>
    <w:p w:rsidR="006123A1" w:rsidRDefault="006123A1" w:rsidP="00B22F88">
      <w:pPr>
        <w:pStyle w:val="BodyText1"/>
      </w:pPr>
      <w:r>
        <w:t>The decision of the State to appropriate funds to pay its obligations under the Leases or make up any shortfall in the Assistance Fund may be impacted by the amount and stability of revenues allocated to the Assistance Fund under the Act.  Amounts deposited in the Assistance Fund are also available for other purposes permitted by the Act, including, without limitation, defraying the cost o</w:t>
      </w:r>
      <w:r w:rsidR="000F6CF9">
        <w:t>f Projects.  As of J</w:t>
      </w:r>
      <w:r w:rsidR="00276183">
        <w:t xml:space="preserve">une 30, 2020, approximately $408.8 </w:t>
      </w:r>
      <w:r>
        <w:t>million was on deposit in the</w:t>
      </w:r>
      <w:r w:rsidR="0057116F">
        <w:t xml:space="preserve"> Assistance Fund</w:t>
      </w:r>
      <w:r w:rsidR="000F6CF9">
        <w:t xml:space="preserve">. </w:t>
      </w:r>
      <w:r>
        <w:t xml:space="preserve"> In 2013, the Act was amended to require that the Assistance Board ensure that effective June 30, 2013, and each June 30 thereafter, the balance of the Assistance Fund, not including the amounts credited to the charter school facilities assistance account within the Assistance Fund, is at least equal to the total amount of payments to be made by the State during the next Fiscal Year under the terms of any lease purchase agreement entered into pursuant to the Act less the amount of any Matching Moneys (as described below under </w:t>
      </w:r>
      <w:r w:rsidR="00A06786">
        <w:t>“</w:t>
      </w:r>
      <w:r>
        <w:t>Matching Moneys</w:t>
      </w:r>
      <w:r w:rsidR="00A06786">
        <w:t>”</w:t>
      </w:r>
      <w:r>
        <w:t>) and federal moneys (such as the Federal Direct Payments) to be received for the purpose of making the payments.  The revenue sources for the Assistance Fund are further described below.</w:t>
      </w:r>
    </w:p>
    <w:p w:rsidR="006123A1" w:rsidRDefault="006123A1" w:rsidP="00B22F88">
      <w:pPr>
        <w:pStyle w:val="Subtitle"/>
      </w:pPr>
      <w:r>
        <w:t>Rental Income and Royalties</w:t>
      </w:r>
    </w:p>
    <w:p w:rsidR="006123A1" w:rsidRPr="000F6CF9" w:rsidRDefault="006123A1" w:rsidP="00B22F88">
      <w:pPr>
        <w:pStyle w:val="BodyText1"/>
        <w:rPr>
          <w:b/>
        </w:rPr>
      </w:pPr>
      <w:r>
        <w:t xml:space="preserve">The Territory of Colorado was established in 1861 pursuant to an enabling act (the </w:t>
      </w:r>
      <w:r w:rsidR="00A06786">
        <w:t>“</w:t>
      </w:r>
      <w:r>
        <w:t>Enabling Act</w:t>
      </w:r>
      <w:r w:rsidR="00A06786">
        <w:t>”</w:t>
      </w:r>
      <w:r>
        <w:t>).  In the Enabling Act, the federal government declared that certain land previously owned by the federal government was to be granted in trust to the State for the support of the State</w:t>
      </w:r>
      <w:r w:rsidR="00A06786">
        <w:t>’</w:t>
      </w:r>
      <w:r>
        <w:t xml:space="preserve">s public schools (the </w:t>
      </w:r>
      <w:r w:rsidR="00A06786">
        <w:t>“</w:t>
      </w:r>
      <w:r>
        <w:t>Public School Lands</w:t>
      </w:r>
      <w:r w:rsidR="00A06786">
        <w:t>”</w:t>
      </w:r>
      <w:r>
        <w:t>).  On the date it was admitted to the United States, the State held roughly 3.7 million acres of Publi</w:t>
      </w:r>
      <w:r w:rsidR="000F6CF9">
        <w:t>c School Lands.  As of June 30, 2020</w:t>
      </w:r>
      <w:r>
        <w:t xml:space="preserve">, the Colorado State Land Board of Commissioners (the </w:t>
      </w:r>
      <w:r w:rsidR="00A06786">
        <w:t>“</w:t>
      </w:r>
      <w:r>
        <w:t>State Land Board</w:t>
      </w:r>
      <w:r w:rsidR="00A06786">
        <w:t>”</w:t>
      </w:r>
      <w:r>
        <w:t>) reported that the State held approximately 2.8 million surface acres and approximately 4.0</w:t>
      </w:r>
      <w:r w:rsidR="005670C0">
        <w:t xml:space="preserve"> </w:t>
      </w:r>
      <w:r>
        <w:t>million mineral acres in trust as Public School Lands.</w:t>
      </w:r>
      <w:r w:rsidR="000F6CF9">
        <w:t xml:space="preserve"> </w:t>
      </w:r>
    </w:p>
    <w:p w:rsidR="006123A1" w:rsidRPr="00DD58BD" w:rsidRDefault="006123A1" w:rsidP="00B22F88">
      <w:pPr>
        <w:pStyle w:val="BodyText1"/>
        <w:rPr>
          <w:b/>
          <w:u w:val="single"/>
        </w:rPr>
      </w:pPr>
      <w:r>
        <w:t xml:space="preserve">The Act </w:t>
      </w:r>
      <w:r w:rsidR="00405D5E">
        <w:t xml:space="preserve">currently </w:t>
      </w:r>
      <w:r>
        <w:t>provides that for each Fiscal Year there is to be deposited in the Assis</w:t>
      </w:r>
      <w:r w:rsidR="00436AED">
        <w:t>tance Fund the greater of (i) 35</w:t>
      </w:r>
      <w:r>
        <w:t xml:space="preserve">% of the gross amount of </w:t>
      </w:r>
      <w:r w:rsidR="00A06786">
        <w:t>“</w:t>
      </w:r>
      <w:r>
        <w:t>Public School Lands Income</w:t>
      </w:r>
      <w:r w:rsidR="00A06786">
        <w:t>”</w:t>
      </w:r>
      <w:r>
        <w:t xml:space="preserve"> received during the Fiscal Year or (ii) $40 million.  However, if the State Treasurer determines during any Fiscal Year that the use of interest or income earned on the deposit and investment of moneys in the Public School Fund to make lease payments under a Lease will prevent the interest component of the lease payments from qualifying for exemption from federal income taxation and provides written notice to the JBC of such determination, for the portion of the Fiscal Year beginning on the date the written notice is provided to the JBC and for each subsequent Fiscal Year unless and until the State Treasurer makes a new determination during any Fiscal Year that the use of interest or income earned on the deposit and investment of moneys in the Public School Fund to make lease payments under a Lease will not prevent the interest component of the lease payments from qualifying for exemption from federal income taxation and provides written notice to the JBC of such determination, for the portion of the Fiscal Year beginning on the date the written notice is provided to the JBC, the amount to be deposited in the Assistance Fund is to be the greater of (i) 50% of the gross amount of Public School Lands Income other than interest or income earned on the deposit and investment of moneys in the Public School Fund received during the Fiscal Year or (ii) $40 million.  Public School Lands Income is defined under the Act to include:  (i) the sale of timber on Public School Lands, and rentals or lease payments for the use and occupation of Public School Lands, and rentals or lease payments for sand, gravel, clay, stone, coal, oil, natural gas, geothermal resources, gold, silver or other minerals on Public School Lands (</w:t>
      </w:r>
      <w:r w:rsidR="00A06786">
        <w:t>“</w:t>
      </w:r>
      <w:r>
        <w:t>Rental Income</w:t>
      </w:r>
      <w:r w:rsidR="00A06786">
        <w:t>”</w:t>
      </w:r>
      <w:r>
        <w:t>); and (ii) royalties and other payments for the extraction of any natural resource on Public School Lands (</w:t>
      </w:r>
      <w:r w:rsidR="00A06786">
        <w:t>“</w:t>
      </w:r>
      <w:r>
        <w:t>Royalties</w:t>
      </w:r>
      <w:r w:rsidR="00A06786">
        <w:t>”</w:t>
      </w:r>
      <w:r>
        <w:t>).  Proceeds from the sale of Public School Lands are not part of Public School Lands Income, but such proceeds may be used by the State to purchase additional income-producing Public School Lands.</w:t>
      </w:r>
      <w:r w:rsidR="00DD58BD">
        <w:t xml:space="preserve"> </w:t>
      </w:r>
    </w:p>
    <w:p w:rsidR="00B22F88" w:rsidRDefault="00B22F88" w:rsidP="00B22F88">
      <w:pPr>
        <w:pStyle w:val="OSTableTitle"/>
      </w:pPr>
      <w:r w:rsidRPr="00B53089">
        <w:t>Rental Income and Royaltie</w:t>
      </w:r>
      <w:r>
        <w:t>s</w:t>
      </w:r>
      <w:r>
        <w:br/>
      </w:r>
      <w:r w:rsidRPr="00EE2B97">
        <w:rPr>
          <w:sz w:val="16"/>
          <w:szCs w:val="16"/>
        </w:rPr>
        <w:t>(Unaudited)</w:t>
      </w:r>
    </w:p>
    <w:tbl>
      <w:tblPr>
        <w:tblW w:w="9360" w:type="dxa"/>
        <w:jc w:val="center"/>
        <w:tblCellMar>
          <w:left w:w="0" w:type="dxa"/>
          <w:right w:w="0" w:type="dxa"/>
        </w:tblCellMar>
        <w:tblLook w:val="01E0" w:firstRow="1" w:lastRow="1" w:firstColumn="1" w:lastColumn="1" w:noHBand="0" w:noVBand="0"/>
      </w:tblPr>
      <w:tblGrid>
        <w:gridCol w:w="1645"/>
        <w:gridCol w:w="1543"/>
        <w:gridCol w:w="1543"/>
        <w:gridCol w:w="1543"/>
        <w:gridCol w:w="1543"/>
        <w:gridCol w:w="1543"/>
      </w:tblGrid>
      <w:tr w:rsidR="0051576A" w:rsidRPr="00942B3C" w:rsidTr="0051576A">
        <w:trPr>
          <w:jc w:val="center"/>
        </w:trPr>
        <w:tc>
          <w:tcPr>
            <w:tcW w:w="1645" w:type="dxa"/>
            <w:shd w:val="clear" w:color="auto" w:fill="auto"/>
          </w:tcPr>
          <w:p w:rsidR="0051576A" w:rsidRPr="00775F96" w:rsidRDefault="0051576A" w:rsidP="00C31F62">
            <w:pPr>
              <w:spacing w:after="80"/>
              <w:rPr>
                <w:sz w:val="20"/>
                <w:szCs w:val="20"/>
              </w:rPr>
            </w:pPr>
          </w:p>
        </w:tc>
        <w:tc>
          <w:tcPr>
            <w:tcW w:w="1543" w:type="dxa"/>
            <w:vAlign w:val="bottom"/>
          </w:tcPr>
          <w:p w:rsidR="0051576A" w:rsidRPr="00775F96" w:rsidRDefault="0051576A" w:rsidP="00C31F62">
            <w:pPr>
              <w:spacing w:after="80"/>
              <w:jc w:val="center"/>
              <w:rPr>
                <w:b/>
                <w:sz w:val="20"/>
                <w:szCs w:val="20"/>
              </w:rPr>
            </w:pPr>
            <w:r w:rsidRPr="00775F96">
              <w:rPr>
                <w:b/>
                <w:sz w:val="20"/>
                <w:szCs w:val="20"/>
              </w:rPr>
              <w:t>Fiscal Year</w:t>
            </w:r>
            <w:r w:rsidRPr="00775F96">
              <w:rPr>
                <w:b/>
                <w:sz w:val="20"/>
                <w:szCs w:val="20"/>
              </w:rPr>
              <w:br/>
            </w:r>
            <w:r w:rsidRPr="00775F96">
              <w:rPr>
                <w:b/>
                <w:sz w:val="20"/>
                <w:szCs w:val="20"/>
                <w:u w:val="single"/>
              </w:rPr>
              <w:t>2015-16</w:t>
            </w:r>
          </w:p>
        </w:tc>
        <w:tc>
          <w:tcPr>
            <w:tcW w:w="1543" w:type="dxa"/>
            <w:vAlign w:val="bottom"/>
          </w:tcPr>
          <w:p w:rsidR="0051576A" w:rsidRPr="00775F96" w:rsidRDefault="0051576A" w:rsidP="00C31F62">
            <w:pPr>
              <w:spacing w:after="80"/>
              <w:jc w:val="center"/>
              <w:rPr>
                <w:b/>
                <w:sz w:val="20"/>
                <w:szCs w:val="20"/>
              </w:rPr>
            </w:pPr>
            <w:r w:rsidRPr="00775F96">
              <w:rPr>
                <w:b/>
                <w:sz w:val="20"/>
                <w:szCs w:val="20"/>
              </w:rPr>
              <w:t>Fiscal Year</w:t>
            </w:r>
            <w:r w:rsidRPr="00775F96">
              <w:rPr>
                <w:b/>
                <w:sz w:val="20"/>
                <w:szCs w:val="20"/>
              </w:rPr>
              <w:br/>
            </w:r>
            <w:r w:rsidRPr="00775F96">
              <w:rPr>
                <w:b/>
                <w:sz w:val="20"/>
                <w:szCs w:val="20"/>
                <w:u w:val="single"/>
              </w:rPr>
              <w:t>2016-17</w:t>
            </w:r>
          </w:p>
        </w:tc>
        <w:tc>
          <w:tcPr>
            <w:tcW w:w="1543" w:type="dxa"/>
          </w:tcPr>
          <w:p w:rsidR="0051576A" w:rsidRPr="00775F96" w:rsidRDefault="0051576A" w:rsidP="00C31F62">
            <w:pPr>
              <w:spacing w:after="80"/>
              <w:jc w:val="center"/>
              <w:rPr>
                <w:b/>
                <w:sz w:val="20"/>
                <w:szCs w:val="20"/>
              </w:rPr>
            </w:pPr>
            <w:r>
              <w:rPr>
                <w:b/>
                <w:sz w:val="20"/>
                <w:szCs w:val="20"/>
              </w:rPr>
              <w:t>Fiscal Year</w:t>
            </w:r>
            <w:r>
              <w:rPr>
                <w:b/>
                <w:sz w:val="20"/>
                <w:szCs w:val="20"/>
              </w:rPr>
              <w:br/>
            </w:r>
            <w:r w:rsidRPr="00E12DE2">
              <w:rPr>
                <w:b/>
                <w:sz w:val="20"/>
                <w:szCs w:val="20"/>
                <w:u w:val="single"/>
              </w:rPr>
              <w:t>2017-18</w:t>
            </w:r>
          </w:p>
        </w:tc>
        <w:tc>
          <w:tcPr>
            <w:tcW w:w="1543" w:type="dxa"/>
          </w:tcPr>
          <w:p w:rsidR="0051576A" w:rsidRDefault="0051576A" w:rsidP="00F43307">
            <w:pPr>
              <w:spacing w:after="80"/>
              <w:jc w:val="center"/>
              <w:rPr>
                <w:b/>
                <w:sz w:val="20"/>
                <w:szCs w:val="20"/>
              </w:rPr>
            </w:pPr>
            <w:r>
              <w:rPr>
                <w:b/>
                <w:sz w:val="20"/>
                <w:szCs w:val="20"/>
              </w:rPr>
              <w:t>Fiscal Year</w:t>
            </w:r>
            <w:r>
              <w:rPr>
                <w:b/>
                <w:sz w:val="20"/>
                <w:szCs w:val="20"/>
              </w:rPr>
              <w:br/>
            </w:r>
            <w:r w:rsidRPr="00E12DE2">
              <w:rPr>
                <w:b/>
                <w:sz w:val="20"/>
                <w:szCs w:val="20"/>
                <w:u w:val="single"/>
              </w:rPr>
              <w:t>201</w:t>
            </w:r>
            <w:r>
              <w:rPr>
                <w:b/>
                <w:sz w:val="20"/>
                <w:szCs w:val="20"/>
                <w:u w:val="single"/>
              </w:rPr>
              <w:t>8</w:t>
            </w:r>
            <w:r w:rsidRPr="00E12DE2">
              <w:rPr>
                <w:b/>
                <w:sz w:val="20"/>
                <w:szCs w:val="20"/>
                <w:u w:val="single"/>
              </w:rPr>
              <w:t>-1</w:t>
            </w:r>
            <w:r>
              <w:rPr>
                <w:b/>
                <w:sz w:val="20"/>
                <w:szCs w:val="20"/>
                <w:u w:val="single"/>
              </w:rPr>
              <w:t>9</w:t>
            </w:r>
          </w:p>
        </w:tc>
        <w:tc>
          <w:tcPr>
            <w:tcW w:w="1543" w:type="dxa"/>
          </w:tcPr>
          <w:p w:rsidR="0051576A" w:rsidRDefault="0051576A" w:rsidP="00F43307">
            <w:pPr>
              <w:spacing w:after="80"/>
              <w:jc w:val="center"/>
              <w:rPr>
                <w:b/>
                <w:sz w:val="20"/>
                <w:szCs w:val="20"/>
              </w:rPr>
            </w:pPr>
            <w:r>
              <w:rPr>
                <w:b/>
                <w:sz w:val="20"/>
                <w:szCs w:val="20"/>
              </w:rPr>
              <w:t>Fiscal Year</w:t>
            </w:r>
            <w:r>
              <w:rPr>
                <w:b/>
                <w:sz w:val="20"/>
                <w:szCs w:val="20"/>
              </w:rPr>
              <w:br/>
            </w:r>
            <w:r w:rsidRPr="0051576A">
              <w:rPr>
                <w:b/>
                <w:sz w:val="20"/>
                <w:szCs w:val="20"/>
                <w:u w:val="single"/>
              </w:rPr>
              <w:t>2019-20</w:t>
            </w:r>
          </w:p>
        </w:tc>
      </w:tr>
      <w:tr w:rsidR="0051576A" w:rsidRPr="00942B3C" w:rsidTr="0051576A">
        <w:trPr>
          <w:jc w:val="center"/>
        </w:trPr>
        <w:tc>
          <w:tcPr>
            <w:tcW w:w="1645" w:type="dxa"/>
            <w:shd w:val="clear" w:color="auto" w:fill="auto"/>
          </w:tcPr>
          <w:p w:rsidR="0051576A" w:rsidRPr="00775F96" w:rsidRDefault="0051576A" w:rsidP="00C31F62">
            <w:pPr>
              <w:rPr>
                <w:sz w:val="20"/>
                <w:szCs w:val="20"/>
              </w:rPr>
            </w:pPr>
            <w:r w:rsidRPr="00775F96">
              <w:rPr>
                <w:sz w:val="20"/>
                <w:szCs w:val="20"/>
              </w:rPr>
              <w:t>Rental Income</w:t>
            </w:r>
            <w:r>
              <w:rPr>
                <w:sz w:val="20"/>
                <w:szCs w:val="20"/>
                <w:vertAlign w:val="superscript"/>
              </w:rPr>
              <w:t>1,2</w:t>
            </w:r>
          </w:p>
        </w:tc>
        <w:tc>
          <w:tcPr>
            <w:tcW w:w="1543" w:type="dxa"/>
          </w:tcPr>
          <w:p w:rsidR="0051576A" w:rsidRPr="00775F96" w:rsidRDefault="0051576A" w:rsidP="00C31F62">
            <w:pPr>
              <w:tabs>
                <w:tab w:val="decimal" w:pos="1342"/>
              </w:tabs>
              <w:jc w:val="left"/>
              <w:rPr>
                <w:sz w:val="20"/>
                <w:szCs w:val="20"/>
              </w:rPr>
            </w:pPr>
            <w:r>
              <w:rPr>
                <w:sz w:val="20"/>
                <w:szCs w:val="20"/>
              </w:rPr>
              <w:t>$  30,333,850</w:t>
            </w:r>
          </w:p>
        </w:tc>
        <w:tc>
          <w:tcPr>
            <w:tcW w:w="1543" w:type="dxa"/>
          </w:tcPr>
          <w:p w:rsidR="0051576A" w:rsidRPr="00775F96" w:rsidRDefault="0051576A" w:rsidP="00C31F62">
            <w:pPr>
              <w:tabs>
                <w:tab w:val="decimal" w:pos="1342"/>
              </w:tabs>
              <w:jc w:val="left"/>
              <w:rPr>
                <w:sz w:val="20"/>
                <w:szCs w:val="20"/>
              </w:rPr>
            </w:pPr>
            <w:r>
              <w:rPr>
                <w:sz w:val="20"/>
                <w:szCs w:val="20"/>
              </w:rPr>
              <w:t>$  25,561,599</w:t>
            </w:r>
          </w:p>
        </w:tc>
        <w:tc>
          <w:tcPr>
            <w:tcW w:w="1543" w:type="dxa"/>
          </w:tcPr>
          <w:p w:rsidR="0051576A" w:rsidRDefault="0051576A" w:rsidP="00C31F62">
            <w:pPr>
              <w:tabs>
                <w:tab w:val="decimal" w:pos="1342"/>
              </w:tabs>
              <w:jc w:val="left"/>
              <w:rPr>
                <w:sz w:val="20"/>
                <w:szCs w:val="20"/>
              </w:rPr>
            </w:pPr>
            <w:r>
              <w:rPr>
                <w:sz w:val="20"/>
                <w:szCs w:val="20"/>
              </w:rPr>
              <w:t>$  29,339,033</w:t>
            </w:r>
          </w:p>
        </w:tc>
        <w:tc>
          <w:tcPr>
            <w:tcW w:w="1543" w:type="dxa"/>
          </w:tcPr>
          <w:p w:rsidR="0051576A" w:rsidRDefault="0051576A" w:rsidP="00C31F62">
            <w:pPr>
              <w:tabs>
                <w:tab w:val="decimal" w:pos="1342"/>
              </w:tabs>
              <w:jc w:val="left"/>
              <w:rPr>
                <w:sz w:val="20"/>
                <w:szCs w:val="20"/>
              </w:rPr>
            </w:pPr>
            <w:r>
              <w:rPr>
                <w:sz w:val="20"/>
                <w:szCs w:val="20"/>
              </w:rPr>
              <w:t>$25,984,605</w:t>
            </w:r>
          </w:p>
        </w:tc>
        <w:tc>
          <w:tcPr>
            <w:tcW w:w="1543" w:type="dxa"/>
          </w:tcPr>
          <w:p w:rsidR="0051576A" w:rsidRDefault="0051576A" w:rsidP="00C31F62">
            <w:pPr>
              <w:tabs>
                <w:tab w:val="decimal" w:pos="1342"/>
              </w:tabs>
              <w:jc w:val="left"/>
              <w:rPr>
                <w:sz w:val="20"/>
                <w:szCs w:val="20"/>
              </w:rPr>
            </w:pPr>
            <w:r>
              <w:rPr>
                <w:sz w:val="20"/>
                <w:szCs w:val="20"/>
              </w:rPr>
              <w:t>$16,482,901</w:t>
            </w:r>
          </w:p>
        </w:tc>
      </w:tr>
      <w:tr w:rsidR="0051576A" w:rsidRPr="00942B3C" w:rsidTr="0051576A">
        <w:trPr>
          <w:jc w:val="center"/>
        </w:trPr>
        <w:tc>
          <w:tcPr>
            <w:tcW w:w="1645" w:type="dxa"/>
            <w:shd w:val="clear" w:color="auto" w:fill="auto"/>
          </w:tcPr>
          <w:p w:rsidR="0051576A" w:rsidRPr="00775F96" w:rsidRDefault="0051576A" w:rsidP="00C31F62">
            <w:pPr>
              <w:rPr>
                <w:sz w:val="20"/>
                <w:szCs w:val="20"/>
              </w:rPr>
            </w:pPr>
            <w:r w:rsidRPr="00775F96">
              <w:rPr>
                <w:sz w:val="20"/>
                <w:szCs w:val="20"/>
              </w:rPr>
              <w:t>Royalties</w:t>
            </w:r>
            <w:r>
              <w:rPr>
                <w:sz w:val="20"/>
                <w:szCs w:val="20"/>
                <w:vertAlign w:val="superscript"/>
              </w:rPr>
              <w:t>1</w:t>
            </w:r>
          </w:p>
        </w:tc>
        <w:tc>
          <w:tcPr>
            <w:tcW w:w="1543" w:type="dxa"/>
          </w:tcPr>
          <w:p w:rsidR="0051576A" w:rsidRPr="00775F96" w:rsidRDefault="0051576A" w:rsidP="00C31F62">
            <w:pPr>
              <w:tabs>
                <w:tab w:val="decimal" w:pos="1342"/>
              </w:tabs>
              <w:jc w:val="left"/>
              <w:rPr>
                <w:sz w:val="20"/>
                <w:szCs w:val="20"/>
                <w:u w:val="single"/>
              </w:rPr>
            </w:pPr>
            <w:r>
              <w:rPr>
                <w:sz w:val="20"/>
                <w:szCs w:val="20"/>
                <w:u w:val="single"/>
              </w:rPr>
              <w:t>105,830,542</w:t>
            </w:r>
          </w:p>
        </w:tc>
        <w:tc>
          <w:tcPr>
            <w:tcW w:w="1543" w:type="dxa"/>
          </w:tcPr>
          <w:p w:rsidR="0051576A" w:rsidRPr="00775F96" w:rsidRDefault="0051576A" w:rsidP="00C31F62">
            <w:pPr>
              <w:tabs>
                <w:tab w:val="decimal" w:pos="1342"/>
              </w:tabs>
              <w:jc w:val="left"/>
              <w:rPr>
                <w:sz w:val="20"/>
                <w:szCs w:val="20"/>
                <w:u w:val="single"/>
              </w:rPr>
            </w:pPr>
            <w:r>
              <w:rPr>
                <w:sz w:val="20"/>
                <w:szCs w:val="20"/>
                <w:u w:val="single"/>
              </w:rPr>
              <w:t>92,795,261</w:t>
            </w:r>
          </w:p>
        </w:tc>
        <w:tc>
          <w:tcPr>
            <w:tcW w:w="1543" w:type="dxa"/>
          </w:tcPr>
          <w:p w:rsidR="0051576A" w:rsidRDefault="0051576A" w:rsidP="00C31F62">
            <w:pPr>
              <w:tabs>
                <w:tab w:val="decimal" w:pos="1342"/>
              </w:tabs>
              <w:jc w:val="left"/>
              <w:rPr>
                <w:sz w:val="20"/>
                <w:szCs w:val="20"/>
                <w:u w:val="single"/>
              </w:rPr>
            </w:pPr>
            <w:r>
              <w:rPr>
                <w:sz w:val="20"/>
                <w:szCs w:val="20"/>
                <w:u w:val="single"/>
              </w:rPr>
              <w:t>100,450,450</w:t>
            </w:r>
          </w:p>
        </w:tc>
        <w:tc>
          <w:tcPr>
            <w:tcW w:w="1543" w:type="dxa"/>
          </w:tcPr>
          <w:p w:rsidR="0051576A" w:rsidRDefault="0051576A" w:rsidP="00C31F62">
            <w:pPr>
              <w:tabs>
                <w:tab w:val="decimal" w:pos="1342"/>
              </w:tabs>
              <w:jc w:val="left"/>
              <w:rPr>
                <w:sz w:val="20"/>
                <w:szCs w:val="20"/>
                <w:u w:val="single"/>
              </w:rPr>
            </w:pPr>
            <w:r>
              <w:rPr>
                <w:sz w:val="20"/>
                <w:szCs w:val="20"/>
                <w:u w:val="single"/>
              </w:rPr>
              <w:t>122,490,646</w:t>
            </w:r>
          </w:p>
        </w:tc>
        <w:tc>
          <w:tcPr>
            <w:tcW w:w="1543" w:type="dxa"/>
          </w:tcPr>
          <w:p w:rsidR="0051576A" w:rsidRDefault="0051576A" w:rsidP="00C31F62">
            <w:pPr>
              <w:tabs>
                <w:tab w:val="decimal" w:pos="1342"/>
              </w:tabs>
              <w:jc w:val="left"/>
              <w:rPr>
                <w:sz w:val="20"/>
                <w:szCs w:val="20"/>
                <w:u w:val="single"/>
              </w:rPr>
            </w:pPr>
            <w:r>
              <w:rPr>
                <w:sz w:val="20"/>
                <w:szCs w:val="20"/>
                <w:u w:val="single"/>
              </w:rPr>
              <w:t>121,704,081</w:t>
            </w:r>
          </w:p>
        </w:tc>
      </w:tr>
      <w:tr w:rsidR="0051576A" w:rsidRPr="00942B3C" w:rsidTr="0051576A">
        <w:trPr>
          <w:jc w:val="center"/>
        </w:trPr>
        <w:tc>
          <w:tcPr>
            <w:tcW w:w="1645" w:type="dxa"/>
            <w:shd w:val="clear" w:color="auto" w:fill="auto"/>
          </w:tcPr>
          <w:p w:rsidR="0051576A" w:rsidRPr="00775F96" w:rsidRDefault="0051576A" w:rsidP="00C31F62">
            <w:pPr>
              <w:rPr>
                <w:sz w:val="20"/>
                <w:szCs w:val="20"/>
              </w:rPr>
            </w:pPr>
            <w:r w:rsidRPr="00775F96">
              <w:rPr>
                <w:sz w:val="20"/>
                <w:szCs w:val="20"/>
              </w:rPr>
              <w:t>Total</w:t>
            </w:r>
            <w:r>
              <w:rPr>
                <w:sz w:val="20"/>
                <w:szCs w:val="20"/>
                <w:vertAlign w:val="superscript"/>
              </w:rPr>
              <w:t>3</w:t>
            </w:r>
          </w:p>
        </w:tc>
        <w:tc>
          <w:tcPr>
            <w:tcW w:w="1543" w:type="dxa"/>
          </w:tcPr>
          <w:p w:rsidR="0051576A" w:rsidRPr="00775F96" w:rsidRDefault="0051576A" w:rsidP="00C31F62">
            <w:pPr>
              <w:tabs>
                <w:tab w:val="decimal" w:pos="1342"/>
              </w:tabs>
              <w:jc w:val="left"/>
              <w:rPr>
                <w:sz w:val="20"/>
                <w:szCs w:val="20"/>
                <w:u w:val="double"/>
              </w:rPr>
            </w:pPr>
            <w:r>
              <w:rPr>
                <w:sz w:val="20"/>
                <w:szCs w:val="20"/>
                <w:u w:val="double"/>
              </w:rPr>
              <w:t>$136,164,392</w:t>
            </w:r>
          </w:p>
        </w:tc>
        <w:tc>
          <w:tcPr>
            <w:tcW w:w="1543" w:type="dxa"/>
          </w:tcPr>
          <w:p w:rsidR="0051576A" w:rsidRPr="00775F96" w:rsidRDefault="0051576A" w:rsidP="00C31F62">
            <w:pPr>
              <w:tabs>
                <w:tab w:val="decimal" w:pos="1342"/>
              </w:tabs>
              <w:jc w:val="left"/>
              <w:rPr>
                <w:sz w:val="20"/>
                <w:szCs w:val="20"/>
                <w:u w:val="double"/>
              </w:rPr>
            </w:pPr>
            <w:r>
              <w:rPr>
                <w:sz w:val="20"/>
                <w:szCs w:val="20"/>
                <w:u w:val="double"/>
              </w:rPr>
              <w:t>$118,356,860</w:t>
            </w:r>
          </w:p>
        </w:tc>
        <w:tc>
          <w:tcPr>
            <w:tcW w:w="1543" w:type="dxa"/>
          </w:tcPr>
          <w:p w:rsidR="0051576A" w:rsidRDefault="0051576A" w:rsidP="00C31F62">
            <w:pPr>
              <w:tabs>
                <w:tab w:val="decimal" w:pos="1342"/>
              </w:tabs>
              <w:jc w:val="left"/>
              <w:rPr>
                <w:sz w:val="20"/>
                <w:szCs w:val="20"/>
                <w:u w:val="double"/>
              </w:rPr>
            </w:pPr>
            <w:r>
              <w:rPr>
                <w:sz w:val="20"/>
                <w:szCs w:val="20"/>
                <w:u w:val="double"/>
              </w:rPr>
              <w:t>$129,789,483</w:t>
            </w:r>
          </w:p>
        </w:tc>
        <w:tc>
          <w:tcPr>
            <w:tcW w:w="1543" w:type="dxa"/>
          </w:tcPr>
          <w:p w:rsidR="0051576A" w:rsidRDefault="0051576A" w:rsidP="00C31F62">
            <w:pPr>
              <w:tabs>
                <w:tab w:val="decimal" w:pos="1342"/>
              </w:tabs>
              <w:jc w:val="left"/>
              <w:rPr>
                <w:sz w:val="20"/>
                <w:szCs w:val="20"/>
                <w:u w:val="double"/>
              </w:rPr>
            </w:pPr>
            <w:r>
              <w:rPr>
                <w:sz w:val="20"/>
                <w:szCs w:val="20"/>
                <w:u w:val="double"/>
              </w:rPr>
              <w:t>$148,475,251</w:t>
            </w:r>
          </w:p>
        </w:tc>
        <w:tc>
          <w:tcPr>
            <w:tcW w:w="1543" w:type="dxa"/>
          </w:tcPr>
          <w:p w:rsidR="0051576A" w:rsidRDefault="00E874A1" w:rsidP="00C31F62">
            <w:pPr>
              <w:tabs>
                <w:tab w:val="decimal" w:pos="1342"/>
              </w:tabs>
              <w:jc w:val="left"/>
              <w:rPr>
                <w:sz w:val="20"/>
                <w:szCs w:val="20"/>
                <w:u w:val="double"/>
              </w:rPr>
            </w:pPr>
            <w:r>
              <w:rPr>
                <w:sz w:val="20"/>
                <w:szCs w:val="20"/>
                <w:u w:val="double"/>
              </w:rPr>
              <w:t>$138,186,982</w:t>
            </w:r>
          </w:p>
        </w:tc>
      </w:tr>
    </w:tbl>
    <w:p w:rsidR="00520E5D" w:rsidRPr="008E459C" w:rsidRDefault="00520E5D" w:rsidP="00520E5D">
      <w:pPr>
        <w:pStyle w:val="OStablenotes"/>
        <w:keepNext w:val="0"/>
        <w:spacing w:before="80" w:after="0"/>
        <w:rPr>
          <w:spacing w:val="-3"/>
        </w:rPr>
      </w:pPr>
      <w:r>
        <w:rPr>
          <w:spacing w:val="-3"/>
        </w:rPr>
        <w:t>________________________</w:t>
      </w:r>
    </w:p>
    <w:p w:rsidR="00B22F88" w:rsidRDefault="00B22F88" w:rsidP="00B22F88">
      <w:pPr>
        <w:pStyle w:val="OStablenotes"/>
        <w:spacing w:before="80" w:after="80"/>
      </w:pPr>
      <w:r w:rsidRPr="00775F96">
        <w:rPr>
          <w:szCs w:val="18"/>
          <w:vertAlign w:val="superscript"/>
        </w:rPr>
        <w:t>1</w:t>
      </w:r>
      <w:r>
        <w:rPr>
          <w:szCs w:val="18"/>
        </w:rPr>
        <w:tab/>
      </w:r>
      <w:r w:rsidRPr="00885F54">
        <w:rPr>
          <w:szCs w:val="18"/>
        </w:rPr>
        <w:t>Includes</w:t>
      </w:r>
      <w:r>
        <w:t xml:space="preserve"> interest earned on these revenues before they are distributed.</w:t>
      </w:r>
    </w:p>
    <w:p w:rsidR="00B22F88" w:rsidRDefault="00B22F88" w:rsidP="00B22F88">
      <w:pPr>
        <w:pStyle w:val="OStablenotes"/>
        <w:spacing w:before="80" w:after="80"/>
      </w:pPr>
      <w:r>
        <w:rPr>
          <w:vertAlign w:val="superscript"/>
        </w:rPr>
        <w:t>2</w:t>
      </w:r>
      <w:r>
        <w:tab/>
      </w:r>
      <w:r w:rsidRPr="00885F54">
        <w:rPr>
          <w:szCs w:val="18"/>
        </w:rPr>
        <w:t>Also</w:t>
      </w:r>
      <w:r>
        <w:t xml:space="preserve"> includes timber sales.</w:t>
      </w:r>
    </w:p>
    <w:p w:rsidR="00B22F88" w:rsidRDefault="00B22F88" w:rsidP="00B22F88">
      <w:pPr>
        <w:pStyle w:val="OStablenotes"/>
        <w:spacing w:before="80" w:after="80"/>
      </w:pPr>
      <w:r>
        <w:rPr>
          <w:vertAlign w:val="superscript"/>
        </w:rPr>
        <w:t>3</w:t>
      </w:r>
      <w:r>
        <w:tab/>
        <w:t xml:space="preserve">See also the table under </w:t>
      </w:r>
      <w:r w:rsidR="00A06786">
        <w:t>“</w:t>
      </w:r>
      <w:r>
        <w:t>Assistance Fund Details</w:t>
      </w:r>
      <w:r w:rsidR="00A06786">
        <w:t>”</w:t>
      </w:r>
      <w:r>
        <w:t xml:space="preserve"> in this Appendix.  The variance for the entries in such table for </w:t>
      </w:r>
      <w:r w:rsidR="00A06786">
        <w:t>“</w:t>
      </w:r>
      <w:r>
        <w:t>Rent and Royalties from State Land Board</w:t>
      </w:r>
      <w:r w:rsidR="00A06786">
        <w:t>”</w:t>
      </w:r>
      <w:r>
        <w:t xml:space="preserve"> and the amounts shown above is attributable to the fact that the State Land Board records the numbers above on an accrual basis while the Colorado Department of Education records the entries in the Assistance Fund on a cash basis.</w:t>
      </w:r>
    </w:p>
    <w:p w:rsidR="00B22F88" w:rsidRDefault="00B22F88" w:rsidP="00B22F88">
      <w:pPr>
        <w:pStyle w:val="OStablesources"/>
        <w:spacing w:before="80" w:after="160"/>
      </w:pPr>
      <w:r>
        <w:t>Source:</w:t>
      </w:r>
      <w:r>
        <w:tab/>
        <w:t>State Land Board</w:t>
      </w:r>
      <w:r w:rsidR="004B2DCB">
        <w:t>.</w:t>
      </w:r>
    </w:p>
    <w:p w:rsidR="006123A1" w:rsidRDefault="006123A1" w:rsidP="00B22F88">
      <w:pPr>
        <w:pStyle w:val="BodyText1"/>
      </w:pPr>
      <w:r>
        <w:t>Revenues from Rental Income and Royalties are primarily derived from non-renewable resources.  In addition to the prices of such resources, the sustainability and consistency of such revenues annually is dependent upon the management of such resources by the State Land Board, including adequate diversification of properties and the timely reinvestment of Public School Lands Income in additional income-producing property.</w:t>
      </w:r>
    </w:p>
    <w:p w:rsidR="00F43307" w:rsidRPr="00405D5E" w:rsidRDefault="00F43307" w:rsidP="00F43307">
      <w:pPr>
        <w:pStyle w:val="BodyText1"/>
        <w:rPr>
          <w:b/>
        </w:rPr>
      </w:pPr>
      <w:r>
        <w:t xml:space="preserve">The State Land Board experienced large increases in annual revenue in Fiscal Years 2012-13 through 2014-15 due almost entirely to the shale oil (Niobrara) boom.  During this period the State Land Board benefited from historically high oil and natural gas lease auction bonuses, over 20% increase in oil and natural gas production on State trust land and high Colorado oil and natural gas prices.  Negative pressures have impacted the revenue generated from Public School Lands in recent years.  Oil and natural gas production has declined due to reduced new well starts and production volume that drops off significantly as wells age (production from horizontal wells declines by around 85% after the first year).  Producers have not been as optimistic about developing new capacity as they were a few years ago, causing bonus payments to also decline.  Though the State Land Board controls neither the price nor the demand for the commodity, the agency anticipates this trend to continue. </w:t>
      </w:r>
    </w:p>
    <w:p w:rsidR="00F43307" w:rsidRPr="00405D5E" w:rsidRDefault="00F43307" w:rsidP="00F43307">
      <w:pPr>
        <w:pStyle w:val="BodyText1"/>
        <w:rPr>
          <w:b/>
        </w:rPr>
      </w:pPr>
      <w:r>
        <w:t>In the next year, the State Land Board expects oil and natural gas lease bonus revenue will further d</w:t>
      </w:r>
      <w:r w:rsidR="00530C6A">
        <w:t>ecline from $1.5 million to $0.2</w:t>
      </w:r>
      <w:r>
        <w:t xml:space="preserve"> million, oil royalty </w:t>
      </w:r>
      <w:r w:rsidR="00530C6A">
        <w:t>revenues will decline from $86.1 million to $47</w:t>
      </w:r>
      <w:r>
        <w:t>.</w:t>
      </w:r>
      <w:r w:rsidR="00530C6A">
        <w:t>3</w:t>
      </w:r>
      <w:r>
        <w:t xml:space="preserve"> million and natural gas royalty revenues will decline from $2</w:t>
      </w:r>
      <w:r w:rsidR="00530C6A">
        <w:t>0</w:t>
      </w:r>
      <w:r>
        <w:t>.</w:t>
      </w:r>
      <w:r w:rsidR="00530C6A">
        <w:t>4 million to $1</w:t>
      </w:r>
      <w:r>
        <w:t>2.3 million.  The volatility of extractive markets underscores the agency’s strategic efforts to diversify its revenue streams.  In fact, the agency’s decline in revenues from extractive resources was partially offset by the continued steady increase in recurring revenue streams, such as commercial real estate, renewable energy leasing and agriculture grazing leases.  Additionally, the interest generated from the Public School Permanent Fund has also experienced a steady increase.  The corpus of the Public School Permanent Fund, a cash endowment fund that is managed by the State T</w:t>
      </w:r>
      <w:r w:rsidR="00BC4C20">
        <w:t>reasurer’s office, reached $1.26</w:t>
      </w:r>
      <w:r>
        <w:t xml:space="preserve"> billion, or </w:t>
      </w:r>
      <w:r w:rsidR="00BC4C20">
        <w:t>more than</w:t>
      </w:r>
      <w:r>
        <w:t xml:space="preserve"> double the 2007 corpus.  The corpus of the Public School Permanent Fund is inviolable, while the interest generated by the Fund is used to support K-12 education annually.  The agency forecasts continued growth in both recurring revenue streams and the Public School Permanent Fund over the next few years.</w:t>
      </w:r>
      <w:r w:rsidR="00405D5E">
        <w:t xml:space="preserve"> </w:t>
      </w:r>
    </w:p>
    <w:p w:rsidR="006123A1" w:rsidRPr="00405D5E" w:rsidRDefault="006123A1" w:rsidP="00B22F88">
      <w:pPr>
        <w:pStyle w:val="BodyText1"/>
        <w:rPr>
          <w:b/>
        </w:rPr>
      </w:pPr>
      <w:r>
        <w:t>Revenues of the State Land Board</w:t>
      </w:r>
      <w:r w:rsidR="00A06786">
        <w:t>’</w:t>
      </w:r>
      <w:r>
        <w:t>s School Trust, which benefit K-12 public schools both through allocations in the State</w:t>
      </w:r>
      <w:r w:rsidR="00A06786">
        <w:t>’</w:t>
      </w:r>
      <w:r>
        <w:t>s annual budget for public education and deposits to the Assist</w:t>
      </w:r>
      <w:r w:rsidR="00EC2176">
        <w:t xml:space="preserve">ance Fund </w:t>
      </w:r>
      <w:r>
        <w:t xml:space="preserve">are projected to be slightly </w:t>
      </w:r>
      <w:r w:rsidR="00EC2176">
        <w:t>weaker</w:t>
      </w:r>
      <w:r>
        <w:t xml:space="preserve"> </w:t>
      </w:r>
      <w:r w:rsidR="00BC4C20">
        <w:t>for Fiscal Year 2020-21</w:t>
      </w:r>
      <w:r w:rsidR="0057116F">
        <w:t xml:space="preserve"> </w:t>
      </w:r>
      <w:r>
        <w:t xml:space="preserve">than </w:t>
      </w:r>
      <w:r w:rsidR="00E874A1">
        <w:t>they were for Fiscal Year 2019-20</w:t>
      </w:r>
      <w:r>
        <w:t>.</w:t>
      </w:r>
      <w:r w:rsidR="00EC2176">
        <w:t xml:space="preserve">  The State Land Board anticipates additional decline in Fiscal Yea</w:t>
      </w:r>
      <w:r w:rsidR="00BC4C20">
        <w:t>r 2021-22</w:t>
      </w:r>
      <w:r w:rsidR="00EC2176">
        <w:t xml:space="preserve"> despite increases in non-oil and gas (</w:t>
      </w:r>
      <w:r w:rsidR="00EC2176" w:rsidRPr="00EC2176">
        <w:rPr>
          <w:i/>
        </w:rPr>
        <w:t>i.e.</w:t>
      </w:r>
      <w:r w:rsidR="00EC2176">
        <w:t>, recurring) School Trust revenue.</w:t>
      </w:r>
      <w:r w:rsidR="00405D5E">
        <w:t xml:space="preserve"> </w:t>
      </w:r>
    </w:p>
    <w:p w:rsidR="006123A1" w:rsidRDefault="006123A1" w:rsidP="00B22F88">
      <w:pPr>
        <w:pStyle w:val="Subtitle"/>
      </w:pPr>
      <w:r>
        <w:t>State Lottery Proceeds</w:t>
      </w:r>
    </w:p>
    <w:p w:rsidR="006123A1" w:rsidRDefault="006123A1" w:rsidP="00B22F88">
      <w:pPr>
        <w:pStyle w:val="BodyText1"/>
      </w:pPr>
      <w:r>
        <w:t xml:space="preserve">Article XXVII of the State Constitution (the </w:t>
      </w:r>
      <w:r w:rsidR="00A06786">
        <w:t>“</w:t>
      </w:r>
      <w:r>
        <w:t>Lottery Amendment</w:t>
      </w:r>
      <w:r w:rsidR="00A06786">
        <w:t>”</w:t>
      </w:r>
      <w:r>
        <w:t xml:space="preserve">) created the Great Outdoors Colorado Program which allocates the </w:t>
      </w:r>
      <w:r w:rsidR="00A06786">
        <w:t>“</w:t>
      </w:r>
      <w:r>
        <w:t>Net Proceeds</w:t>
      </w:r>
      <w:r w:rsidR="00A06786">
        <w:t>”</w:t>
      </w:r>
      <w:r>
        <w:t xml:space="preserve"> of State-supervised lottery games to various purposes.  Net Proceeds are defined as all proceeds from all programs including Lotto and every other State-supervised lottery game operated under the authority of the Lottery Amendment less the cost of prizes and expenses of the State Lottery Division and other operational expenses of the State lottery.  The Lottery Amendment currently requires that in every quarter of the State</w:t>
      </w:r>
      <w:r w:rsidR="00A06786">
        <w:t>’</w:t>
      </w:r>
      <w:r>
        <w:t xml:space="preserve">s Fiscal Year, an amount equal to 50% of the Net Proceeds exceeding $53.1 million (as adjusted each year since Fiscal Year 2007-08 for changes from the 1992 Consumer Price Index-Denver) is to be deposited to the Assistance Fund (the </w:t>
      </w:r>
      <w:r w:rsidR="00A06786">
        <w:t>“</w:t>
      </w:r>
      <w:r>
        <w:t>BEST Lottery Share</w:t>
      </w:r>
      <w:r w:rsidR="00A06786">
        <w:t>”</w:t>
      </w:r>
      <w:r>
        <w:t>).</w:t>
      </w:r>
    </w:p>
    <w:p w:rsidR="006123A1" w:rsidRPr="00DD58BD" w:rsidRDefault="006123A1" w:rsidP="00B22F88">
      <w:pPr>
        <w:pStyle w:val="BodyText1"/>
        <w:rPr>
          <w:b/>
          <w:u w:val="single"/>
        </w:rPr>
      </w:pPr>
      <w:r>
        <w:t xml:space="preserve">The BEST Lottery Share deposits to the Assistance Fund in each of the last five Fiscal Years are set forth in the following table.  The cost of randomly-awarded prizes and the operational expenses of the State lottery vary significantly from year to year, so the amount of Net Proceeds available for BEST Lottery Share deposits has been and may remain volatile.  There is no certainty that the BEST Lottery Share will exceed or meet current levels.  See also </w:t>
      </w:r>
      <w:r w:rsidR="00A06786">
        <w:t>“</w:t>
      </w:r>
      <w:r>
        <w:t>Assistance Fund Details</w:t>
      </w:r>
      <w:r w:rsidR="00A06786">
        <w:t>”</w:t>
      </w:r>
      <w:r>
        <w:t xml:space="preserve"> hereafter in this Appendix.</w:t>
      </w:r>
      <w:r w:rsidR="00DD58BD">
        <w:t xml:space="preserve"> </w:t>
      </w:r>
    </w:p>
    <w:p w:rsidR="00B22F88" w:rsidRPr="004D72DD" w:rsidRDefault="00B22F88" w:rsidP="00B22F88">
      <w:pPr>
        <w:pStyle w:val="OSTableTitle"/>
        <w:rPr>
          <w:color w:val="auto"/>
        </w:rPr>
      </w:pPr>
      <w:r w:rsidRPr="004D72DD">
        <w:rPr>
          <w:color w:val="auto"/>
        </w:rPr>
        <w:t>BEST Lottery Share</w:t>
      </w:r>
      <w:r w:rsidRPr="004D72DD">
        <w:rPr>
          <w:color w:val="auto"/>
          <w:vertAlign w:val="superscript"/>
        </w:rPr>
        <w:t>1</w:t>
      </w:r>
    </w:p>
    <w:tbl>
      <w:tblPr>
        <w:tblW w:w="0" w:type="auto"/>
        <w:jc w:val="center"/>
        <w:tblCellMar>
          <w:left w:w="0" w:type="dxa"/>
          <w:right w:w="0" w:type="dxa"/>
        </w:tblCellMar>
        <w:tblLook w:val="01E0" w:firstRow="1" w:lastRow="1" w:firstColumn="1" w:lastColumn="1" w:noHBand="0" w:noVBand="0"/>
      </w:tblPr>
      <w:tblGrid>
        <w:gridCol w:w="2016"/>
        <w:gridCol w:w="1224"/>
        <w:gridCol w:w="1224"/>
        <w:gridCol w:w="1224"/>
        <w:gridCol w:w="1224"/>
        <w:gridCol w:w="1224"/>
        <w:gridCol w:w="1224"/>
      </w:tblGrid>
      <w:tr w:rsidR="00D03900" w:rsidRPr="004D72DD" w:rsidTr="00D70BE6">
        <w:trPr>
          <w:jc w:val="center"/>
        </w:trPr>
        <w:tc>
          <w:tcPr>
            <w:tcW w:w="2016" w:type="dxa"/>
            <w:shd w:val="clear" w:color="auto" w:fill="auto"/>
          </w:tcPr>
          <w:p w:rsidR="00D03900" w:rsidRPr="004D72DD" w:rsidRDefault="00D03900" w:rsidP="00C31F62">
            <w:pPr>
              <w:spacing w:after="80"/>
              <w:rPr>
                <w:sz w:val="20"/>
                <w:szCs w:val="20"/>
              </w:rPr>
            </w:pPr>
          </w:p>
        </w:tc>
        <w:tc>
          <w:tcPr>
            <w:tcW w:w="1224" w:type="dxa"/>
            <w:vAlign w:val="bottom"/>
          </w:tcPr>
          <w:p w:rsidR="00D03900" w:rsidRPr="004D72DD" w:rsidRDefault="00D03900" w:rsidP="00C31F62">
            <w:pPr>
              <w:spacing w:after="80"/>
              <w:jc w:val="center"/>
              <w:rPr>
                <w:b/>
                <w:sz w:val="20"/>
                <w:szCs w:val="20"/>
              </w:rPr>
            </w:pPr>
            <w:r w:rsidRPr="004D72DD">
              <w:rPr>
                <w:b/>
                <w:sz w:val="20"/>
                <w:szCs w:val="20"/>
              </w:rPr>
              <w:t>Fiscal Year</w:t>
            </w:r>
            <w:r w:rsidRPr="004D72DD">
              <w:rPr>
                <w:b/>
                <w:sz w:val="20"/>
                <w:szCs w:val="20"/>
              </w:rPr>
              <w:br/>
            </w:r>
            <w:r w:rsidRPr="004D72DD">
              <w:rPr>
                <w:b/>
                <w:sz w:val="20"/>
                <w:szCs w:val="20"/>
                <w:u w:val="single"/>
              </w:rPr>
              <w:t>2014-15</w:t>
            </w:r>
          </w:p>
        </w:tc>
        <w:tc>
          <w:tcPr>
            <w:tcW w:w="1224" w:type="dxa"/>
            <w:vAlign w:val="bottom"/>
          </w:tcPr>
          <w:p w:rsidR="00D03900" w:rsidRPr="004D72DD" w:rsidRDefault="00D03900" w:rsidP="00C31F62">
            <w:pPr>
              <w:spacing w:after="80"/>
              <w:jc w:val="center"/>
              <w:rPr>
                <w:b/>
                <w:sz w:val="20"/>
                <w:szCs w:val="20"/>
              </w:rPr>
            </w:pPr>
            <w:r w:rsidRPr="004D72DD">
              <w:rPr>
                <w:b/>
                <w:sz w:val="20"/>
                <w:szCs w:val="20"/>
              </w:rPr>
              <w:t>Fiscal Year</w:t>
            </w:r>
            <w:r w:rsidRPr="004D72DD">
              <w:rPr>
                <w:b/>
                <w:sz w:val="20"/>
                <w:szCs w:val="20"/>
              </w:rPr>
              <w:br/>
            </w:r>
            <w:r w:rsidRPr="004D72DD">
              <w:rPr>
                <w:b/>
                <w:sz w:val="20"/>
                <w:szCs w:val="20"/>
                <w:u w:val="single"/>
              </w:rPr>
              <w:t>2015-16</w:t>
            </w:r>
          </w:p>
        </w:tc>
        <w:tc>
          <w:tcPr>
            <w:tcW w:w="1224" w:type="dxa"/>
            <w:vAlign w:val="bottom"/>
          </w:tcPr>
          <w:p w:rsidR="00D03900" w:rsidRPr="004D72DD" w:rsidRDefault="00D03900" w:rsidP="00C31F62">
            <w:pPr>
              <w:spacing w:after="80"/>
              <w:jc w:val="center"/>
              <w:rPr>
                <w:b/>
                <w:sz w:val="20"/>
                <w:szCs w:val="20"/>
              </w:rPr>
            </w:pPr>
            <w:r w:rsidRPr="004D72DD">
              <w:rPr>
                <w:b/>
                <w:sz w:val="20"/>
                <w:szCs w:val="20"/>
              </w:rPr>
              <w:t>Fiscal Year</w:t>
            </w:r>
            <w:r w:rsidRPr="004D72DD">
              <w:rPr>
                <w:b/>
                <w:sz w:val="20"/>
                <w:szCs w:val="20"/>
              </w:rPr>
              <w:br/>
            </w:r>
            <w:r w:rsidRPr="004D72DD">
              <w:rPr>
                <w:b/>
                <w:sz w:val="20"/>
                <w:szCs w:val="20"/>
                <w:u w:val="single"/>
              </w:rPr>
              <w:t>2016-17</w:t>
            </w:r>
          </w:p>
        </w:tc>
        <w:tc>
          <w:tcPr>
            <w:tcW w:w="1224" w:type="dxa"/>
          </w:tcPr>
          <w:p w:rsidR="00D03900" w:rsidRPr="004D72DD" w:rsidRDefault="00D03900" w:rsidP="00C31F62">
            <w:pPr>
              <w:spacing w:after="80"/>
              <w:jc w:val="center"/>
              <w:rPr>
                <w:b/>
                <w:sz w:val="20"/>
                <w:szCs w:val="20"/>
              </w:rPr>
            </w:pPr>
            <w:r w:rsidRPr="004D72DD">
              <w:rPr>
                <w:b/>
                <w:sz w:val="20"/>
                <w:szCs w:val="20"/>
              </w:rPr>
              <w:t>Fiscal Year</w:t>
            </w:r>
            <w:r w:rsidRPr="004D72DD">
              <w:rPr>
                <w:b/>
                <w:sz w:val="20"/>
                <w:szCs w:val="20"/>
              </w:rPr>
              <w:br/>
            </w:r>
            <w:r w:rsidRPr="004D72DD">
              <w:rPr>
                <w:b/>
                <w:sz w:val="20"/>
                <w:szCs w:val="20"/>
                <w:u w:val="single"/>
              </w:rPr>
              <w:t>2017-18</w:t>
            </w:r>
          </w:p>
        </w:tc>
        <w:tc>
          <w:tcPr>
            <w:tcW w:w="1224" w:type="dxa"/>
          </w:tcPr>
          <w:p w:rsidR="00D03900" w:rsidRPr="004D72DD" w:rsidRDefault="00D03900" w:rsidP="00F150AE">
            <w:pPr>
              <w:spacing w:after="80"/>
              <w:jc w:val="center"/>
              <w:rPr>
                <w:b/>
                <w:sz w:val="20"/>
                <w:szCs w:val="20"/>
              </w:rPr>
            </w:pPr>
            <w:r w:rsidRPr="004D72DD">
              <w:rPr>
                <w:b/>
                <w:sz w:val="20"/>
                <w:szCs w:val="20"/>
              </w:rPr>
              <w:t>Fiscal Year</w:t>
            </w:r>
            <w:r w:rsidRPr="004D72DD">
              <w:rPr>
                <w:b/>
                <w:sz w:val="20"/>
                <w:szCs w:val="20"/>
              </w:rPr>
              <w:br/>
            </w:r>
            <w:r w:rsidRPr="004D72DD">
              <w:rPr>
                <w:b/>
                <w:sz w:val="20"/>
                <w:szCs w:val="20"/>
                <w:u w:val="single"/>
              </w:rPr>
              <w:t>201</w:t>
            </w:r>
            <w:r>
              <w:rPr>
                <w:b/>
                <w:sz w:val="20"/>
                <w:szCs w:val="20"/>
                <w:u w:val="single"/>
              </w:rPr>
              <w:t>8</w:t>
            </w:r>
            <w:r w:rsidRPr="004D72DD">
              <w:rPr>
                <w:b/>
                <w:sz w:val="20"/>
                <w:szCs w:val="20"/>
                <w:u w:val="single"/>
              </w:rPr>
              <w:t>-1</w:t>
            </w:r>
            <w:r>
              <w:rPr>
                <w:b/>
                <w:sz w:val="20"/>
                <w:szCs w:val="20"/>
                <w:u w:val="single"/>
              </w:rPr>
              <w:t>9</w:t>
            </w:r>
          </w:p>
        </w:tc>
        <w:tc>
          <w:tcPr>
            <w:tcW w:w="1224" w:type="dxa"/>
          </w:tcPr>
          <w:p w:rsidR="00D03900" w:rsidRPr="004D72DD" w:rsidRDefault="00D03900" w:rsidP="00D03900">
            <w:pPr>
              <w:spacing w:after="80"/>
              <w:jc w:val="center"/>
              <w:rPr>
                <w:b/>
                <w:sz w:val="20"/>
                <w:szCs w:val="20"/>
              </w:rPr>
            </w:pPr>
            <w:r>
              <w:rPr>
                <w:b/>
                <w:sz w:val="20"/>
                <w:szCs w:val="20"/>
              </w:rPr>
              <w:t>Fiscal Year</w:t>
            </w:r>
            <w:r>
              <w:rPr>
                <w:b/>
                <w:sz w:val="20"/>
                <w:szCs w:val="20"/>
              </w:rPr>
              <w:br/>
            </w:r>
            <w:r w:rsidRPr="003439F8">
              <w:rPr>
                <w:b/>
                <w:sz w:val="20"/>
                <w:szCs w:val="20"/>
                <w:u w:val="single"/>
              </w:rPr>
              <w:t>2019-20</w:t>
            </w:r>
          </w:p>
        </w:tc>
      </w:tr>
      <w:tr w:rsidR="00D03900" w:rsidRPr="004D72DD" w:rsidTr="00D70BE6">
        <w:trPr>
          <w:jc w:val="center"/>
        </w:trPr>
        <w:tc>
          <w:tcPr>
            <w:tcW w:w="2016" w:type="dxa"/>
            <w:shd w:val="clear" w:color="auto" w:fill="auto"/>
          </w:tcPr>
          <w:p w:rsidR="00D03900" w:rsidRPr="004D72DD" w:rsidRDefault="00D03900" w:rsidP="00C31F62">
            <w:pPr>
              <w:rPr>
                <w:sz w:val="20"/>
                <w:szCs w:val="20"/>
              </w:rPr>
            </w:pPr>
            <w:r w:rsidRPr="004D72DD">
              <w:rPr>
                <w:sz w:val="20"/>
                <w:szCs w:val="20"/>
              </w:rPr>
              <w:t>BEST Lottery Share</w:t>
            </w:r>
          </w:p>
        </w:tc>
        <w:tc>
          <w:tcPr>
            <w:tcW w:w="1224" w:type="dxa"/>
          </w:tcPr>
          <w:p w:rsidR="00D03900" w:rsidRPr="004D72DD" w:rsidRDefault="00D03900" w:rsidP="00C31F62">
            <w:pPr>
              <w:jc w:val="center"/>
              <w:rPr>
                <w:sz w:val="20"/>
                <w:szCs w:val="20"/>
              </w:rPr>
            </w:pPr>
            <w:r>
              <w:rPr>
                <w:sz w:val="20"/>
                <w:szCs w:val="20"/>
              </w:rPr>
              <w:t>$1,997,456</w:t>
            </w:r>
          </w:p>
        </w:tc>
        <w:tc>
          <w:tcPr>
            <w:tcW w:w="1224" w:type="dxa"/>
          </w:tcPr>
          <w:p w:rsidR="00D03900" w:rsidRPr="004D72DD" w:rsidRDefault="00D03900" w:rsidP="00C31F62">
            <w:pPr>
              <w:jc w:val="center"/>
              <w:rPr>
                <w:sz w:val="20"/>
                <w:szCs w:val="20"/>
              </w:rPr>
            </w:pPr>
            <w:r>
              <w:rPr>
                <w:sz w:val="20"/>
                <w:szCs w:val="20"/>
              </w:rPr>
              <w:t>$8,070,499</w:t>
            </w:r>
          </w:p>
        </w:tc>
        <w:tc>
          <w:tcPr>
            <w:tcW w:w="1224" w:type="dxa"/>
          </w:tcPr>
          <w:p w:rsidR="00D03900" w:rsidRPr="004D72DD" w:rsidRDefault="00D03900" w:rsidP="00C31F62">
            <w:pPr>
              <w:jc w:val="center"/>
              <w:rPr>
                <w:sz w:val="20"/>
                <w:szCs w:val="20"/>
              </w:rPr>
            </w:pPr>
            <w:r>
              <w:rPr>
                <w:sz w:val="20"/>
                <w:szCs w:val="20"/>
              </w:rPr>
              <w:t>$2,273,562</w:t>
            </w:r>
          </w:p>
        </w:tc>
        <w:tc>
          <w:tcPr>
            <w:tcW w:w="1224" w:type="dxa"/>
          </w:tcPr>
          <w:p w:rsidR="00D03900" w:rsidRPr="004D72DD" w:rsidRDefault="00D03900" w:rsidP="0057116F">
            <w:pPr>
              <w:jc w:val="center"/>
              <w:rPr>
                <w:sz w:val="20"/>
                <w:szCs w:val="20"/>
              </w:rPr>
            </w:pPr>
            <w:r>
              <w:rPr>
                <w:sz w:val="20"/>
                <w:szCs w:val="20"/>
              </w:rPr>
              <w:t>$4,117,403</w:t>
            </w:r>
          </w:p>
        </w:tc>
        <w:tc>
          <w:tcPr>
            <w:tcW w:w="1224" w:type="dxa"/>
          </w:tcPr>
          <w:p w:rsidR="00D03900" w:rsidRDefault="00D03900" w:rsidP="0057116F">
            <w:pPr>
              <w:jc w:val="center"/>
              <w:rPr>
                <w:sz w:val="20"/>
                <w:szCs w:val="20"/>
              </w:rPr>
            </w:pPr>
            <w:r>
              <w:rPr>
                <w:sz w:val="20"/>
                <w:szCs w:val="20"/>
              </w:rPr>
              <w:t>$14,736,143</w:t>
            </w:r>
            <w:r w:rsidRPr="00F150AE">
              <w:rPr>
                <w:sz w:val="20"/>
                <w:szCs w:val="20"/>
                <w:vertAlign w:val="superscript"/>
              </w:rPr>
              <w:t>2</w:t>
            </w:r>
          </w:p>
        </w:tc>
        <w:tc>
          <w:tcPr>
            <w:tcW w:w="1224" w:type="dxa"/>
          </w:tcPr>
          <w:p w:rsidR="00D03900" w:rsidRDefault="00D03900" w:rsidP="0057116F">
            <w:pPr>
              <w:jc w:val="center"/>
              <w:rPr>
                <w:sz w:val="20"/>
                <w:szCs w:val="20"/>
              </w:rPr>
            </w:pPr>
            <w:r>
              <w:rPr>
                <w:sz w:val="20"/>
                <w:szCs w:val="20"/>
              </w:rPr>
              <w:t>$847,978</w:t>
            </w:r>
            <w:r w:rsidR="009352A0" w:rsidRPr="009352A0">
              <w:rPr>
                <w:sz w:val="20"/>
                <w:szCs w:val="20"/>
                <w:vertAlign w:val="superscript"/>
              </w:rPr>
              <w:t>3</w:t>
            </w:r>
          </w:p>
        </w:tc>
      </w:tr>
    </w:tbl>
    <w:p w:rsidR="00520E5D" w:rsidRPr="008E459C" w:rsidRDefault="00520E5D" w:rsidP="00520E5D">
      <w:pPr>
        <w:pStyle w:val="OStablenotes"/>
        <w:keepNext w:val="0"/>
        <w:spacing w:before="80" w:after="0"/>
        <w:rPr>
          <w:spacing w:val="-3"/>
        </w:rPr>
      </w:pPr>
      <w:r>
        <w:rPr>
          <w:spacing w:val="-3"/>
        </w:rPr>
        <w:t>________________________</w:t>
      </w:r>
    </w:p>
    <w:p w:rsidR="00B22F88" w:rsidRDefault="00B22F88" w:rsidP="00B22F88">
      <w:pPr>
        <w:pStyle w:val="OStablenotes"/>
        <w:spacing w:before="80" w:after="80"/>
        <w:rPr>
          <w:color w:val="auto"/>
        </w:rPr>
      </w:pPr>
      <w:r w:rsidRPr="004D72DD">
        <w:rPr>
          <w:color w:val="auto"/>
          <w:vertAlign w:val="superscript"/>
        </w:rPr>
        <w:t>1</w:t>
      </w:r>
      <w:r w:rsidRPr="004D72DD">
        <w:rPr>
          <w:color w:val="auto"/>
        </w:rPr>
        <w:tab/>
        <w:t xml:space="preserve">Amounts reflected above were generated in the prior Fiscal Years, received in the Fiscal Year as shown and deposited in the </w:t>
      </w:r>
      <w:r w:rsidRPr="004D72DD">
        <w:rPr>
          <w:color w:val="auto"/>
          <w:szCs w:val="18"/>
        </w:rPr>
        <w:t>Assistance</w:t>
      </w:r>
      <w:r w:rsidRPr="004D72DD">
        <w:rPr>
          <w:color w:val="auto"/>
        </w:rPr>
        <w:t xml:space="preserve"> Fund.</w:t>
      </w:r>
    </w:p>
    <w:p w:rsidR="00F150AE" w:rsidRDefault="00F150AE" w:rsidP="00B22F88">
      <w:pPr>
        <w:pStyle w:val="OStablenotes"/>
        <w:spacing w:before="80" w:after="80"/>
        <w:rPr>
          <w:color w:val="auto"/>
        </w:rPr>
      </w:pPr>
      <w:r w:rsidRPr="00F150AE">
        <w:rPr>
          <w:color w:val="auto"/>
          <w:vertAlign w:val="superscript"/>
        </w:rPr>
        <w:t>2</w:t>
      </w:r>
      <w:r>
        <w:rPr>
          <w:color w:val="auto"/>
        </w:rPr>
        <w:tab/>
      </w:r>
      <w:r w:rsidRPr="00F150AE">
        <w:rPr>
          <w:color w:val="auto"/>
        </w:rPr>
        <w:t>The State Lottery Division attributes the jump in sales in Fiscal Year 2018-19 to the launched a new $50 scratch ticket, some high jackpots in the fall of 2018 and growth in the State’s population, which typically results in more players.  See the cautionary statement in the lead-in paragraph to the table</w:t>
      </w:r>
      <w:r>
        <w:rPr>
          <w:color w:val="auto"/>
        </w:rPr>
        <w:t>.</w:t>
      </w:r>
    </w:p>
    <w:p w:rsidR="009352A0" w:rsidRPr="004D72DD" w:rsidRDefault="009352A0" w:rsidP="00B22F88">
      <w:pPr>
        <w:pStyle w:val="OStablenotes"/>
        <w:spacing w:before="80" w:after="80"/>
        <w:rPr>
          <w:color w:val="auto"/>
        </w:rPr>
      </w:pPr>
      <w:r w:rsidRPr="009352A0">
        <w:rPr>
          <w:color w:val="auto"/>
          <w:vertAlign w:val="superscript"/>
        </w:rPr>
        <w:t>3</w:t>
      </w:r>
      <w:r>
        <w:rPr>
          <w:color w:val="auto"/>
        </w:rPr>
        <w:t>.</w:t>
      </w:r>
      <w:r>
        <w:rPr>
          <w:color w:val="auto"/>
        </w:rPr>
        <w:tab/>
        <w:t>Significant decrease in lottery revenues attributable in part to lack of enormous jackpots which occurred in the prior two fiscal years and the impact of stay-at-home orders.</w:t>
      </w:r>
    </w:p>
    <w:p w:rsidR="00B22F88" w:rsidRPr="004D72DD" w:rsidRDefault="00B22F88" w:rsidP="00B22F88">
      <w:pPr>
        <w:pStyle w:val="OStablesources"/>
        <w:spacing w:before="80" w:after="160"/>
        <w:rPr>
          <w:color w:val="auto"/>
          <w:szCs w:val="16"/>
        </w:rPr>
      </w:pPr>
      <w:r w:rsidRPr="004D72DD">
        <w:rPr>
          <w:color w:val="auto"/>
          <w:szCs w:val="16"/>
        </w:rPr>
        <w:t>Source:</w:t>
      </w:r>
      <w:r w:rsidRPr="004D72DD">
        <w:rPr>
          <w:color w:val="auto"/>
          <w:szCs w:val="16"/>
        </w:rPr>
        <w:tab/>
        <w:t>Colorado Department of Education</w:t>
      </w:r>
      <w:r w:rsidR="004B2DCB">
        <w:rPr>
          <w:color w:val="auto"/>
          <w:szCs w:val="16"/>
        </w:rPr>
        <w:t>.</w:t>
      </w:r>
    </w:p>
    <w:p w:rsidR="006123A1" w:rsidRDefault="006123A1" w:rsidP="00B22F88">
      <w:pPr>
        <w:pStyle w:val="Subtitle"/>
      </w:pPr>
      <w:r>
        <w:t xml:space="preserve">Marijuana Excise Tax Revenues </w:t>
      </w:r>
    </w:p>
    <w:p w:rsidR="006123A1" w:rsidRPr="00612FA5" w:rsidRDefault="006123A1" w:rsidP="00B22F88">
      <w:pPr>
        <w:pStyle w:val="BodyText1"/>
        <w:rPr>
          <w:b/>
        </w:rPr>
      </w:pPr>
      <w:r>
        <w:t>On November 6, 2012, Colorado voters approved an initiated State constitutional measure known as Amendment 64 which provides for the legalization of marijuana use for persons 21 years of age or older and the taxation and regulation of marijuana in a manner similar to alcohol.  Amendment 64 directs the General Assembly to enact an excise tax upon certain marijuana transactions prior to January 1, 2017, at a rate to be determined by the General Assembly, but not to exceed 15%.  Amendment 64 requires the first $40 million in revenues received annually from such excise tax to be credited to the Assistance Fund.  Proposition AA, a legislatively referred State statute approved by the State</w:t>
      </w:r>
      <w:r w:rsidR="00A06786">
        <w:t>’</w:t>
      </w:r>
      <w:r>
        <w:t xml:space="preserve">s electorate on November 5, 2013, imposes an excise tax of 15% on the first sale or transfer of retail marijuana by a medical marijuana cultivation facility.  The excise tax became effective on January 1, 2014, and can be subsequently established at a rate lower than 15% by the General Assembly and the Governor.  See also </w:t>
      </w:r>
      <w:r w:rsidR="00A06786">
        <w:t>“</w:t>
      </w:r>
      <w:r>
        <w:t>Assistance Fund Details</w:t>
      </w:r>
      <w:r w:rsidR="00A06786">
        <w:t>”</w:t>
      </w:r>
      <w:r>
        <w:t xml:space="preserve"> hereafter in this Appendix.  HB 18-1070 increased the amount of revenues received annually from such excise tax credited to the Assistance Fund for Fiscal Year 2018-19 and thereafter to the greater of 90% or the first $40 million of such revenues</w:t>
      </w:r>
      <w:r w:rsidR="00CC1EE6" w:rsidRPr="00CC1EE6">
        <w:t>, and HB 19-1055 further increased the amount of revenues received annually from such excise tax credited to the Assistance Fund for Fiscal Years 2019-20 and thereafter to 100% of such revenues.  The Act also provides that for each Fiscal Year through Fiscal Year 2018-19, the State Treasurer is to credit 12.5% of such excise tax revenues credited annually to the Assistance Fund to the Charter School Facilities Assistance Account within the Assistance Fund, and that that for each Fiscal Year thereafter, the State Treasurer is to credit to such Charter School Facilities Assistance Account a percentage of the excise tax revenues credited annually to the Assistance Fund equal to the percentage of pupil enrollment, as defined in Section 22-54-103(10), C.R.S., statewide represented by pupils who were enrolled in charter schools for the prior school year</w:t>
      </w:r>
      <w:r>
        <w:t xml:space="preserve">.  </w:t>
      </w:r>
    </w:p>
    <w:p w:rsidR="00B22F88" w:rsidRPr="004D72DD" w:rsidRDefault="00B22F88" w:rsidP="00B22F88">
      <w:pPr>
        <w:pStyle w:val="BodyText"/>
        <w:keepNext/>
        <w:spacing w:after="120"/>
        <w:jc w:val="center"/>
        <w:rPr>
          <w:sz w:val="20"/>
          <w:szCs w:val="20"/>
        </w:rPr>
      </w:pPr>
      <w:r w:rsidRPr="004D72DD">
        <w:rPr>
          <w:b/>
          <w:sz w:val="20"/>
          <w:szCs w:val="20"/>
        </w:rPr>
        <w:t>Marijuana Excise Tax Revenues</w:t>
      </w: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60"/>
        <w:gridCol w:w="1440"/>
        <w:gridCol w:w="1440"/>
        <w:gridCol w:w="1440"/>
        <w:gridCol w:w="1440"/>
        <w:gridCol w:w="1440"/>
      </w:tblGrid>
      <w:tr w:rsidR="00D40372" w:rsidRPr="004D72DD" w:rsidTr="00D40372">
        <w:trPr>
          <w:jc w:val="center"/>
        </w:trPr>
        <w:tc>
          <w:tcPr>
            <w:tcW w:w="2160" w:type="dxa"/>
          </w:tcPr>
          <w:p w:rsidR="00D40372" w:rsidRPr="004D72DD" w:rsidRDefault="00D40372" w:rsidP="00C31F62">
            <w:pPr>
              <w:pStyle w:val="BodyText1"/>
              <w:keepNext/>
              <w:spacing w:after="80"/>
              <w:ind w:firstLine="0"/>
              <w:jc w:val="left"/>
              <w:rPr>
                <w:sz w:val="20"/>
                <w:szCs w:val="20"/>
              </w:rPr>
            </w:pPr>
          </w:p>
        </w:tc>
        <w:tc>
          <w:tcPr>
            <w:tcW w:w="1440" w:type="dxa"/>
          </w:tcPr>
          <w:p w:rsidR="00D40372" w:rsidRPr="004D72DD" w:rsidRDefault="00D40372" w:rsidP="00C31F62">
            <w:pPr>
              <w:pStyle w:val="BodyText1"/>
              <w:keepNext/>
              <w:spacing w:after="80"/>
              <w:ind w:firstLine="0"/>
              <w:jc w:val="center"/>
              <w:rPr>
                <w:b/>
                <w:sz w:val="20"/>
                <w:szCs w:val="20"/>
              </w:rPr>
            </w:pPr>
            <w:r w:rsidRPr="004D72DD">
              <w:rPr>
                <w:b/>
                <w:sz w:val="20"/>
                <w:szCs w:val="20"/>
              </w:rPr>
              <w:t>Fiscal Year</w:t>
            </w:r>
            <w:r w:rsidRPr="004D72DD">
              <w:rPr>
                <w:b/>
                <w:sz w:val="20"/>
                <w:szCs w:val="20"/>
              </w:rPr>
              <w:br/>
            </w:r>
            <w:r w:rsidRPr="004D72DD">
              <w:rPr>
                <w:b/>
                <w:spacing w:val="-3"/>
                <w:sz w:val="20"/>
                <w:szCs w:val="20"/>
                <w:u w:val="single"/>
              </w:rPr>
              <w:t>2015-16</w:t>
            </w:r>
          </w:p>
        </w:tc>
        <w:tc>
          <w:tcPr>
            <w:tcW w:w="1440" w:type="dxa"/>
          </w:tcPr>
          <w:p w:rsidR="00D40372" w:rsidRPr="004D72DD" w:rsidRDefault="00D40372" w:rsidP="00C31F62">
            <w:pPr>
              <w:pStyle w:val="BodyText1"/>
              <w:keepNext/>
              <w:spacing w:after="80"/>
              <w:ind w:firstLine="0"/>
              <w:jc w:val="center"/>
              <w:rPr>
                <w:b/>
                <w:sz w:val="20"/>
                <w:szCs w:val="20"/>
              </w:rPr>
            </w:pPr>
            <w:r w:rsidRPr="004D72DD">
              <w:rPr>
                <w:b/>
                <w:sz w:val="20"/>
                <w:szCs w:val="20"/>
              </w:rPr>
              <w:t>Fiscal Year</w:t>
            </w:r>
            <w:r w:rsidRPr="004D72DD">
              <w:rPr>
                <w:b/>
                <w:sz w:val="20"/>
                <w:szCs w:val="20"/>
              </w:rPr>
              <w:br/>
            </w:r>
            <w:r w:rsidRPr="004D72DD">
              <w:rPr>
                <w:b/>
                <w:spacing w:val="-3"/>
                <w:sz w:val="20"/>
                <w:szCs w:val="20"/>
                <w:u w:val="single"/>
              </w:rPr>
              <w:t>2016-17</w:t>
            </w:r>
          </w:p>
        </w:tc>
        <w:tc>
          <w:tcPr>
            <w:tcW w:w="1440" w:type="dxa"/>
          </w:tcPr>
          <w:p w:rsidR="00D40372" w:rsidRPr="004D72DD" w:rsidRDefault="00D40372" w:rsidP="00C31F62">
            <w:pPr>
              <w:pStyle w:val="BodyText1"/>
              <w:keepNext/>
              <w:spacing w:after="80"/>
              <w:ind w:firstLine="0"/>
              <w:jc w:val="center"/>
              <w:rPr>
                <w:b/>
                <w:sz w:val="20"/>
                <w:szCs w:val="20"/>
              </w:rPr>
            </w:pPr>
            <w:r w:rsidRPr="004D72DD">
              <w:rPr>
                <w:b/>
                <w:sz w:val="20"/>
                <w:szCs w:val="20"/>
              </w:rPr>
              <w:t>Fiscal Year</w:t>
            </w:r>
            <w:r w:rsidRPr="004D72DD">
              <w:rPr>
                <w:b/>
                <w:sz w:val="20"/>
                <w:szCs w:val="20"/>
              </w:rPr>
              <w:br/>
            </w:r>
            <w:r w:rsidRPr="004D72DD">
              <w:rPr>
                <w:b/>
                <w:spacing w:val="-3"/>
                <w:sz w:val="20"/>
                <w:szCs w:val="20"/>
                <w:u w:val="single"/>
              </w:rPr>
              <w:t>2017-18</w:t>
            </w:r>
          </w:p>
        </w:tc>
        <w:tc>
          <w:tcPr>
            <w:tcW w:w="1440" w:type="dxa"/>
          </w:tcPr>
          <w:p w:rsidR="00D40372" w:rsidRPr="004D72DD" w:rsidRDefault="00D40372" w:rsidP="00CC1EE6">
            <w:pPr>
              <w:pStyle w:val="BodyText1"/>
              <w:keepNext/>
              <w:spacing w:after="80"/>
              <w:ind w:firstLine="0"/>
              <w:jc w:val="center"/>
              <w:rPr>
                <w:b/>
                <w:sz w:val="20"/>
                <w:szCs w:val="20"/>
              </w:rPr>
            </w:pPr>
            <w:r w:rsidRPr="004D72DD">
              <w:rPr>
                <w:b/>
                <w:sz w:val="20"/>
                <w:szCs w:val="20"/>
              </w:rPr>
              <w:t>Fiscal Year</w:t>
            </w:r>
            <w:r w:rsidRPr="004D72DD">
              <w:rPr>
                <w:b/>
                <w:sz w:val="20"/>
                <w:szCs w:val="20"/>
              </w:rPr>
              <w:br/>
            </w:r>
            <w:r>
              <w:rPr>
                <w:b/>
                <w:spacing w:val="-3"/>
                <w:sz w:val="20"/>
                <w:szCs w:val="20"/>
                <w:u w:val="single"/>
              </w:rPr>
              <w:t>2018</w:t>
            </w:r>
            <w:r w:rsidRPr="004D72DD">
              <w:rPr>
                <w:b/>
                <w:spacing w:val="-3"/>
                <w:sz w:val="20"/>
                <w:szCs w:val="20"/>
                <w:u w:val="single"/>
              </w:rPr>
              <w:t>-1</w:t>
            </w:r>
            <w:r>
              <w:rPr>
                <w:b/>
                <w:spacing w:val="-3"/>
                <w:sz w:val="20"/>
                <w:szCs w:val="20"/>
                <w:u w:val="single"/>
              </w:rPr>
              <w:t>9</w:t>
            </w:r>
          </w:p>
        </w:tc>
        <w:tc>
          <w:tcPr>
            <w:tcW w:w="1440" w:type="dxa"/>
          </w:tcPr>
          <w:p w:rsidR="00D40372" w:rsidRPr="004D72DD" w:rsidRDefault="00D40372" w:rsidP="00CC1EE6">
            <w:pPr>
              <w:pStyle w:val="BodyText1"/>
              <w:keepNext/>
              <w:spacing w:after="80"/>
              <w:ind w:firstLine="0"/>
              <w:jc w:val="center"/>
              <w:rPr>
                <w:b/>
                <w:sz w:val="20"/>
                <w:szCs w:val="20"/>
              </w:rPr>
            </w:pPr>
            <w:r>
              <w:rPr>
                <w:b/>
                <w:sz w:val="20"/>
                <w:szCs w:val="20"/>
              </w:rPr>
              <w:t>Fiscal Year</w:t>
            </w:r>
            <w:r>
              <w:rPr>
                <w:b/>
                <w:sz w:val="20"/>
                <w:szCs w:val="20"/>
              </w:rPr>
              <w:br/>
            </w:r>
            <w:r w:rsidRPr="00D40372">
              <w:rPr>
                <w:b/>
                <w:sz w:val="20"/>
                <w:szCs w:val="20"/>
                <w:u w:val="single"/>
              </w:rPr>
              <w:t>2019-20</w:t>
            </w:r>
          </w:p>
        </w:tc>
      </w:tr>
      <w:tr w:rsidR="00D40372" w:rsidRPr="004D72DD" w:rsidTr="00D40372">
        <w:trPr>
          <w:jc w:val="center"/>
        </w:trPr>
        <w:tc>
          <w:tcPr>
            <w:tcW w:w="2160" w:type="dxa"/>
          </w:tcPr>
          <w:p w:rsidR="00D40372" w:rsidRPr="004D72DD" w:rsidRDefault="00D40372" w:rsidP="00C31F62">
            <w:pPr>
              <w:pStyle w:val="BodyText1"/>
              <w:keepNext/>
              <w:spacing w:after="0"/>
              <w:ind w:firstLine="0"/>
              <w:rPr>
                <w:sz w:val="20"/>
                <w:szCs w:val="20"/>
              </w:rPr>
            </w:pPr>
            <w:r w:rsidRPr="004D72DD">
              <w:rPr>
                <w:sz w:val="20"/>
                <w:szCs w:val="20"/>
              </w:rPr>
              <w:t>Marijuana Excise Tax</w:t>
            </w:r>
          </w:p>
        </w:tc>
        <w:tc>
          <w:tcPr>
            <w:tcW w:w="1440" w:type="dxa"/>
          </w:tcPr>
          <w:p w:rsidR="00D40372" w:rsidRPr="004D72DD" w:rsidRDefault="00D40372" w:rsidP="00C31F62">
            <w:pPr>
              <w:pStyle w:val="BodyText1"/>
              <w:keepNext/>
              <w:spacing w:after="0"/>
              <w:ind w:firstLine="0"/>
              <w:jc w:val="center"/>
              <w:rPr>
                <w:sz w:val="20"/>
                <w:szCs w:val="20"/>
              </w:rPr>
            </w:pPr>
            <w:r w:rsidRPr="004D72DD">
              <w:rPr>
                <w:sz w:val="20"/>
                <w:szCs w:val="20"/>
              </w:rPr>
              <w:t>$40,000,000</w:t>
            </w:r>
          </w:p>
        </w:tc>
        <w:tc>
          <w:tcPr>
            <w:tcW w:w="1440" w:type="dxa"/>
          </w:tcPr>
          <w:p w:rsidR="00D40372" w:rsidRPr="004D72DD" w:rsidRDefault="00D40372" w:rsidP="00C31F62">
            <w:pPr>
              <w:pStyle w:val="BodyText1"/>
              <w:keepNext/>
              <w:spacing w:after="0"/>
              <w:ind w:firstLine="0"/>
              <w:jc w:val="center"/>
              <w:rPr>
                <w:sz w:val="20"/>
                <w:szCs w:val="20"/>
              </w:rPr>
            </w:pPr>
            <w:r w:rsidRPr="004D72DD">
              <w:rPr>
                <w:sz w:val="20"/>
                <w:szCs w:val="20"/>
              </w:rPr>
              <w:t>$40,000,000</w:t>
            </w:r>
          </w:p>
        </w:tc>
        <w:tc>
          <w:tcPr>
            <w:tcW w:w="1440" w:type="dxa"/>
          </w:tcPr>
          <w:p w:rsidR="00D40372" w:rsidRPr="004D72DD" w:rsidRDefault="00D40372" w:rsidP="00C31F62">
            <w:pPr>
              <w:pStyle w:val="BodyText1"/>
              <w:keepNext/>
              <w:spacing w:after="0"/>
              <w:ind w:firstLine="0"/>
              <w:jc w:val="center"/>
              <w:rPr>
                <w:sz w:val="20"/>
                <w:szCs w:val="20"/>
              </w:rPr>
            </w:pPr>
            <w:r w:rsidRPr="004D72DD">
              <w:rPr>
                <w:sz w:val="20"/>
                <w:szCs w:val="20"/>
              </w:rPr>
              <w:t>$40,000,000</w:t>
            </w:r>
          </w:p>
        </w:tc>
        <w:tc>
          <w:tcPr>
            <w:tcW w:w="1440" w:type="dxa"/>
          </w:tcPr>
          <w:p w:rsidR="00D40372" w:rsidRPr="004D72DD" w:rsidRDefault="00D40372" w:rsidP="00C31F62">
            <w:pPr>
              <w:pStyle w:val="BodyText1"/>
              <w:keepNext/>
              <w:spacing w:after="0"/>
              <w:ind w:firstLine="0"/>
              <w:jc w:val="center"/>
              <w:rPr>
                <w:sz w:val="20"/>
                <w:szCs w:val="20"/>
              </w:rPr>
            </w:pPr>
            <w:r>
              <w:rPr>
                <w:sz w:val="20"/>
                <w:szCs w:val="20"/>
              </w:rPr>
              <w:t>$52,648,440</w:t>
            </w:r>
          </w:p>
        </w:tc>
        <w:tc>
          <w:tcPr>
            <w:tcW w:w="1440" w:type="dxa"/>
          </w:tcPr>
          <w:p w:rsidR="00D40372" w:rsidRDefault="00D40372" w:rsidP="00D40372">
            <w:pPr>
              <w:pStyle w:val="BodyText1"/>
              <w:keepNext/>
              <w:spacing w:after="0"/>
              <w:ind w:firstLine="0"/>
              <w:jc w:val="center"/>
              <w:rPr>
                <w:sz w:val="20"/>
                <w:szCs w:val="20"/>
              </w:rPr>
            </w:pPr>
            <w:r>
              <w:rPr>
                <w:sz w:val="20"/>
                <w:szCs w:val="20"/>
              </w:rPr>
              <w:t>$89,786,557</w:t>
            </w:r>
          </w:p>
        </w:tc>
      </w:tr>
    </w:tbl>
    <w:p w:rsidR="00520E5D" w:rsidRPr="008E459C" w:rsidRDefault="00520E5D" w:rsidP="00520E5D">
      <w:pPr>
        <w:pStyle w:val="OStablenotes"/>
        <w:keepNext w:val="0"/>
        <w:spacing w:before="80" w:after="0"/>
        <w:rPr>
          <w:spacing w:val="-3"/>
        </w:rPr>
      </w:pPr>
      <w:r>
        <w:rPr>
          <w:spacing w:val="-3"/>
        </w:rPr>
        <w:t>________________________</w:t>
      </w:r>
    </w:p>
    <w:p w:rsidR="00B22F88" w:rsidRPr="004D72DD" w:rsidRDefault="00B22F88" w:rsidP="00B22F88">
      <w:pPr>
        <w:pStyle w:val="OStablesources"/>
        <w:spacing w:before="80"/>
        <w:rPr>
          <w:color w:val="auto"/>
          <w:szCs w:val="16"/>
        </w:rPr>
      </w:pPr>
      <w:r w:rsidRPr="004D72DD">
        <w:rPr>
          <w:color w:val="auto"/>
          <w:szCs w:val="16"/>
        </w:rPr>
        <w:t>Source:</w:t>
      </w:r>
      <w:r w:rsidRPr="004D72DD">
        <w:rPr>
          <w:color w:val="auto"/>
          <w:szCs w:val="16"/>
        </w:rPr>
        <w:tab/>
        <w:t>Colorado Department of Education</w:t>
      </w:r>
      <w:r w:rsidR="004B2DCB">
        <w:rPr>
          <w:color w:val="auto"/>
          <w:szCs w:val="16"/>
        </w:rPr>
        <w:t>.</w:t>
      </w:r>
    </w:p>
    <w:p w:rsidR="006123A1" w:rsidRDefault="006123A1" w:rsidP="00B22F88">
      <w:pPr>
        <w:pStyle w:val="Subtitle"/>
      </w:pPr>
      <w:r>
        <w:t>Additional Marijuana Revenues in Fiscal Year 2015-16</w:t>
      </w:r>
    </w:p>
    <w:p w:rsidR="006123A1" w:rsidRDefault="006123A1" w:rsidP="00B22F88">
      <w:pPr>
        <w:pStyle w:val="BodyText1"/>
      </w:pPr>
      <w:r>
        <w:t xml:space="preserve">An additional one-time transfer of $40 million was made to the Assistance Fund in Fiscal Year 2015-16 related to Proposition BB.  The passage of Proposition BB by the voters in November 2015 allowed the State to retain tax revenues on retail marijuana sales that would otherwise be subject to refund under TABOR.  See </w:t>
      </w:r>
      <w:r w:rsidR="00A06786">
        <w:t>“</w:t>
      </w:r>
      <w:r>
        <w:t>STATE FINANCIAL INFORMATION – Taxpayer</w:t>
      </w:r>
      <w:r w:rsidR="00A06786">
        <w:t>’</w:t>
      </w:r>
      <w:r>
        <w:t xml:space="preserve">s Bill of Rights – </w:t>
      </w:r>
      <w:r w:rsidRPr="00B22F88">
        <w:rPr>
          <w:i/>
        </w:rPr>
        <w:t>Voter Approval to Retain and Spend Certain Marijuana Taxes Associated with Proposition AA</w:t>
      </w:r>
      <w:r w:rsidR="00A06786">
        <w:t>”</w:t>
      </w:r>
      <w:r>
        <w:t xml:space="preserve"> in the body of this Official Statement.  Proposition BB specifically authorized $40 million of the retained tax revenues to be allocated to the Assistance Fund.  See also </w:t>
      </w:r>
      <w:r w:rsidR="00A06786">
        <w:t>“</w:t>
      </w:r>
      <w:r>
        <w:t>Assistance Fund Details</w:t>
      </w:r>
      <w:r w:rsidR="00A06786">
        <w:t>”</w:t>
      </w:r>
      <w:r>
        <w:t xml:space="preserve"> hereafter in this Appendix.</w:t>
      </w:r>
    </w:p>
    <w:p w:rsidR="006123A1" w:rsidRDefault="006123A1" w:rsidP="00B22F88">
      <w:pPr>
        <w:pStyle w:val="Subtitle"/>
      </w:pPr>
      <w:r>
        <w:t xml:space="preserve">Matching Moneys </w:t>
      </w:r>
    </w:p>
    <w:p w:rsidR="006123A1" w:rsidRDefault="006123A1" w:rsidP="00B22F88">
      <w:pPr>
        <w:pStyle w:val="BodyText1"/>
      </w:pPr>
      <w:r>
        <w:t xml:space="preserve">The Act defines </w:t>
      </w:r>
      <w:r w:rsidR="00A06786">
        <w:t>“</w:t>
      </w:r>
      <w:r>
        <w:t>Matching Moneys</w:t>
      </w:r>
      <w:r w:rsidR="00A06786">
        <w:t>”</w:t>
      </w:r>
      <w:r>
        <w:t xml:space="preserve"> as moneys required to be paid to the State or used directly to pay a portion of the costs of a public school capital construction project by a Participating </w:t>
      </w:r>
      <w:r w:rsidR="00006F60">
        <w:t>K-12</w:t>
      </w:r>
      <w:r>
        <w:t xml:space="preserve"> Institution as a condition of an award of financial assistance to the Participating </w:t>
      </w:r>
      <w:r w:rsidR="00006F60">
        <w:t>K-12</w:t>
      </w:r>
      <w:r>
        <w:t xml:space="preserve"> Institution under the Program.  The Assistance Board determines which percentage, if any, of the total financing for the Participating </w:t>
      </w:r>
      <w:r w:rsidR="00006F60">
        <w:t>K-12</w:t>
      </w:r>
      <w:r>
        <w:t xml:space="preserve"> Institution</w:t>
      </w:r>
      <w:r w:rsidR="00A06786">
        <w:t>’</w:t>
      </w:r>
      <w:r>
        <w:t xml:space="preserve">s Project will constitute the required Matching Moneys for such Participating </w:t>
      </w:r>
      <w:r w:rsidR="00006F60">
        <w:t>K-12</w:t>
      </w:r>
      <w:r>
        <w:t xml:space="preserve"> Institution.  The percentage varies depending on the Participating </w:t>
      </w:r>
      <w:r w:rsidR="00006F60">
        <w:t>K-12</w:t>
      </w:r>
      <w:r>
        <w:t xml:space="preserve"> Institution.  The obligations of a Participating </w:t>
      </w:r>
      <w:r w:rsidR="00006F60">
        <w:t>K-12</w:t>
      </w:r>
      <w:r>
        <w:t xml:space="preserve"> Institution to pay Matching Moneys to the State may be evidenced by (a) cash delivered at the time the related Certificates are delivered, (b) an obligation to pay base rent under the related Sublease subject to annual appropriation by the Participating </w:t>
      </w:r>
      <w:r w:rsidR="00006F60">
        <w:t>K-12</w:t>
      </w:r>
      <w:r>
        <w:t xml:space="preserve"> Institution, (c) bonds issued by the Participating </w:t>
      </w:r>
      <w:r w:rsidR="00006F60">
        <w:t>K-12</w:t>
      </w:r>
      <w:r>
        <w:t xml:space="preserve"> Institution and delivered to the State (</w:t>
      </w:r>
      <w:r w:rsidR="00A06786">
        <w:t>“</w:t>
      </w:r>
      <w:r>
        <w:t>Matching Moneys Bonds</w:t>
      </w:r>
      <w:r w:rsidR="00A06786">
        <w:t>”</w:t>
      </w:r>
      <w:r>
        <w:t xml:space="preserve">), (d) an obligation to pay cash installments under the related Sublease or Participation Agreement, subject to annual appropriation by the Participating </w:t>
      </w:r>
      <w:r w:rsidR="00006F60">
        <w:t>K-12</w:t>
      </w:r>
      <w:r>
        <w:t xml:space="preserve"> Institution (</w:t>
      </w:r>
      <w:r w:rsidR="00A06786">
        <w:t>“</w:t>
      </w:r>
      <w:r>
        <w:t>Matching Moneys Installment Payments</w:t>
      </w:r>
      <w:r w:rsidR="00A06786">
        <w:t>”</w:t>
      </w:r>
      <w:r>
        <w:t xml:space="preserve">) or (e) other types of obligations permitted by the Act and approved by the Assistance Board.  </w:t>
      </w:r>
      <w:r w:rsidR="0057116F">
        <w:t xml:space="preserve">At or prior to the execution and delivery of the Series </w:t>
      </w:r>
      <w:r w:rsidR="00480C95">
        <w:t>2020R</w:t>
      </w:r>
      <w:r w:rsidR="00D70F51">
        <w:t xml:space="preserve"> Certificates, </w:t>
      </w:r>
      <w:r w:rsidR="00B035D8">
        <w:t>$1,841,465.92</w:t>
      </w:r>
      <w:r w:rsidR="00430D60">
        <w:t xml:space="preserve"> </w:t>
      </w:r>
      <w:r w:rsidR="0057116F">
        <w:t xml:space="preserve">Matching Moneys related to the </w:t>
      </w:r>
      <w:r w:rsidR="00627EFA">
        <w:t>S</w:t>
      </w:r>
      <w:r w:rsidR="0057116F">
        <w:t xml:space="preserve">eries </w:t>
      </w:r>
      <w:r w:rsidR="00480C95">
        <w:t>2020R</w:t>
      </w:r>
      <w:r w:rsidR="0057116F">
        <w:t xml:space="preserve"> Certificates will be credited t</w:t>
      </w:r>
      <w:r w:rsidR="00627EFA">
        <w:t>o</w:t>
      </w:r>
      <w:r w:rsidR="0057116F">
        <w:t xml:space="preserve"> the Assistance Fund in the form of cash.  Additional Matching</w:t>
      </w:r>
      <w:r w:rsidR="00627EFA">
        <w:t xml:space="preserve"> Money</w:t>
      </w:r>
      <w:r w:rsidR="0057116F">
        <w:t>s obl</w:t>
      </w:r>
      <w:r w:rsidR="00627EFA">
        <w:t>i</w:t>
      </w:r>
      <w:r w:rsidR="0057116F">
        <w:t xml:space="preserve">gations relating to the Series </w:t>
      </w:r>
      <w:r w:rsidR="00480C95">
        <w:t>2020R</w:t>
      </w:r>
      <w:r w:rsidR="0057116F">
        <w:t xml:space="preserve"> Certificate</w:t>
      </w:r>
      <w:r w:rsidR="00627EFA">
        <w:t>s</w:t>
      </w:r>
      <w:r w:rsidR="0057116F">
        <w:t xml:space="preserve"> are payable to the Assistance Fund in the future as Matc</w:t>
      </w:r>
      <w:r w:rsidR="00627EFA">
        <w:t>h</w:t>
      </w:r>
      <w:r w:rsidR="0057116F">
        <w:t xml:space="preserve">ing Moneys Bonds </w:t>
      </w:r>
      <w:r w:rsidR="00A26382">
        <w:t xml:space="preserve"> </w:t>
      </w:r>
      <w:r w:rsidR="0057116F">
        <w:t>in the aggregate principal amount</w:t>
      </w:r>
      <w:r w:rsidR="00430D60">
        <w:t>s</w:t>
      </w:r>
      <w:r w:rsidR="00D70F51">
        <w:t xml:space="preserve"> of $41,183,305.36</w:t>
      </w:r>
      <w:r w:rsidR="00655008">
        <w:t xml:space="preserve"> </w:t>
      </w:r>
      <w:r w:rsidR="0057116F">
        <w:t xml:space="preserve"> plus an est</w:t>
      </w:r>
      <w:r w:rsidR="00324215">
        <w:t xml:space="preserve">imated </w:t>
      </w:r>
      <w:r w:rsidR="00F13B16">
        <w:t>$10</w:t>
      </w:r>
      <w:r w:rsidR="00D70F51">
        <w:t>,</w:t>
      </w:r>
      <w:r w:rsidR="00F13B16">
        <w:t>885</w:t>
      </w:r>
      <w:r w:rsidR="00D70F51">
        <w:t>,</w:t>
      </w:r>
      <w:r w:rsidR="00F13B16">
        <w:t>131</w:t>
      </w:r>
      <w:r w:rsidR="00D70F51">
        <w:t>.</w:t>
      </w:r>
      <w:r w:rsidR="00F13B16">
        <w:t>74</w:t>
      </w:r>
      <w:r w:rsidR="00430D60">
        <w:t xml:space="preserve"> </w:t>
      </w:r>
      <w:r w:rsidR="0057116F">
        <w:t xml:space="preserve">in interest.  See </w:t>
      </w:r>
      <w:r w:rsidR="00A06786">
        <w:t>“</w:t>
      </w:r>
      <w:r w:rsidR="0057116F">
        <w:t xml:space="preserve">PLAN OF FINANCING – Series </w:t>
      </w:r>
      <w:r w:rsidR="00480C95">
        <w:t>2020R</w:t>
      </w:r>
      <w:r w:rsidR="0057116F">
        <w:t xml:space="preserve"> Projects and Series </w:t>
      </w:r>
      <w:r w:rsidR="00480C95">
        <w:t>2020R</w:t>
      </w:r>
      <w:r w:rsidR="0057116F">
        <w:t xml:space="preserve"> Participating K-12 Institutions.</w:t>
      </w:r>
      <w:r w:rsidR="00A06786">
        <w:t>”</w:t>
      </w:r>
      <w:r w:rsidR="0057116F">
        <w:t xml:space="preserve">  </w:t>
      </w:r>
      <w:r>
        <w:t>Under the Subleases, if the Costs of a Sublessee</w:t>
      </w:r>
      <w:r w:rsidR="00A06786">
        <w:t>’</w:t>
      </w:r>
      <w:r>
        <w:t>s Project are less than the amount of the moneys that may be withdrawn from the Sublessee</w:t>
      </w:r>
      <w:r w:rsidR="00A06786">
        <w:t>’</w:t>
      </w:r>
      <w:r>
        <w:t xml:space="preserve">s Project Account and the Assistance Fund (a </w:t>
      </w:r>
      <w:r w:rsidR="00A06786">
        <w:t>“</w:t>
      </w:r>
      <w:r>
        <w:t>cost savings</w:t>
      </w:r>
      <w:r w:rsidR="00A06786">
        <w:t>”</w:t>
      </w:r>
      <w:r>
        <w:t>), a portion of such cost savings, as determined by the State Treasurer, may, upon the consent of the Assistance Board, be shared with the Sublessee through the return of a portion of any cash payment of Matching Moneys or forgiveness of a portion of the base rent that would otherwise be payable under the applicable Sublease or of the principal, premium, if any, and interest that would otherwise be due on the Sublessee</w:t>
      </w:r>
      <w:r w:rsidR="00A06786">
        <w:t>’</w:t>
      </w:r>
      <w:r>
        <w:t>s Matching Moneys Bonds or Matching Moneys Installment Payments that would otherwise be payable under the Sublease, as applicable.</w:t>
      </w:r>
    </w:p>
    <w:p w:rsidR="006123A1" w:rsidRDefault="00586B20" w:rsidP="00B22F88">
      <w:pPr>
        <w:pStyle w:val="BodyText1"/>
      </w:pPr>
      <w:r>
        <w:t xml:space="preserve">After the execution and delivery of the Series </w:t>
      </w:r>
      <w:r w:rsidR="00480C95">
        <w:t>2020R</w:t>
      </w:r>
      <w:r>
        <w:t xml:space="preserve"> Certificates, an aggregate principal amount of approximately $</w:t>
      </w:r>
      <w:r w:rsidR="00B035D8">
        <w:t>395,354,168.59</w:t>
      </w:r>
      <w:r>
        <w:t xml:space="preserve"> in future Matching Moneys Bonds relating to all Certificates will be outstanding.  The related </w:t>
      </w:r>
      <w:r w:rsidR="006123A1">
        <w:t xml:space="preserve">Participating </w:t>
      </w:r>
      <w:r w:rsidR="00006F60">
        <w:t>K-12</w:t>
      </w:r>
      <w:r w:rsidR="006123A1">
        <w:t xml:space="preserve"> Institutions with outstanding Matching Moneys Bonds have obtained voter approval for such Matching Moneys Bonds, and therefore the payment of the related Matching Moneys is not subject to annual appropriation by the Participating </w:t>
      </w:r>
      <w:r w:rsidR="00006F60">
        <w:t>K-12</w:t>
      </w:r>
      <w:r w:rsidR="006123A1">
        <w:t xml:space="preserve"> Institutions.  The Matching Moneys Bonds constitute general obligations of the related Participating </w:t>
      </w:r>
      <w:r w:rsidR="00006F60">
        <w:t>K-12</w:t>
      </w:r>
      <w:r w:rsidR="006123A1">
        <w:t xml:space="preserve"> Institution, and all of the taxable property within the boundaries of such Participating </w:t>
      </w:r>
      <w:r w:rsidR="00006F60">
        <w:t>K-12</w:t>
      </w:r>
      <w:r w:rsidR="006123A1">
        <w:t xml:space="preserve"> Institution is subject to the levy of an ad valorem tax to pay the principal of, premium, if any, and interest on the related Matching Moneys Bonds without limitation as to rate and in an amount sufficient to pay the Matching Moneys Bonds when due.  Based upon the opinion of bond counsel for the relevant Participating </w:t>
      </w:r>
      <w:r w:rsidR="00006F60">
        <w:t>K-12</w:t>
      </w:r>
      <w:r w:rsidR="006123A1">
        <w:t xml:space="preserve"> Institutions, the Matching Moneys Bonds may bear a supplemental coupon as part of fully funding the related Matching Money requirement if permissible under the ballot approved by voters.</w:t>
      </w:r>
    </w:p>
    <w:p w:rsidR="006123A1" w:rsidRDefault="006123A1" w:rsidP="00B22F88">
      <w:pPr>
        <w:pStyle w:val="BodyText1"/>
      </w:pPr>
      <w:r>
        <w:t xml:space="preserve">Unless a Participating </w:t>
      </w:r>
      <w:r w:rsidR="00006F60">
        <w:t>K-12</w:t>
      </w:r>
      <w:r>
        <w:t xml:space="preserve"> Institution that has Matching Moneys Bonds constituting general obligation bonds opts not to participate, Section 22-41-110, C.R.S. (the </w:t>
      </w:r>
      <w:r w:rsidR="00A06786">
        <w:t>“</w:t>
      </w:r>
      <w:r>
        <w:t>Bond Payment Act</w:t>
      </w:r>
      <w:r w:rsidR="00A06786">
        <w:t>”</w:t>
      </w:r>
      <w:r>
        <w:t xml:space="preserve">), is applicable to such Matching Moneys Bonds.  Each of the Participating </w:t>
      </w:r>
      <w:r w:rsidR="00006F60">
        <w:t>K-12</w:t>
      </w:r>
      <w:r>
        <w:t xml:space="preserve"> Institutions that has Matching Moneys Bonds constituting general obligation bonds has notified the State of its participation under the Bond Payment Act.  Under the Bond Payment Act, if the paying agent with respect to a particular Matching Moneys Bond has not received a payment on the Matching Moneys Bond on the business day immediately prior to the date on which such payment is due, the paying agent is required to notify the State Treasurer and the Participating </w:t>
      </w:r>
      <w:r w:rsidR="00006F60">
        <w:t>K-12</w:t>
      </w:r>
      <w:r>
        <w:t xml:space="preserve"> Institution that issued the Matching Moneys Bond.  The State Treasurer is then required to contact the Participating </w:t>
      </w:r>
      <w:r w:rsidR="00006F60">
        <w:t>K-12</w:t>
      </w:r>
      <w:r>
        <w:t xml:space="preserve"> Institution to determine whether the Participating </w:t>
      </w:r>
      <w:r w:rsidR="00006F60">
        <w:t>K-12</w:t>
      </w:r>
      <w:r>
        <w:t xml:space="preserve"> Institution will make the payment by the date on which it is due.  If the Participating </w:t>
      </w:r>
      <w:r w:rsidR="00006F60">
        <w:t>K-12</w:t>
      </w:r>
      <w:r>
        <w:t xml:space="preserve"> Institution indicates to the State Treasurer that it will not make the payment on the Matching Moneys Bond by the date on which it is due, the State Treasurer is required to forward to the paying agent, in immediately available funds from any legally available funds of the State, the amount necessary to make the payment of the principal of and interest on the Matching Moneys Bond.</w:t>
      </w:r>
    </w:p>
    <w:p w:rsidR="006123A1" w:rsidRDefault="006123A1" w:rsidP="00B22F88">
      <w:pPr>
        <w:pStyle w:val="BodyText1"/>
      </w:pPr>
      <w:r>
        <w:t>If the State Treasurer makes a payment on a Matching Moneys Bond under the Bond Payment Act, the State Treasurer is required to withhold such amount from the next succeeding payment to that school district of the State</w:t>
      </w:r>
      <w:r w:rsidR="00A06786">
        <w:t>’</w:t>
      </w:r>
      <w:r>
        <w:t>s share of the school district</w:t>
      </w:r>
      <w:r w:rsidR="00A06786">
        <w:t>’</w:t>
      </w:r>
      <w:r>
        <w:t>s required funding under Colorado</w:t>
      </w:r>
      <w:r w:rsidR="00A06786">
        <w:t>’</w:t>
      </w:r>
      <w:r>
        <w:t>s Public School Finance Act of 1994 and from property tax and specific ownership revenues collected by the county treasurer on behalf of the school district (except property taxes levied for the payment of bonds) on each occasion on which the State Treasurer makes a payment on a bond on behalf of a school district.  While the withholding of such funding and property and specific ownership tax payments by the State is limited to 12 monthly payments, the Bond Payment Act does not correspondingly limit the State</w:t>
      </w:r>
      <w:r w:rsidR="00A06786">
        <w:t>’</w:t>
      </w:r>
      <w:r>
        <w:t>s contingent obligation to pay the Matching Moneys Bonds.</w:t>
      </w:r>
    </w:p>
    <w:p w:rsidR="006123A1" w:rsidRDefault="006123A1" w:rsidP="00B22F88">
      <w:pPr>
        <w:pStyle w:val="BodyText1"/>
      </w:pPr>
      <w:r>
        <w:t>If the State Treasurer is required to make a payment on a Matching Moneys Bond, the State Department of Education is required to initiate an audit of the school district to determine the reason for the nonpayment of the Matching Moneys Bond and to assist the school district, if necessary, in developing and implementing measures to assure that future payments will be made when due.</w:t>
      </w:r>
    </w:p>
    <w:p w:rsidR="006123A1" w:rsidRDefault="006123A1" w:rsidP="00B22F88">
      <w:pPr>
        <w:pStyle w:val="BodyText1"/>
      </w:pPr>
      <w:r>
        <w:t>The State has covenanted that it will not repeal, revoke, rescind, modify or amend the Bond Payment Act so as to limit or impair the rights and remedies granted under the Bond Payment Act.  However, the Bond Payment Act provides that it is not to be deemed or construed to require the State to continue the payment of State assistance to any school district or to limit or prohibit the State from repealing, amending or modifying any law relating to the amount of State assistance to school districts or the manner of payment or the timing thereof.  The Bond Payment Act further provides that it is not to be deemed or construed to create a debt of the State with respect to any Matching Moneys Bond within the meaning of any State constitutional provision or to create any liability except as specifically provided in the Bond Payment Act.</w:t>
      </w:r>
    </w:p>
    <w:p w:rsidR="006123A1" w:rsidRDefault="006123A1" w:rsidP="00B22F88">
      <w:pPr>
        <w:pStyle w:val="BodyText1"/>
      </w:pPr>
      <w:r>
        <w:t>The Act currently provides that the maximum total of annual lease payments payable by the State under the Leases during any Fiscal Year under the terms of all outstandin</w:t>
      </w:r>
      <w:r w:rsidR="009D29FF">
        <w:t>g Leases is $105</w:t>
      </w:r>
      <w:r>
        <w:t xml:space="preserve"> </w:t>
      </w:r>
      <w:r w:rsidR="009D29FF">
        <w:t>million for Fiscal Years 2019-20</w:t>
      </w:r>
      <w:r>
        <w:t xml:space="preserve"> </w:t>
      </w:r>
      <w:r w:rsidR="004920DD">
        <w:t>and $125</w:t>
      </w:r>
      <w:r w:rsidR="009D29FF">
        <w:t xml:space="preserve"> million for Fiscal Years 2020-21 </w:t>
      </w:r>
      <w:r>
        <w:t xml:space="preserve">and thereafter.  The State Treasurer may enter into Leases for which the aggregate annual lease payments of principal or interest for any Fiscal Year exceed one-half of the maximum total amount of annual lease payments only if the aggregate amount of Matching Moneys expected to be credited to the Assistance Fund and any interest or income derived from the deposit and investment of the Matching Moneys is at least equal to the annual lease payments of principal and interest payable by the State during any Fiscal Year that exceed one-half of such maximum total amount.  Aggregate Rent in connection with the Leases to be effect following the execution and delivery of the Series </w:t>
      </w:r>
      <w:r w:rsidR="00480C95">
        <w:t>2020R</w:t>
      </w:r>
      <w:r>
        <w:t xml:space="preserve"> Certificates is not expected to reach 50% of the maximum amount stated above.</w:t>
      </w:r>
    </w:p>
    <w:p w:rsidR="006123A1" w:rsidRPr="00B22F88" w:rsidRDefault="006123A1" w:rsidP="00B22F88">
      <w:pPr>
        <w:pStyle w:val="BodyText1"/>
        <w:rPr>
          <w:b/>
          <w:i/>
        </w:rPr>
      </w:pPr>
      <w:r w:rsidRPr="00B22F88">
        <w:rPr>
          <w:b/>
          <w:i/>
        </w:rPr>
        <w:t xml:space="preserve">Matching Moneys and other amounts deposited in the Assistance Fund do not directly secure payment of the Series </w:t>
      </w:r>
      <w:r w:rsidR="00480C95">
        <w:rPr>
          <w:b/>
          <w:i/>
        </w:rPr>
        <w:t>2020R</w:t>
      </w:r>
      <w:r w:rsidRPr="00B22F88">
        <w:rPr>
          <w:b/>
          <w:i/>
        </w:rPr>
        <w:t xml:space="preserve"> Certificates.  Once Matching Moneys payable in installments are deposited in the Assistance Fund, such amounts, together with other amounts on deposit therein, are available to be appropriated by the State to pay the Series </w:t>
      </w:r>
      <w:r w:rsidR="00480C95">
        <w:rPr>
          <w:b/>
          <w:i/>
        </w:rPr>
        <w:t>2020R</w:t>
      </w:r>
      <w:r w:rsidRPr="00B22F88">
        <w:rPr>
          <w:b/>
          <w:i/>
        </w:rPr>
        <w:t xml:space="preserve"> Certificates or for other purposes, including defraying the cost of Projects.</w:t>
      </w:r>
    </w:p>
    <w:p w:rsidR="006123A1" w:rsidRDefault="006123A1" w:rsidP="00B22F88">
      <w:pPr>
        <w:pStyle w:val="BodyText1"/>
      </w:pPr>
      <w:r>
        <w:t>In addition to funding Rent, amounts in the Assistance Fund are used for a variety of purposes including emergency grants, grants, operating expenses and other uses permitted by the Act.</w:t>
      </w:r>
    </w:p>
    <w:p w:rsidR="00586B20" w:rsidRDefault="00586B20">
      <w:pPr>
        <w:spacing w:after="160" w:line="259" w:lineRule="auto"/>
        <w:jc w:val="left"/>
        <w:rPr>
          <w:b/>
          <w:szCs w:val="28"/>
        </w:rPr>
      </w:pPr>
      <w:r>
        <w:br w:type="page"/>
      </w:r>
    </w:p>
    <w:p w:rsidR="006123A1" w:rsidRDefault="006123A1" w:rsidP="00B22F88">
      <w:pPr>
        <w:pStyle w:val="Subtitle"/>
      </w:pPr>
      <w:r>
        <w:t>Assistance Fund Details</w:t>
      </w:r>
    </w:p>
    <w:p w:rsidR="006123A1" w:rsidRPr="009D29FF" w:rsidRDefault="006123A1" w:rsidP="00B22F88">
      <w:pPr>
        <w:pStyle w:val="BodyText1"/>
        <w:rPr>
          <w:b/>
          <w:sz w:val="20"/>
        </w:rPr>
      </w:pPr>
      <w:r>
        <w:t xml:space="preserve">The following table shows unaudited financial information relating to the Assistance Fund for the prior five Fiscal Years.  </w:t>
      </w:r>
    </w:p>
    <w:p w:rsidR="003B42AB" w:rsidRPr="003B42AB" w:rsidRDefault="003B42AB" w:rsidP="003B42AB">
      <w:pPr>
        <w:jc w:val="left"/>
        <w:rPr>
          <w:b/>
          <w:szCs w:val="22"/>
        </w:rPr>
      </w:pPr>
      <w:r w:rsidRPr="003B42AB">
        <w:rPr>
          <w:b/>
          <w:szCs w:val="22"/>
        </w:rPr>
        <w:t>Assistance Fund Details</w:t>
      </w:r>
      <w:r w:rsidRPr="003B42AB">
        <w:rPr>
          <w:szCs w:val="22"/>
          <w:vertAlign w:val="superscript"/>
        </w:rPr>
        <w:t>1</w:t>
      </w:r>
    </w:p>
    <w:tbl>
      <w:tblPr>
        <w:tblW w:w="8730" w:type="dxa"/>
        <w:jc w:val="center"/>
        <w:tblLayout w:type="fixed"/>
        <w:tblCellMar>
          <w:left w:w="0" w:type="dxa"/>
          <w:right w:w="0" w:type="dxa"/>
        </w:tblCellMar>
        <w:tblLook w:val="01E0" w:firstRow="1" w:lastRow="1" w:firstColumn="1" w:lastColumn="1" w:noHBand="0" w:noVBand="0"/>
      </w:tblPr>
      <w:tblGrid>
        <w:gridCol w:w="3330"/>
        <w:gridCol w:w="1260"/>
        <w:gridCol w:w="990"/>
        <w:gridCol w:w="990"/>
        <w:gridCol w:w="1080"/>
        <w:gridCol w:w="1080"/>
      </w:tblGrid>
      <w:tr w:rsidR="000C0E1A" w:rsidRPr="003B42AB" w:rsidTr="00295B37">
        <w:trPr>
          <w:jc w:val="center"/>
        </w:trPr>
        <w:tc>
          <w:tcPr>
            <w:tcW w:w="3330" w:type="dxa"/>
            <w:shd w:val="clear" w:color="auto" w:fill="auto"/>
            <w:vAlign w:val="bottom"/>
          </w:tcPr>
          <w:p w:rsidR="000C0E1A" w:rsidRPr="003B42AB" w:rsidRDefault="000C0E1A" w:rsidP="00811749">
            <w:pPr>
              <w:jc w:val="left"/>
              <w:rPr>
                <w:sz w:val="15"/>
                <w:szCs w:val="15"/>
              </w:rPr>
            </w:pPr>
          </w:p>
        </w:tc>
        <w:tc>
          <w:tcPr>
            <w:tcW w:w="1260" w:type="dxa"/>
            <w:vAlign w:val="bottom"/>
          </w:tcPr>
          <w:p w:rsidR="000C0E1A" w:rsidRPr="003B42AB" w:rsidRDefault="000C0E1A" w:rsidP="00811749">
            <w:pPr>
              <w:jc w:val="center"/>
              <w:rPr>
                <w:b/>
                <w:sz w:val="15"/>
                <w:szCs w:val="15"/>
              </w:rPr>
            </w:pPr>
            <w:r w:rsidRPr="003B42AB">
              <w:rPr>
                <w:b/>
                <w:sz w:val="15"/>
                <w:szCs w:val="15"/>
              </w:rPr>
              <w:t>As of</w:t>
            </w:r>
            <w:r w:rsidRPr="003B42AB">
              <w:rPr>
                <w:b/>
                <w:sz w:val="15"/>
                <w:szCs w:val="15"/>
              </w:rPr>
              <w:br/>
            </w:r>
            <w:r w:rsidRPr="003B42AB">
              <w:rPr>
                <w:b/>
                <w:sz w:val="15"/>
                <w:szCs w:val="15"/>
                <w:u w:val="single"/>
              </w:rPr>
              <w:t>June 30, 2016</w:t>
            </w:r>
          </w:p>
        </w:tc>
        <w:tc>
          <w:tcPr>
            <w:tcW w:w="990" w:type="dxa"/>
            <w:vAlign w:val="bottom"/>
          </w:tcPr>
          <w:p w:rsidR="000C0E1A" w:rsidRPr="003B42AB" w:rsidRDefault="000C0E1A" w:rsidP="00811749">
            <w:pPr>
              <w:jc w:val="center"/>
              <w:rPr>
                <w:b/>
                <w:sz w:val="15"/>
                <w:szCs w:val="15"/>
              </w:rPr>
            </w:pPr>
            <w:r w:rsidRPr="003B42AB">
              <w:rPr>
                <w:b/>
                <w:sz w:val="15"/>
                <w:szCs w:val="15"/>
              </w:rPr>
              <w:t>As of</w:t>
            </w:r>
            <w:r w:rsidRPr="003B42AB">
              <w:rPr>
                <w:b/>
                <w:sz w:val="15"/>
                <w:szCs w:val="15"/>
              </w:rPr>
              <w:br/>
            </w:r>
            <w:r w:rsidRPr="003B42AB">
              <w:rPr>
                <w:b/>
                <w:sz w:val="15"/>
                <w:szCs w:val="15"/>
                <w:u w:val="single"/>
              </w:rPr>
              <w:t>June 30, 2017</w:t>
            </w:r>
          </w:p>
        </w:tc>
        <w:tc>
          <w:tcPr>
            <w:tcW w:w="990" w:type="dxa"/>
            <w:vAlign w:val="bottom"/>
          </w:tcPr>
          <w:p w:rsidR="000C0E1A" w:rsidRPr="003B42AB" w:rsidRDefault="000C0E1A" w:rsidP="003439F8">
            <w:pPr>
              <w:jc w:val="center"/>
              <w:rPr>
                <w:b/>
                <w:sz w:val="15"/>
                <w:szCs w:val="15"/>
                <w:u w:val="single"/>
              </w:rPr>
            </w:pPr>
            <w:r w:rsidRPr="003B42AB">
              <w:rPr>
                <w:b/>
                <w:sz w:val="15"/>
                <w:szCs w:val="15"/>
              </w:rPr>
              <w:t>As of</w:t>
            </w:r>
            <w:r>
              <w:rPr>
                <w:b/>
                <w:sz w:val="15"/>
                <w:szCs w:val="15"/>
              </w:rPr>
              <w:br/>
            </w:r>
            <w:r w:rsidRPr="003B42AB">
              <w:rPr>
                <w:b/>
                <w:sz w:val="15"/>
                <w:szCs w:val="15"/>
                <w:u w:val="single"/>
              </w:rPr>
              <w:t>June 30, 2018</w:t>
            </w:r>
          </w:p>
        </w:tc>
        <w:tc>
          <w:tcPr>
            <w:tcW w:w="1080" w:type="dxa"/>
            <w:vAlign w:val="bottom"/>
          </w:tcPr>
          <w:p w:rsidR="000C0E1A" w:rsidRPr="00811749" w:rsidRDefault="000C0E1A" w:rsidP="000C0E1A">
            <w:pPr>
              <w:jc w:val="center"/>
              <w:rPr>
                <w:b/>
                <w:sz w:val="16"/>
                <w:szCs w:val="18"/>
                <w:u w:val="single"/>
              </w:rPr>
            </w:pPr>
            <w:r w:rsidRPr="00811749">
              <w:rPr>
                <w:b/>
                <w:sz w:val="16"/>
                <w:szCs w:val="18"/>
              </w:rPr>
              <w:t>As of</w:t>
            </w:r>
            <w:r w:rsidRPr="00811749">
              <w:rPr>
                <w:b/>
                <w:sz w:val="16"/>
                <w:szCs w:val="18"/>
              </w:rPr>
              <w:br/>
            </w:r>
            <w:r w:rsidRPr="00811749">
              <w:rPr>
                <w:b/>
                <w:sz w:val="16"/>
                <w:szCs w:val="18"/>
                <w:u w:val="single"/>
              </w:rPr>
              <w:t>June 30, 2019</w:t>
            </w:r>
          </w:p>
        </w:tc>
        <w:tc>
          <w:tcPr>
            <w:tcW w:w="1080" w:type="dxa"/>
          </w:tcPr>
          <w:p w:rsidR="000C0E1A" w:rsidRPr="00811749" w:rsidRDefault="000C0E1A" w:rsidP="000C0E1A">
            <w:pPr>
              <w:jc w:val="center"/>
              <w:rPr>
                <w:b/>
                <w:sz w:val="16"/>
                <w:szCs w:val="18"/>
              </w:rPr>
            </w:pPr>
            <w:r w:rsidRPr="000C0E1A">
              <w:rPr>
                <w:b/>
                <w:sz w:val="15"/>
                <w:szCs w:val="15"/>
              </w:rPr>
              <w:t>As</w:t>
            </w:r>
            <w:r>
              <w:rPr>
                <w:b/>
                <w:sz w:val="16"/>
                <w:szCs w:val="18"/>
              </w:rPr>
              <w:t xml:space="preserve"> of</w:t>
            </w:r>
            <w:r>
              <w:rPr>
                <w:b/>
                <w:sz w:val="16"/>
                <w:szCs w:val="18"/>
              </w:rPr>
              <w:br/>
            </w:r>
            <w:r w:rsidRPr="000C0E1A">
              <w:rPr>
                <w:b/>
                <w:sz w:val="16"/>
                <w:szCs w:val="18"/>
                <w:u w:val="single"/>
              </w:rPr>
              <w:t>June 30, 2020</w:t>
            </w:r>
          </w:p>
        </w:tc>
      </w:tr>
      <w:tr w:rsidR="000C0E1A" w:rsidRPr="003B42AB" w:rsidTr="00295B37">
        <w:trPr>
          <w:jc w:val="center"/>
        </w:trPr>
        <w:tc>
          <w:tcPr>
            <w:tcW w:w="3330" w:type="dxa"/>
            <w:shd w:val="clear" w:color="auto" w:fill="auto"/>
          </w:tcPr>
          <w:p w:rsidR="000C0E1A" w:rsidRPr="003B42AB" w:rsidRDefault="000C0E1A" w:rsidP="00811749">
            <w:pPr>
              <w:jc w:val="left"/>
              <w:rPr>
                <w:sz w:val="15"/>
                <w:szCs w:val="15"/>
                <w:vertAlign w:val="superscript"/>
              </w:rPr>
            </w:pPr>
            <w:r w:rsidRPr="003B42AB">
              <w:rPr>
                <w:sz w:val="15"/>
                <w:szCs w:val="15"/>
              </w:rPr>
              <w:t>Assets</w:t>
            </w:r>
            <w:r w:rsidRPr="003B42AB">
              <w:rPr>
                <w:sz w:val="15"/>
                <w:szCs w:val="15"/>
                <w:vertAlign w:val="superscript"/>
              </w:rPr>
              <w:t>2</w:t>
            </w:r>
          </w:p>
        </w:tc>
        <w:tc>
          <w:tcPr>
            <w:tcW w:w="1260" w:type="dxa"/>
          </w:tcPr>
          <w:p w:rsidR="000C0E1A" w:rsidRPr="003B42AB" w:rsidRDefault="000C0E1A" w:rsidP="00811749">
            <w:pPr>
              <w:tabs>
                <w:tab w:val="decimal" w:pos="1080"/>
              </w:tabs>
              <w:jc w:val="left"/>
              <w:rPr>
                <w:sz w:val="15"/>
                <w:szCs w:val="15"/>
              </w:rPr>
            </w:pPr>
            <w:r w:rsidRPr="003B42AB">
              <w:rPr>
                <w:sz w:val="15"/>
                <w:szCs w:val="15"/>
              </w:rPr>
              <w:t>$367,185,353</w:t>
            </w:r>
          </w:p>
        </w:tc>
        <w:tc>
          <w:tcPr>
            <w:tcW w:w="990" w:type="dxa"/>
          </w:tcPr>
          <w:p w:rsidR="000C0E1A" w:rsidRPr="003B42AB" w:rsidRDefault="000C0E1A" w:rsidP="00811749">
            <w:pPr>
              <w:tabs>
                <w:tab w:val="decimal" w:pos="900"/>
              </w:tabs>
              <w:rPr>
                <w:sz w:val="15"/>
                <w:szCs w:val="15"/>
              </w:rPr>
            </w:pPr>
            <w:r w:rsidRPr="003B42AB">
              <w:rPr>
                <w:sz w:val="15"/>
                <w:szCs w:val="15"/>
              </w:rPr>
              <w:t>$387,805,807</w:t>
            </w:r>
          </w:p>
        </w:tc>
        <w:tc>
          <w:tcPr>
            <w:tcW w:w="990" w:type="dxa"/>
          </w:tcPr>
          <w:p w:rsidR="000C0E1A" w:rsidRPr="003B42AB" w:rsidRDefault="000C0E1A" w:rsidP="00811749">
            <w:pPr>
              <w:tabs>
                <w:tab w:val="decimal" w:pos="900"/>
              </w:tabs>
              <w:rPr>
                <w:sz w:val="15"/>
                <w:szCs w:val="15"/>
              </w:rPr>
            </w:pPr>
            <w:r>
              <w:rPr>
                <w:sz w:val="15"/>
                <w:szCs w:val="15"/>
              </w:rPr>
              <w:t>$403,088,998</w:t>
            </w:r>
          </w:p>
        </w:tc>
        <w:tc>
          <w:tcPr>
            <w:tcW w:w="1080" w:type="dxa"/>
          </w:tcPr>
          <w:p w:rsidR="000C0E1A" w:rsidRPr="00811749" w:rsidRDefault="000C0E1A" w:rsidP="00B44E01">
            <w:pPr>
              <w:keepNext/>
              <w:tabs>
                <w:tab w:val="decimal" w:pos="990"/>
              </w:tabs>
              <w:rPr>
                <w:sz w:val="16"/>
                <w:szCs w:val="18"/>
              </w:rPr>
            </w:pPr>
            <w:r w:rsidRPr="00811749">
              <w:rPr>
                <w:sz w:val="16"/>
                <w:szCs w:val="18"/>
              </w:rPr>
              <w:t>$449,299,706</w:t>
            </w:r>
          </w:p>
        </w:tc>
        <w:tc>
          <w:tcPr>
            <w:tcW w:w="1080" w:type="dxa"/>
          </w:tcPr>
          <w:p w:rsidR="000C0E1A" w:rsidRPr="00811749" w:rsidRDefault="000C0E1A" w:rsidP="00D70BE6">
            <w:pPr>
              <w:keepNext/>
              <w:tabs>
                <w:tab w:val="decimal" w:pos="990"/>
              </w:tabs>
              <w:rPr>
                <w:sz w:val="16"/>
                <w:szCs w:val="18"/>
              </w:rPr>
            </w:pPr>
            <w:r>
              <w:rPr>
                <w:sz w:val="16"/>
                <w:szCs w:val="18"/>
              </w:rPr>
              <w:t>$449,226,403</w:t>
            </w:r>
          </w:p>
        </w:tc>
      </w:tr>
      <w:tr w:rsidR="000C0E1A" w:rsidRPr="003B42AB" w:rsidTr="00295B37">
        <w:trPr>
          <w:jc w:val="center"/>
        </w:trPr>
        <w:tc>
          <w:tcPr>
            <w:tcW w:w="3330" w:type="dxa"/>
            <w:shd w:val="clear" w:color="auto" w:fill="auto"/>
          </w:tcPr>
          <w:p w:rsidR="000C0E1A" w:rsidRPr="003B42AB" w:rsidRDefault="000C0E1A" w:rsidP="00811749">
            <w:pPr>
              <w:jc w:val="left"/>
              <w:rPr>
                <w:sz w:val="15"/>
                <w:szCs w:val="15"/>
              </w:rPr>
            </w:pPr>
            <w:r w:rsidRPr="003B42AB">
              <w:rPr>
                <w:sz w:val="15"/>
                <w:szCs w:val="15"/>
              </w:rPr>
              <w:t>Liabilities</w:t>
            </w:r>
            <w:r w:rsidRPr="003B42AB">
              <w:rPr>
                <w:sz w:val="15"/>
                <w:szCs w:val="15"/>
                <w:vertAlign w:val="superscript"/>
              </w:rPr>
              <w:t>3</w:t>
            </w:r>
          </w:p>
        </w:tc>
        <w:tc>
          <w:tcPr>
            <w:tcW w:w="1260" w:type="dxa"/>
          </w:tcPr>
          <w:p w:rsidR="000C0E1A" w:rsidRPr="003B42AB" w:rsidRDefault="000C0E1A" w:rsidP="00811749">
            <w:pPr>
              <w:tabs>
                <w:tab w:val="decimal" w:pos="1080"/>
              </w:tabs>
              <w:jc w:val="left"/>
              <w:rPr>
                <w:sz w:val="15"/>
                <w:szCs w:val="15"/>
              </w:rPr>
            </w:pPr>
            <w:r>
              <w:rPr>
                <w:sz w:val="15"/>
                <w:szCs w:val="15"/>
              </w:rPr>
              <w:t xml:space="preserve">  </w:t>
            </w:r>
            <w:r w:rsidRPr="003B42AB">
              <w:rPr>
                <w:sz w:val="15"/>
                <w:szCs w:val="15"/>
              </w:rPr>
              <w:t>12,499,932</w:t>
            </w:r>
          </w:p>
        </w:tc>
        <w:tc>
          <w:tcPr>
            <w:tcW w:w="990" w:type="dxa"/>
          </w:tcPr>
          <w:p w:rsidR="000C0E1A" w:rsidRPr="003B42AB" w:rsidRDefault="000C0E1A" w:rsidP="00811749">
            <w:pPr>
              <w:tabs>
                <w:tab w:val="decimal" w:pos="900"/>
              </w:tabs>
              <w:rPr>
                <w:sz w:val="15"/>
                <w:szCs w:val="15"/>
              </w:rPr>
            </w:pPr>
            <w:r w:rsidRPr="003B42AB">
              <w:rPr>
                <w:sz w:val="15"/>
                <w:szCs w:val="15"/>
              </w:rPr>
              <w:t>2,209,304</w:t>
            </w:r>
          </w:p>
        </w:tc>
        <w:tc>
          <w:tcPr>
            <w:tcW w:w="990" w:type="dxa"/>
          </w:tcPr>
          <w:p w:rsidR="000C0E1A" w:rsidRPr="003B42AB" w:rsidRDefault="000C0E1A" w:rsidP="00811749">
            <w:pPr>
              <w:tabs>
                <w:tab w:val="decimal" w:pos="900"/>
              </w:tabs>
              <w:rPr>
                <w:sz w:val="15"/>
                <w:szCs w:val="15"/>
              </w:rPr>
            </w:pPr>
            <w:r>
              <w:rPr>
                <w:sz w:val="15"/>
                <w:szCs w:val="15"/>
              </w:rPr>
              <w:t>10,329,056</w:t>
            </w:r>
          </w:p>
        </w:tc>
        <w:tc>
          <w:tcPr>
            <w:tcW w:w="1080" w:type="dxa"/>
          </w:tcPr>
          <w:p w:rsidR="000C0E1A" w:rsidRPr="00811749" w:rsidRDefault="000C0E1A" w:rsidP="00B44E01">
            <w:pPr>
              <w:keepNext/>
              <w:tabs>
                <w:tab w:val="decimal" w:pos="990"/>
              </w:tabs>
              <w:rPr>
                <w:sz w:val="16"/>
                <w:szCs w:val="18"/>
              </w:rPr>
            </w:pPr>
            <w:r w:rsidRPr="00811749">
              <w:rPr>
                <w:sz w:val="16"/>
                <w:szCs w:val="18"/>
              </w:rPr>
              <w:t>32,192,948</w:t>
            </w:r>
          </w:p>
        </w:tc>
        <w:tc>
          <w:tcPr>
            <w:tcW w:w="1080" w:type="dxa"/>
          </w:tcPr>
          <w:p w:rsidR="000C0E1A" w:rsidRPr="00811749" w:rsidRDefault="000C0E1A" w:rsidP="00D70BE6">
            <w:pPr>
              <w:keepNext/>
              <w:tabs>
                <w:tab w:val="decimal" w:pos="990"/>
              </w:tabs>
              <w:rPr>
                <w:sz w:val="16"/>
                <w:szCs w:val="18"/>
              </w:rPr>
            </w:pPr>
            <w:r>
              <w:rPr>
                <w:sz w:val="16"/>
                <w:szCs w:val="18"/>
              </w:rPr>
              <w:t>40,425,750</w:t>
            </w:r>
          </w:p>
        </w:tc>
      </w:tr>
      <w:tr w:rsidR="000C0E1A" w:rsidRPr="003B42AB" w:rsidTr="00295B37">
        <w:trPr>
          <w:jc w:val="center"/>
        </w:trPr>
        <w:tc>
          <w:tcPr>
            <w:tcW w:w="3330" w:type="dxa"/>
            <w:shd w:val="clear" w:color="auto" w:fill="auto"/>
          </w:tcPr>
          <w:p w:rsidR="000C0E1A" w:rsidRPr="003B42AB" w:rsidRDefault="000C0E1A" w:rsidP="00811749">
            <w:pPr>
              <w:jc w:val="left"/>
              <w:rPr>
                <w:sz w:val="15"/>
                <w:szCs w:val="15"/>
              </w:rPr>
            </w:pPr>
            <w:r w:rsidRPr="003B42AB">
              <w:rPr>
                <w:sz w:val="15"/>
                <w:szCs w:val="15"/>
              </w:rPr>
              <w:t>Fund Balance</w:t>
            </w:r>
          </w:p>
        </w:tc>
        <w:tc>
          <w:tcPr>
            <w:tcW w:w="1260" w:type="dxa"/>
          </w:tcPr>
          <w:p w:rsidR="000C0E1A" w:rsidRPr="003B42AB" w:rsidRDefault="000C0E1A" w:rsidP="00811749">
            <w:pPr>
              <w:tabs>
                <w:tab w:val="decimal" w:pos="1080"/>
              </w:tabs>
              <w:jc w:val="left"/>
              <w:rPr>
                <w:sz w:val="15"/>
                <w:szCs w:val="15"/>
              </w:rPr>
            </w:pPr>
            <w:r w:rsidRPr="003B42AB">
              <w:rPr>
                <w:sz w:val="15"/>
                <w:szCs w:val="15"/>
              </w:rPr>
              <w:t>354,685,421</w:t>
            </w:r>
          </w:p>
        </w:tc>
        <w:tc>
          <w:tcPr>
            <w:tcW w:w="990" w:type="dxa"/>
          </w:tcPr>
          <w:p w:rsidR="000C0E1A" w:rsidRPr="003B42AB" w:rsidRDefault="000C0E1A" w:rsidP="00811749">
            <w:pPr>
              <w:tabs>
                <w:tab w:val="decimal" w:pos="900"/>
              </w:tabs>
              <w:rPr>
                <w:sz w:val="15"/>
                <w:szCs w:val="15"/>
              </w:rPr>
            </w:pPr>
            <w:r w:rsidRPr="003B42AB">
              <w:rPr>
                <w:sz w:val="15"/>
                <w:szCs w:val="15"/>
              </w:rPr>
              <w:t>385,596,503</w:t>
            </w:r>
          </w:p>
        </w:tc>
        <w:tc>
          <w:tcPr>
            <w:tcW w:w="990" w:type="dxa"/>
          </w:tcPr>
          <w:p w:rsidR="000C0E1A" w:rsidRPr="003B42AB" w:rsidRDefault="000C0E1A" w:rsidP="00811749">
            <w:pPr>
              <w:tabs>
                <w:tab w:val="decimal" w:pos="900"/>
              </w:tabs>
              <w:rPr>
                <w:sz w:val="15"/>
                <w:szCs w:val="15"/>
              </w:rPr>
            </w:pPr>
            <w:r>
              <w:rPr>
                <w:sz w:val="15"/>
                <w:szCs w:val="15"/>
              </w:rPr>
              <w:t>392,759,942</w:t>
            </w:r>
          </w:p>
        </w:tc>
        <w:tc>
          <w:tcPr>
            <w:tcW w:w="1080" w:type="dxa"/>
          </w:tcPr>
          <w:p w:rsidR="000C0E1A" w:rsidRPr="00811749" w:rsidRDefault="000C0E1A" w:rsidP="00B44E01">
            <w:pPr>
              <w:keepNext/>
              <w:tabs>
                <w:tab w:val="decimal" w:pos="990"/>
              </w:tabs>
              <w:rPr>
                <w:sz w:val="16"/>
                <w:szCs w:val="18"/>
              </w:rPr>
            </w:pPr>
            <w:r w:rsidRPr="00811749">
              <w:rPr>
                <w:sz w:val="16"/>
                <w:szCs w:val="18"/>
              </w:rPr>
              <w:t>417,106,758</w:t>
            </w:r>
          </w:p>
        </w:tc>
        <w:tc>
          <w:tcPr>
            <w:tcW w:w="1080" w:type="dxa"/>
          </w:tcPr>
          <w:p w:rsidR="000C0E1A" w:rsidRPr="00811749" w:rsidRDefault="000C0E1A" w:rsidP="00D70BE6">
            <w:pPr>
              <w:keepNext/>
              <w:tabs>
                <w:tab w:val="decimal" w:pos="990"/>
              </w:tabs>
              <w:rPr>
                <w:sz w:val="16"/>
                <w:szCs w:val="18"/>
              </w:rPr>
            </w:pPr>
            <w:r>
              <w:rPr>
                <w:sz w:val="16"/>
                <w:szCs w:val="18"/>
              </w:rPr>
              <w:t>408,800,653</w:t>
            </w:r>
          </w:p>
        </w:tc>
      </w:tr>
      <w:tr w:rsidR="000C0E1A" w:rsidRPr="003B42AB" w:rsidTr="00295B37">
        <w:trPr>
          <w:jc w:val="center"/>
        </w:trPr>
        <w:tc>
          <w:tcPr>
            <w:tcW w:w="3330" w:type="dxa"/>
            <w:shd w:val="clear" w:color="auto" w:fill="auto"/>
          </w:tcPr>
          <w:p w:rsidR="000C0E1A" w:rsidRPr="003B42AB" w:rsidRDefault="000C0E1A" w:rsidP="00811749">
            <w:pPr>
              <w:jc w:val="left"/>
              <w:rPr>
                <w:sz w:val="15"/>
                <w:szCs w:val="15"/>
              </w:rPr>
            </w:pPr>
            <w:r w:rsidRPr="003B42AB">
              <w:rPr>
                <w:sz w:val="15"/>
                <w:szCs w:val="15"/>
              </w:rPr>
              <w:t>Restrictions and Encumbrances</w:t>
            </w:r>
            <w:r w:rsidRPr="003B42AB">
              <w:rPr>
                <w:sz w:val="15"/>
                <w:szCs w:val="15"/>
                <w:vertAlign w:val="superscript"/>
              </w:rPr>
              <w:t>4</w:t>
            </w:r>
          </w:p>
        </w:tc>
        <w:tc>
          <w:tcPr>
            <w:tcW w:w="1260" w:type="dxa"/>
          </w:tcPr>
          <w:p w:rsidR="000C0E1A" w:rsidRPr="003B42AB" w:rsidRDefault="000C0E1A" w:rsidP="00811749">
            <w:pPr>
              <w:tabs>
                <w:tab w:val="decimal" w:pos="1080"/>
              </w:tabs>
              <w:jc w:val="left"/>
              <w:rPr>
                <w:sz w:val="15"/>
                <w:szCs w:val="15"/>
              </w:rPr>
            </w:pPr>
            <w:r w:rsidRPr="003B42AB">
              <w:rPr>
                <w:sz w:val="15"/>
                <w:szCs w:val="15"/>
              </w:rPr>
              <w:t>(96,722,176)</w:t>
            </w:r>
          </w:p>
        </w:tc>
        <w:tc>
          <w:tcPr>
            <w:tcW w:w="990" w:type="dxa"/>
          </w:tcPr>
          <w:p w:rsidR="000C0E1A" w:rsidRPr="003B42AB" w:rsidRDefault="000C0E1A" w:rsidP="00811749">
            <w:pPr>
              <w:tabs>
                <w:tab w:val="decimal" w:pos="900"/>
              </w:tabs>
              <w:rPr>
                <w:sz w:val="15"/>
                <w:szCs w:val="15"/>
              </w:rPr>
            </w:pPr>
            <w:r w:rsidRPr="003B42AB">
              <w:rPr>
                <w:sz w:val="15"/>
                <w:szCs w:val="15"/>
              </w:rPr>
              <w:t>(68,505,539)</w:t>
            </w:r>
          </w:p>
        </w:tc>
        <w:tc>
          <w:tcPr>
            <w:tcW w:w="990" w:type="dxa"/>
          </w:tcPr>
          <w:p w:rsidR="000C0E1A" w:rsidRPr="003B42AB" w:rsidRDefault="000C0E1A" w:rsidP="00811749">
            <w:pPr>
              <w:tabs>
                <w:tab w:val="decimal" w:pos="900"/>
              </w:tabs>
              <w:rPr>
                <w:sz w:val="15"/>
                <w:szCs w:val="15"/>
              </w:rPr>
            </w:pPr>
            <w:r>
              <w:rPr>
                <w:sz w:val="15"/>
                <w:szCs w:val="15"/>
              </w:rPr>
              <w:t>151,593,529</w:t>
            </w:r>
          </w:p>
        </w:tc>
        <w:tc>
          <w:tcPr>
            <w:tcW w:w="1080" w:type="dxa"/>
          </w:tcPr>
          <w:p w:rsidR="000C0E1A" w:rsidRPr="00811749" w:rsidRDefault="000C0E1A" w:rsidP="00B44E01">
            <w:pPr>
              <w:keepNext/>
              <w:tabs>
                <w:tab w:val="decimal" w:pos="990"/>
              </w:tabs>
              <w:rPr>
                <w:sz w:val="16"/>
                <w:szCs w:val="18"/>
              </w:rPr>
            </w:pPr>
            <w:r w:rsidRPr="00811749">
              <w:rPr>
                <w:sz w:val="16"/>
                <w:szCs w:val="18"/>
              </w:rPr>
              <w:t>150,618,432</w:t>
            </w:r>
          </w:p>
        </w:tc>
        <w:tc>
          <w:tcPr>
            <w:tcW w:w="1080" w:type="dxa"/>
          </w:tcPr>
          <w:p w:rsidR="000C0E1A" w:rsidRPr="00811749" w:rsidRDefault="000C0E1A" w:rsidP="00D70BE6">
            <w:pPr>
              <w:keepNext/>
              <w:tabs>
                <w:tab w:val="decimal" w:pos="990"/>
              </w:tabs>
              <w:rPr>
                <w:sz w:val="16"/>
                <w:szCs w:val="18"/>
              </w:rPr>
            </w:pPr>
            <w:r>
              <w:rPr>
                <w:sz w:val="16"/>
                <w:szCs w:val="18"/>
              </w:rPr>
              <w:t>190,756,683</w:t>
            </w:r>
          </w:p>
        </w:tc>
      </w:tr>
      <w:tr w:rsidR="000C0E1A" w:rsidRPr="003B42AB" w:rsidTr="00295B37">
        <w:trPr>
          <w:jc w:val="center"/>
        </w:trPr>
        <w:tc>
          <w:tcPr>
            <w:tcW w:w="3330" w:type="dxa"/>
            <w:shd w:val="clear" w:color="auto" w:fill="auto"/>
          </w:tcPr>
          <w:p w:rsidR="000C0E1A" w:rsidRPr="003B42AB" w:rsidRDefault="000C0E1A" w:rsidP="00811749">
            <w:pPr>
              <w:jc w:val="left"/>
              <w:rPr>
                <w:sz w:val="15"/>
                <w:szCs w:val="15"/>
              </w:rPr>
            </w:pPr>
            <w:r w:rsidRPr="003B42AB">
              <w:rPr>
                <w:sz w:val="15"/>
                <w:szCs w:val="15"/>
              </w:rPr>
              <w:t>Available Fund Balance</w:t>
            </w:r>
            <w:r w:rsidRPr="003B42AB">
              <w:rPr>
                <w:sz w:val="15"/>
                <w:szCs w:val="15"/>
                <w:vertAlign w:val="superscript"/>
              </w:rPr>
              <w:t>5</w:t>
            </w:r>
          </w:p>
        </w:tc>
        <w:tc>
          <w:tcPr>
            <w:tcW w:w="1260" w:type="dxa"/>
          </w:tcPr>
          <w:p w:rsidR="000C0E1A" w:rsidRPr="003B42AB" w:rsidRDefault="000C0E1A" w:rsidP="00811749">
            <w:pPr>
              <w:tabs>
                <w:tab w:val="decimal" w:pos="1080"/>
              </w:tabs>
              <w:jc w:val="left"/>
              <w:rPr>
                <w:sz w:val="15"/>
                <w:szCs w:val="15"/>
              </w:rPr>
            </w:pPr>
            <w:r w:rsidRPr="003B42AB">
              <w:rPr>
                <w:sz w:val="15"/>
                <w:szCs w:val="15"/>
              </w:rPr>
              <w:t>257,963,245</w:t>
            </w:r>
          </w:p>
        </w:tc>
        <w:tc>
          <w:tcPr>
            <w:tcW w:w="990" w:type="dxa"/>
          </w:tcPr>
          <w:p w:rsidR="000C0E1A" w:rsidRPr="003B42AB" w:rsidRDefault="000C0E1A" w:rsidP="00811749">
            <w:pPr>
              <w:tabs>
                <w:tab w:val="decimal" w:pos="900"/>
              </w:tabs>
              <w:rPr>
                <w:sz w:val="15"/>
                <w:szCs w:val="15"/>
              </w:rPr>
            </w:pPr>
            <w:r w:rsidRPr="003B42AB">
              <w:rPr>
                <w:sz w:val="15"/>
                <w:szCs w:val="15"/>
              </w:rPr>
              <w:t>317,090,964</w:t>
            </w:r>
          </w:p>
        </w:tc>
        <w:tc>
          <w:tcPr>
            <w:tcW w:w="990" w:type="dxa"/>
          </w:tcPr>
          <w:p w:rsidR="000C0E1A" w:rsidRPr="003B42AB" w:rsidRDefault="000C0E1A" w:rsidP="00811749">
            <w:pPr>
              <w:tabs>
                <w:tab w:val="decimal" w:pos="900"/>
              </w:tabs>
              <w:rPr>
                <w:sz w:val="15"/>
                <w:szCs w:val="15"/>
              </w:rPr>
            </w:pPr>
            <w:r>
              <w:rPr>
                <w:sz w:val="15"/>
                <w:szCs w:val="15"/>
              </w:rPr>
              <w:t>236,358,471</w:t>
            </w:r>
          </w:p>
        </w:tc>
        <w:tc>
          <w:tcPr>
            <w:tcW w:w="1080" w:type="dxa"/>
          </w:tcPr>
          <w:p w:rsidR="000C0E1A" w:rsidRPr="00811749" w:rsidRDefault="000C0E1A" w:rsidP="00B44E01">
            <w:pPr>
              <w:keepNext/>
              <w:tabs>
                <w:tab w:val="decimal" w:pos="990"/>
              </w:tabs>
              <w:rPr>
                <w:sz w:val="16"/>
                <w:szCs w:val="18"/>
              </w:rPr>
            </w:pPr>
            <w:r w:rsidRPr="00811749">
              <w:rPr>
                <w:sz w:val="16"/>
                <w:szCs w:val="18"/>
              </w:rPr>
              <w:t>266,488,326</w:t>
            </w:r>
          </w:p>
        </w:tc>
        <w:tc>
          <w:tcPr>
            <w:tcW w:w="1080" w:type="dxa"/>
          </w:tcPr>
          <w:p w:rsidR="000C0E1A" w:rsidRPr="00811749" w:rsidRDefault="000C0E1A" w:rsidP="00D70BE6">
            <w:pPr>
              <w:keepNext/>
              <w:tabs>
                <w:tab w:val="decimal" w:pos="990"/>
              </w:tabs>
              <w:rPr>
                <w:sz w:val="16"/>
                <w:szCs w:val="18"/>
              </w:rPr>
            </w:pPr>
            <w:r>
              <w:rPr>
                <w:sz w:val="16"/>
                <w:szCs w:val="18"/>
              </w:rPr>
              <w:t>218,043,970</w:t>
            </w:r>
          </w:p>
        </w:tc>
      </w:tr>
      <w:tr w:rsidR="000C0E1A" w:rsidRPr="003B42AB" w:rsidTr="00295B37">
        <w:trPr>
          <w:jc w:val="center"/>
        </w:trPr>
        <w:tc>
          <w:tcPr>
            <w:tcW w:w="3330" w:type="dxa"/>
            <w:shd w:val="clear" w:color="auto" w:fill="auto"/>
          </w:tcPr>
          <w:p w:rsidR="000C0E1A" w:rsidRPr="003B42AB" w:rsidRDefault="000C0E1A" w:rsidP="00811749">
            <w:pPr>
              <w:jc w:val="left"/>
              <w:rPr>
                <w:b/>
                <w:sz w:val="15"/>
                <w:szCs w:val="15"/>
              </w:rPr>
            </w:pPr>
          </w:p>
        </w:tc>
        <w:tc>
          <w:tcPr>
            <w:tcW w:w="1260" w:type="dxa"/>
          </w:tcPr>
          <w:p w:rsidR="000C0E1A" w:rsidRPr="003B42AB" w:rsidRDefault="000C0E1A" w:rsidP="00811749">
            <w:pPr>
              <w:jc w:val="left"/>
              <w:rPr>
                <w:sz w:val="15"/>
                <w:szCs w:val="15"/>
              </w:rPr>
            </w:pPr>
          </w:p>
        </w:tc>
        <w:tc>
          <w:tcPr>
            <w:tcW w:w="990" w:type="dxa"/>
          </w:tcPr>
          <w:p w:rsidR="000C0E1A" w:rsidRPr="003B42AB" w:rsidRDefault="000C0E1A" w:rsidP="00811749">
            <w:pPr>
              <w:jc w:val="left"/>
              <w:rPr>
                <w:sz w:val="15"/>
                <w:szCs w:val="15"/>
              </w:rPr>
            </w:pPr>
          </w:p>
        </w:tc>
        <w:tc>
          <w:tcPr>
            <w:tcW w:w="990" w:type="dxa"/>
          </w:tcPr>
          <w:p w:rsidR="000C0E1A" w:rsidRPr="003B42AB" w:rsidRDefault="000C0E1A" w:rsidP="00811749">
            <w:pPr>
              <w:jc w:val="left"/>
              <w:rPr>
                <w:sz w:val="15"/>
                <w:szCs w:val="15"/>
              </w:rPr>
            </w:pPr>
          </w:p>
        </w:tc>
        <w:tc>
          <w:tcPr>
            <w:tcW w:w="1080" w:type="dxa"/>
          </w:tcPr>
          <w:p w:rsidR="000C0E1A" w:rsidRPr="00811749" w:rsidRDefault="000C0E1A" w:rsidP="00811749">
            <w:pPr>
              <w:keepNext/>
              <w:tabs>
                <w:tab w:val="decimal" w:pos="1242"/>
                <w:tab w:val="decimal" w:pos="1392"/>
              </w:tabs>
              <w:rPr>
                <w:sz w:val="16"/>
                <w:szCs w:val="18"/>
              </w:rPr>
            </w:pPr>
          </w:p>
        </w:tc>
        <w:tc>
          <w:tcPr>
            <w:tcW w:w="1080" w:type="dxa"/>
          </w:tcPr>
          <w:p w:rsidR="000C0E1A" w:rsidRPr="00811749" w:rsidRDefault="000C0E1A" w:rsidP="00811749">
            <w:pPr>
              <w:keepNext/>
              <w:tabs>
                <w:tab w:val="decimal" w:pos="1242"/>
                <w:tab w:val="decimal" w:pos="1392"/>
              </w:tabs>
              <w:rPr>
                <w:sz w:val="16"/>
                <w:szCs w:val="18"/>
              </w:rPr>
            </w:pPr>
          </w:p>
        </w:tc>
      </w:tr>
      <w:tr w:rsidR="000C0E1A" w:rsidRPr="003B42AB" w:rsidTr="00295B37">
        <w:trPr>
          <w:trHeight w:val="360"/>
          <w:jc w:val="center"/>
        </w:trPr>
        <w:tc>
          <w:tcPr>
            <w:tcW w:w="3330" w:type="dxa"/>
            <w:shd w:val="clear" w:color="auto" w:fill="auto"/>
          </w:tcPr>
          <w:p w:rsidR="000C0E1A" w:rsidRPr="003B42AB" w:rsidRDefault="000C0E1A" w:rsidP="00811749">
            <w:pPr>
              <w:jc w:val="left"/>
              <w:rPr>
                <w:b/>
                <w:sz w:val="15"/>
                <w:szCs w:val="15"/>
              </w:rPr>
            </w:pPr>
          </w:p>
        </w:tc>
        <w:tc>
          <w:tcPr>
            <w:tcW w:w="1260" w:type="dxa"/>
          </w:tcPr>
          <w:p w:rsidR="000C0E1A" w:rsidRPr="003B42AB" w:rsidRDefault="000C0E1A" w:rsidP="00811749">
            <w:pPr>
              <w:jc w:val="center"/>
              <w:rPr>
                <w:b/>
                <w:sz w:val="15"/>
                <w:szCs w:val="15"/>
              </w:rPr>
            </w:pPr>
            <w:r w:rsidRPr="003B42AB">
              <w:rPr>
                <w:b/>
                <w:sz w:val="15"/>
                <w:szCs w:val="15"/>
              </w:rPr>
              <w:t>Fiscal Year</w:t>
            </w:r>
            <w:r w:rsidRPr="003B42AB">
              <w:rPr>
                <w:b/>
                <w:sz w:val="15"/>
                <w:szCs w:val="15"/>
              </w:rPr>
              <w:br/>
            </w:r>
            <w:r w:rsidRPr="003B42AB">
              <w:rPr>
                <w:b/>
                <w:sz w:val="15"/>
                <w:szCs w:val="15"/>
                <w:u w:val="single"/>
              </w:rPr>
              <w:t>2015-2016</w:t>
            </w:r>
          </w:p>
        </w:tc>
        <w:tc>
          <w:tcPr>
            <w:tcW w:w="990" w:type="dxa"/>
          </w:tcPr>
          <w:p w:rsidR="000C0E1A" w:rsidRPr="003B42AB" w:rsidRDefault="000C0E1A" w:rsidP="00811749">
            <w:pPr>
              <w:jc w:val="center"/>
              <w:rPr>
                <w:b/>
                <w:sz w:val="15"/>
                <w:szCs w:val="15"/>
              </w:rPr>
            </w:pPr>
            <w:r w:rsidRPr="003B42AB">
              <w:rPr>
                <w:b/>
                <w:sz w:val="15"/>
                <w:szCs w:val="15"/>
              </w:rPr>
              <w:t>Fiscal Year</w:t>
            </w:r>
            <w:r w:rsidRPr="003B42AB">
              <w:rPr>
                <w:b/>
                <w:sz w:val="15"/>
                <w:szCs w:val="15"/>
              </w:rPr>
              <w:br/>
            </w:r>
            <w:r w:rsidRPr="003B42AB">
              <w:rPr>
                <w:b/>
                <w:sz w:val="15"/>
                <w:szCs w:val="15"/>
                <w:u w:val="single"/>
              </w:rPr>
              <w:t>2016-2017</w:t>
            </w:r>
          </w:p>
        </w:tc>
        <w:tc>
          <w:tcPr>
            <w:tcW w:w="990" w:type="dxa"/>
          </w:tcPr>
          <w:p w:rsidR="000C0E1A" w:rsidRPr="003B42AB" w:rsidRDefault="000C0E1A" w:rsidP="00811749">
            <w:pPr>
              <w:jc w:val="center"/>
              <w:rPr>
                <w:b/>
                <w:sz w:val="15"/>
                <w:szCs w:val="15"/>
              </w:rPr>
            </w:pPr>
            <w:r w:rsidRPr="003B42AB">
              <w:rPr>
                <w:b/>
                <w:sz w:val="15"/>
                <w:szCs w:val="15"/>
              </w:rPr>
              <w:t>Fiscal Year</w:t>
            </w:r>
            <w:r>
              <w:rPr>
                <w:b/>
                <w:sz w:val="15"/>
                <w:szCs w:val="15"/>
              </w:rPr>
              <w:br/>
            </w:r>
            <w:r w:rsidRPr="003B42AB">
              <w:rPr>
                <w:b/>
                <w:sz w:val="15"/>
                <w:szCs w:val="15"/>
              </w:rPr>
              <w:t xml:space="preserve"> </w:t>
            </w:r>
            <w:r w:rsidRPr="003B42AB">
              <w:rPr>
                <w:b/>
                <w:sz w:val="15"/>
                <w:szCs w:val="15"/>
                <w:u w:val="single"/>
              </w:rPr>
              <w:t>2017-2018</w:t>
            </w:r>
          </w:p>
        </w:tc>
        <w:tc>
          <w:tcPr>
            <w:tcW w:w="1080" w:type="dxa"/>
          </w:tcPr>
          <w:p w:rsidR="000C0E1A" w:rsidRPr="00811749" w:rsidRDefault="000C0E1A" w:rsidP="00811749">
            <w:pPr>
              <w:keepNext/>
              <w:spacing w:after="80"/>
              <w:jc w:val="center"/>
              <w:rPr>
                <w:b/>
                <w:sz w:val="16"/>
                <w:szCs w:val="18"/>
                <w:u w:val="single"/>
              </w:rPr>
            </w:pPr>
            <w:r w:rsidRPr="00811749">
              <w:rPr>
                <w:b/>
                <w:sz w:val="16"/>
                <w:szCs w:val="18"/>
              </w:rPr>
              <w:t>Fiscal Year</w:t>
            </w:r>
            <w:r w:rsidRPr="00811749">
              <w:rPr>
                <w:b/>
                <w:sz w:val="16"/>
                <w:szCs w:val="18"/>
              </w:rPr>
              <w:br/>
            </w:r>
            <w:r w:rsidRPr="00811749">
              <w:rPr>
                <w:b/>
                <w:sz w:val="16"/>
                <w:szCs w:val="18"/>
                <w:u w:val="single"/>
              </w:rPr>
              <w:t>2018-2019</w:t>
            </w:r>
          </w:p>
        </w:tc>
        <w:tc>
          <w:tcPr>
            <w:tcW w:w="1080" w:type="dxa"/>
          </w:tcPr>
          <w:p w:rsidR="000C0E1A" w:rsidRPr="00811749" w:rsidRDefault="000C0E1A" w:rsidP="000C0E1A">
            <w:pPr>
              <w:keepNext/>
              <w:spacing w:after="80"/>
              <w:jc w:val="center"/>
              <w:rPr>
                <w:b/>
                <w:sz w:val="16"/>
                <w:szCs w:val="18"/>
              </w:rPr>
            </w:pPr>
            <w:r>
              <w:rPr>
                <w:b/>
                <w:sz w:val="16"/>
                <w:szCs w:val="18"/>
              </w:rPr>
              <w:t>Fiscal Year</w:t>
            </w:r>
            <w:r>
              <w:rPr>
                <w:b/>
                <w:sz w:val="16"/>
                <w:szCs w:val="18"/>
              </w:rPr>
              <w:br/>
            </w:r>
            <w:r w:rsidRPr="000C0E1A">
              <w:rPr>
                <w:b/>
                <w:sz w:val="16"/>
                <w:szCs w:val="18"/>
                <w:u w:val="single"/>
              </w:rPr>
              <w:t>2019-</w:t>
            </w:r>
            <w:r w:rsidR="00ED5858">
              <w:rPr>
                <w:b/>
                <w:sz w:val="16"/>
                <w:szCs w:val="18"/>
                <w:u w:val="single"/>
              </w:rPr>
              <w:t>20</w:t>
            </w:r>
            <w:r w:rsidRPr="000C0E1A">
              <w:rPr>
                <w:b/>
                <w:sz w:val="16"/>
                <w:szCs w:val="18"/>
                <w:u w:val="single"/>
              </w:rPr>
              <w:t>20</w:t>
            </w:r>
          </w:p>
        </w:tc>
      </w:tr>
      <w:tr w:rsidR="000C0E1A" w:rsidRPr="003B42AB" w:rsidTr="00295B37">
        <w:trPr>
          <w:jc w:val="center"/>
        </w:trPr>
        <w:tc>
          <w:tcPr>
            <w:tcW w:w="3330" w:type="dxa"/>
            <w:shd w:val="clear" w:color="auto" w:fill="auto"/>
          </w:tcPr>
          <w:p w:rsidR="000C0E1A" w:rsidRPr="003B42AB" w:rsidRDefault="000C0E1A" w:rsidP="00811749">
            <w:pPr>
              <w:jc w:val="left"/>
              <w:rPr>
                <w:b/>
                <w:sz w:val="15"/>
                <w:szCs w:val="15"/>
              </w:rPr>
            </w:pPr>
            <w:r w:rsidRPr="003B42AB">
              <w:rPr>
                <w:b/>
                <w:sz w:val="15"/>
                <w:szCs w:val="15"/>
              </w:rPr>
              <w:t>Revenue:</w:t>
            </w:r>
          </w:p>
        </w:tc>
        <w:tc>
          <w:tcPr>
            <w:tcW w:w="1260" w:type="dxa"/>
          </w:tcPr>
          <w:p w:rsidR="000C0E1A" w:rsidRPr="003B42AB" w:rsidRDefault="000C0E1A" w:rsidP="00811749">
            <w:pPr>
              <w:jc w:val="left"/>
              <w:rPr>
                <w:sz w:val="15"/>
                <w:szCs w:val="15"/>
              </w:rPr>
            </w:pPr>
          </w:p>
        </w:tc>
        <w:tc>
          <w:tcPr>
            <w:tcW w:w="990" w:type="dxa"/>
          </w:tcPr>
          <w:p w:rsidR="000C0E1A" w:rsidRPr="003B42AB" w:rsidRDefault="000C0E1A" w:rsidP="00811749">
            <w:pPr>
              <w:jc w:val="left"/>
              <w:rPr>
                <w:sz w:val="15"/>
                <w:szCs w:val="15"/>
              </w:rPr>
            </w:pPr>
          </w:p>
        </w:tc>
        <w:tc>
          <w:tcPr>
            <w:tcW w:w="990" w:type="dxa"/>
          </w:tcPr>
          <w:p w:rsidR="000C0E1A" w:rsidRPr="003B42AB" w:rsidRDefault="000C0E1A" w:rsidP="00811749">
            <w:pPr>
              <w:jc w:val="left"/>
              <w:rPr>
                <w:sz w:val="15"/>
                <w:szCs w:val="15"/>
              </w:rPr>
            </w:pPr>
          </w:p>
        </w:tc>
        <w:tc>
          <w:tcPr>
            <w:tcW w:w="1080" w:type="dxa"/>
          </w:tcPr>
          <w:p w:rsidR="000C0E1A" w:rsidRPr="00811749" w:rsidRDefault="000C0E1A" w:rsidP="00811749">
            <w:pPr>
              <w:keepNext/>
              <w:tabs>
                <w:tab w:val="decimal" w:pos="1242"/>
                <w:tab w:val="decimal" w:pos="1392"/>
              </w:tabs>
              <w:rPr>
                <w:sz w:val="16"/>
                <w:szCs w:val="18"/>
              </w:rPr>
            </w:pPr>
          </w:p>
        </w:tc>
        <w:tc>
          <w:tcPr>
            <w:tcW w:w="1080" w:type="dxa"/>
          </w:tcPr>
          <w:p w:rsidR="000C0E1A" w:rsidRPr="00811749" w:rsidRDefault="000C0E1A" w:rsidP="00811749">
            <w:pPr>
              <w:keepNext/>
              <w:tabs>
                <w:tab w:val="decimal" w:pos="1242"/>
                <w:tab w:val="decimal" w:pos="1392"/>
              </w:tabs>
              <w:rPr>
                <w:sz w:val="16"/>
                <w:szCs w:val="18"/>
              </w:rPr>
            </w:pPr>
          </w:p>
        </w:tc>
      </w:tr>
      <w:tr w:rsidR="000C0E1A" w:rsidRPr="003B42AB" w:rsidTr="00295B37">
        <w:trPr>
          <w:jc w:val="center"/>
        </w:trPr>
        <w:tc>
          <w:tcPr>
            <w:tcW w:w="3330" w:type="dxa"/>
            <w:shd w:val="clear" w:color="auto" w:fill="auto"/>
          </w:tcPr>
          <w:p w:rsidR="000C0E1A" w:rsidRPr="003B42AB" w:rsidRDefault="000C0E1A" w:rsidP="00811749">
            <w:pPr>
              <w:jc w:val="left"/>
              <w:rPr>
                <w:sz w:val="15"/>
                <w:szCs w:val="15"/>
              </w:rPr>
            </w:pPr>
            <w:r w:rsidRPr="003B42AB">
              <w:rPr>
                <w:sz w:val="15"/>
                <w:szCs w:val="15"/>
              </w:rPr>
              <w:t>Transfers In for Grants and Construction Payments</w:t>
            </w:r>
            <w:r w:rsidRPr="003B42AB">
              <w:rPr>
                <w:sz w:val="15"/>
                <w:szCs w:val="15"/>
                <w:vertAlign w:val="superscript"/>
              </w:rPr>
              <w:t>6</w:t>
            </w:r>
          </w:p>
        </w:tc>
        <w:tc>
          <w:tcPr>
            <w:tcW w:w="1260" w:type="dxa"/>
            <w:vAlign w:val="bottom"/>
          </w:tcPr>
          <w:p w:rsidR="000C0E1A" w:rsidRPr="003B42AB" w:rsidRDefault="000C0E1A" w:rsidP="00811749">
            <w:pPr>
              <w:tabs>
                <w:tab w:val="decimal" w:pos="1080"/>
              </w:tabs>
              <w:jc w:val="left"/>
              <w:rPr>
                <w:sz w:val="15"/>
                <w:szCs w:val="15"/>
              </w:rPr>
            </w:pPr>
            <w:r>
              <w:rPr>
                <w:sz w:val="15"/>
                <w:szCs w:val="15"/>
              </w:rPr>
              <w:t>$</w:t>
            </w:r>
            <w:r w:rsidRPr="003B42AB">
              <w:rPr>
                <w:sz w:val="15"/>
                <w:szCs w:val="15"/>
              </w:rPr>
              <w:t>70,299,333</w:t>
            </w:r>
          </w:p>
        </w:tc>
        <w:tc>
          <w:tcPr>
            <w:tcW w:w="990" w:type="dxa"/>
            <w:vAlign w:val="bottom"/>
          </w:tcPr>
          <w:p w:rsidR="000C0E1A" w:rsidRPr="003B42AB" w:rsidRDefault="000C0E1A" w:rsidP="00811749">
            <w:pPr>
              <w:tabs>
                <w:tab w:val="decimal" w:pos="900"/>
              </w:tabs>
              <w:rPr>
                <w:sz w:val="15"/>
                <w:szCs w:val="15"/>
              </w:rPr>
            </w:pPr>
            <w:r w:rsidRPr="003B42AB">
              <w:rPr>
                <w:sz w:val="15"/>
                <w:szCs w:val="15"/>
              </w:rPr>
              <w:t>$              --</w:t>
            </w:r>
          </w:p>
        </w:tc>
        <w:tc>
          <w:tcPr>
            <w:tcW w:w="990" w:type="dxa"/>
          </w:tcPr>
          <w:p w:rsidR="000C0E1A" w:rsidRPr="003B42AB" w:rsidRDefault="000C0E1A" w:rsidP="00811749">
            <w:pPr>
              <w:tabs>
                <w:tab w:val="decimal" w:pos="813"/>
              </w:tabs>
              <w:jc w:val="left"/>
              <w:rPr>
                <w:sz w:val="15"/>
                <w:szCs w:val="15"/>
              </w:rPr>
            </w:pPr>
            <w:r>
              <w:rPr>
                <w:sz w:val="15"/>
                <w:szCs w:val="15"/>
              </w:rPr>
              <w:t>$</w:t>
            </w:r>
            <w:r w:rsidRPr="003B42AB">
              <w:rPr>
                <w:sz w:val="15"/>
                <w:szCs w:val="15"/>
              </w:rPr>
              <w:t>8,807,361</w:t>
            </w:r>
          </w:p>
        </w:tc>
        <w:tc>
          <w:tcPr>
            <w:tcW w:w="1080" w:type="dxa"/>
            <w:vAlign w:val="bottom"/>
          </w:tcPr>
          <w:p w:rsidR="000C0E1A" w:rsidRPr="00811749" w:rsidRDefault="000C0E1A" w:rsidP="00B44E01">
            <w:pPr>
              <w:keepNext/>
              <w:tabs>
                <w:tab w:val="decimal" w:pos="990"/>
              </w:tabs>
              <w:rPr>
                <w:sz w:val="16"/>
                <w:szCs w:val="18"/>
              </w:rPr>
            </w:pPr>
            <w:r w:rsidRPr="00811749">
              <w:rPr>
                <w:sz w:val="16"/>
                <w:szCs w:val="18"/>
              </w:rPr>
              <w:t>$93,877,955</w:t>
            </w:r>
          </w:p>
        </w:tc>
        <w:tc>
          <w:tcPr>
            <w:tcW w:w="1080" w:type="dxa"/>
            <w:vAlign w:val="bottom"/>
          </w:tcPr>
          <w:p w:rsidR="000C0E1A" w:rsidRPr="00811749" w:rsidRDefault="00B44E01" w:rsidP="00215AFA">
            <w:pPr>
              <w:keepNext/>
              <w:tabs>
                <w:tab w:val="decimal" w:pos="990"/>
              </w:tabs>
              <w:rPr>
                <w:sz w:val="16"/>
                <w:szCs w:val="18"/>
              </w:rPr>
            </w:pPr>
            <w:r>
              <w:rPr>
                <w:sz w:val="16"/>
                <w:szCs w:val="18"/>
              </w:rPr>
              <w:t>$212,917,293</w:t>
            </w:r>
          </w:p>
        </w:tc>
      </w:tr>
      <w:tr w:rsidR="000C0E1A" w:rsidRPr="003B42AB" w:rsidTr="00295B37">
        <w:trPr>
          <w:jc w:val="center"/>
        </w:trPr>
        <w:tc>
          <w:tcPr>
            <w:tcW w:w="3330" w:type="dxa"/>
            <w:shd w:val="clear" w:color="auto" w:fill="auto"/>
          </w:tcPr>
          <w:p w:rsidR="000C0E1A" w:rsidRPr="003B42AB" w:rsidRDefault="000C0E1A" w:rsidP="00811749">
            <w:pPr>
              <w:jc w:val="left"/>
              <w:rPr>
                <w:sz w:val="15"/>
                <w:szCs w:val="15"/>
              </w:rPr>
            </w:pPr>
            <w:r w:rsidRPr="003B42AB">
              <w:rPr>
                <w:sz w:val="15"/>
                <w:szCs w:val="15"/>
              </w:rPr>
              <w:t xml:space="preserve">Rents and Royalties from the State Land Board </w:t>
            </w:r>
          </w:p>
        </w:tc>
        <w:tc>
          <w:tcPr>
            <w:tcW w:w="1260" w:type="dxa"/>
            <w:vAlign w:val="bottom"/>
          </w:tcPr>
          <w:p w:rsidR="000C0E1A" w:rsidRPr="003B42AB" w:rsidRDefault="000C0E1A" w:rsidP="00811749">
            <w:pPr>
              <w:tabs>
                <w:tab w:val="decimal" w:pos="1080"/>
              </w:tabs>
              <w:jc w:val="left"/>
              <w:rPr>
                <w:sz w:val="15"/>
                <w:szCs w:val="15"/>
              </w:rPr>
            </w:pPr>
            <w:r w:rsidRPr="003B42AB">
              <w:rPr>
                <w:sz w:val="15"/>
                <w:szCs w:val="15"/>
              </w:rPr>
              <w:t>65,802,073</w:t>
            </w:r>
          </w:p>
        </w:tc>
        <w:tc>
          <w:tcPr>
            <w:tcW w:w="990" w:type="dxa"/>
            <w:vAlign w:val="bottom"/>
          </w:tcPr>
          <w:p w:rsidR="000C0E1A" w:rsidRPr="003B42AB" w:rsidRDefault="000C0E1A" w:rsidP="00811749">
            <w:pPr>
              <w:tabs>
                <w:tab w:val="decimal" w:pos="900"/>
              </w:tabs>
              <w:rPr>
                <w:sz w:val="15"/>
                <w:szCs w:val="15"/>
              </w:rPr>
            </w:pPr>
            <w:r w:rsidRPr="003B42AB">
              <w:rPr>
                <w:sz w:val="15"/>
                <w:szCs w:val="15"/>
              </w:rPr>
              <w:t>58,501,081</w:t>
            </w:r>
          </w:p>
        </w:tc>
        <w:tc>
          <w:tcPr>
            <w:tcW w:w="990" w:type="dxa"/>
          </w:tcPr>
          <w:p w:rsidR="000C0E1A" w:rsidRPr="003B42AB" w:rsidRDefault="000C0E1A" w:rsidP="00811749">
            <w:pPr>
              <w:tabs>
                <w:tab w:val="decimal" w:pos="813"/>
              </w:tabs>
              <w:jc w:val="left"/>
              <w:rPr>
                <w:sz w:val="15"/>
                <w:szCs w:val="15"/>
              </w:rPr>
            </w:pPr>
            <w:r w:rsidRPr="003B42AB">
              <w:rPr>
                <w:sz w:val="15"/>
                <w:szCs w:val="15"/>
              </w:rPr>
              <w:t xml:space="preserve">  69,227,578</w:t>
            </w:r>
          </w:p>
        </w:tc>
        <w:tc>
          <w:tcPr>
            <w:tcW w:w="1080" w:type="dxa"/>
            <w:vAlign w:val="bottom"/>
          </w:tcPr>
          <w:p w:rsidR="000C0E1A" w:rsidRPr="00811749" w:rsidRDefault="000C0E1A" w:rsidP="00B44E01">
            <w:pPr>
              <w:keepNext/>
              <w:tabs>
                <w:tab w:val="decimal" w:pos="990"/>
              </w:tabs>
              <w:rPr>
                <w:sz w:val="16"/>
                <w:szCs w:val="18"/>
              </w:rPr>
            </w:pPr>
            <w:r w:rsidRPr="00811749">
              <w:rPr>
                <w:sz w:val="16"/>
                <w:szCs w:val="18"/>
              </w:rPr>
              <w:t xml:space="preserve">82,406,770 </w:t>
            </w:r>
          </w:p>
        </w:tc>
        <w:tc>
          <w:tcPr>
            <w:tcW w:w="1080" w:type="dxa"/>
            <w:vAlign w:val="bottom"/>
          </w:tcPr>
          <w:p w:rsidR="000C0E1A" w:rsidRPr="00811749" w:rsidRDefault="00B44E01" w:rsidP="00215AFA">
            <w:pPr>
              <w:keepNext/>
              <w:tabs>
                <w:tab w:val="decimal" w:pos="990"/>
              </w:tabs>
              <w:rPr>
                <w:sz w:val="16"/>
                <w:szCs w:val="18"/>
              </w:rPr>
            </w:pPr>
            <w:r>
              <w:rPr>
                <w:sz w:val="16"/>
                <w:szCs w:val="18"/>
              </w:rPr>
              <w:t>78,488,226</w:t>
            </w:r>
          </w:p>
        </w:tc>
      </w:tr>
      <w:tr w:rsidR="000C0E1A" w:rsidRPr="003B42AB" w:rsidTr="00295B37">
        <w:trPr>
          <w:jc w:val="center"/>
        </w:trPr>
        <w:tc>
          <w:tcPr>
            <w:tcW w:w="3330" w:type="dxa"/>
            <w:shd w:val="clear" w:color="auto" w:fill="auto"/>
          </w:tcPr>
          <w:p w:rsidR="000C0E1A" w:rsidRPr="003B42AB" w:rsidRDefault="000C0E1A" w:rsidP="00811749">
            <w:pPr>
              <w:jc w:val="left"/>
              <w:rPr>
                <w:sz w:val="15"/>
                <w:szCs w:val="15"/>
              </w:rPr>
            </w:pPr>
            <w:r w:rsidRPr="003B42AB">
              <w:rPr>
                <w:sz w:val="15"/>
                <w:szCs w:val="15"/>
              </w:rPr>
              <w:t>Lottery</w:t>
            </w:r>
          </w:p>
        </w:tc>
        <w:tc>
          <w:tcPr>
            <w:tcW w:w="1260" w:type="dxa"/>
          </w:tcPr>
          <w:p w:rsidR="000C0E1A" w:rsidRPr="003B42AB" w:rsidRDefault="000C0E1A" w:rsidP="00811749">
            <w:pPr>
              <w:tabs>
                <w:tab w:val="decimal" w:pos="1080"/>
              </w:tabs>
              <w:jc w:val="left"/>
              <w:rPr>
                <w:sz w:val="15"/>
                <w:szCs w:val="15"/>
              </w:rPr>
            </w:pPr>
            <w:r w:rsidRPr="003B42AB">
              <w:rPr>
                <w:sz w:val="15"/>
                <w:szCs w:val="15"/>
              </w:rPr>
              <w:t>8,070,499</w:t>
            </w:r>
          </w:p>
        </w:tc>
        <w:tc>
          <w:tcPr>
            <w:tcW w:w="990" w:type="dxa"/>
          </w:tcPr>
          <w:p w:rsidR="000C0E1A" w:rsidRPr="003B42AB" w:rsidRDefault="000C0E1A" w:rsidP="00811749">
            <w:pPr>
              <w:tabs>
                <w:tab w:val="decimal" w:pos="900"/>
              </w:tabs>
              <w:rPr>
                <w:sz w:val="15"/>
                <w:szCs w:val="15"/>
              </w:rPr>
            </w:pPr>
            <w:r w:rsidRPr="003B42AB">
              <w:rPr>
                <w:sz w:val="15"/>
                <w:szCs w:val="15"/>
              </w:rPr>
              <w:t>2,273,562</w:t>
            </w:r>
          </w:p>
        </w:tc>
        <w:tc>
          <w:tcPr>
            <w:tcW w:w="990" w:type="dxa"/>
          </w:tcPr>
          <w:p w:rsidR="000C0E1A" w:rsidRPr="003B42AB" w:rsidRDefault="000C0E1A" w:rsidP="00811749">
            <w:pPr>
              <w:tabs>
                <w:tab w:val="decimal" w:pos="813"/>
              </w:tabs>
              <w:jc w:val="left"/>
              <w:rPr>
                <w:sz w:val="15"/>
                <w:szCs w:val="15"/>
              </w:rPr>
            </w:pPr>
            <w:r w:rsidRPr="003B42AB">
              <w:rPr>
                <w:sz w:val="15"/>
                <w:szCs w:val="15"/>
              </w:rPr>
              <w:t xml:space="preserve">   4,117,403</w:t>
            </w:r>
          </w:p>
        </w:tc>
        <w:tc>
          <w:tcPr>
            <w:tcW w:w="1080" w:type="dxa"/>
            <w:vAlign w:val="bottom"/>
          </w:tcPr>
          <w:p w:rsidR="000C0E1A" w:rsidRPr="00811749" w:rsidRDefault="000C0E1A" w:rsidP="00B44E01">
            <w:pPr>
              <w:keepNext/>
              <w:tabs>
                <w:tab w:val="decimal" w:pos="990"/>
              </w:tabs>
              <w:rPr>
                <w:sz w:val="16"/>
                <w:szCs w:val="18"/>
              </w:rPr>
            </w:pPr>
            <w:r w:rsidRPr="00811749">
              <w:rPr>
                <w:sz w:val="16"/>
                <w:szCs w:val="18"/>
              </w:rPr>
              <w:t xml:space="preserve">14,736,143 </w:t>
            </w:r>
          </w:p>
        </w:tc>
        <w:tc>
          <w:tcPr>
            <w:tcW w:w="1080" w:type="dxa"/>
          </w:tcPr>
          <w:p w:rsidR="000C0E1A" w:rsidRPr="00811749" w:rsidRDefault="00B44E01" w:rsidP="00215AFA">
            <w:pPr>
              <w:keepNext/>
              <w:tabs>
                <w:tab w:val="decimal" w:pos="990"/>
              </w:tabs>
              <w:rPr>
                <w:sz w:val="16"/>
                <w:szCs w:val="18"/>
              </w:rPr>
            </w:pPr>
            <w:r>
              <w:rPr>
                <w:sz w:val="16"/>
                <w:szCs w:val="18"/>
              </w:rPr>
              <w:t>847,978</w:t>
            </w:r>
          </w:p>
        </w:tc>
      </w:tr>
      <w:tr w:rsidR="000C0E1A" w:rsidRPr="003B42AB" w:rsidTr="00295B37">
        <w:trPr>
          <w:jc w:val="center"/>
        </w:trPr>
        <w:tc>
          <w:tcPr>
            <w:tcW w:w="3330" w:type="dxa"/>
            <w:shd w:val="clear" w:color="auto" w:fill="auto"/>
          </w:tcPr>
          <w:p w:rsidR="000C0E1A" w:rsidRPr="003B42AB" w:rsidRDefault="000C0E1A" w:rsidP="00811749">
            <w:pPr>
              <w:jc w:val="left"/>
              <w:rPr>
                <w:sz w:val="15"/>
                <w:szCs w:val="15"/>
              </w:rPr>
            </w:pPr>
            <w:r w:rsidRPr="003B42AB">
              <w:rPr>
                <w:sz w:val="15"/>
                <w:szCs w:val="15"/>
              </w:rPr>
              <w:t>Marijuana Excise Tax</w:t>
            </w:r>
          </w:p>
        </w:tc>
        <w:tc>
          <w:tcPr>
            <w:tcW w:w="1260" w:type="dxa"/>
          </w:tcPr>
          <w:p w:rsidR="000C0E1A" w:rsidRPr="003B42AB" w:rsidRDefault="000C0E1A" w:rsidP="00811749">
            <w:pPr>
              <w:tabs>
                <w:tab w:val="decimal" w:pos="1080"/>
              </w:tabs>
              <w:jc w:val="left"/>
              <w:rPr>
                <w:sz w:val="15"/>
                <w:szCs w:val="15"/>
              </w:rPr>
            </w:pPr>
            <w:r w:rsidRPr="003B42AB">
              <w:rPr>
                <w:sz w:val="15"/>
                <w:szCs w:val="15"/>
              </w:rPr>
              <w:t>40,000,000</w:t>
            </w:r>
          </w:p>
        </w:tc>
        <w:tc>
          <w:tcPr>
            <w:tcW w:w="990" w:type="dxa"/>
          </w:tcPr>
          <w:p w:rsidR="000C0E1A" w:rsidRPr="003B42AB" w:rsidRDefault="000C0E1A" w:rsidP="00811749">
            <w:pPr>
              <w:tabs>
                <w:tab w:val="decimal" w:pos="900"/>
              </w:tabs>
              <w:rPr>
                <w:sz w:val="15"/>
                <w:szCs w:val="15"/>
              </w:rPr>
            </w:pPr>
            <w:r w:rsidRPr="003B42AB">
              <w:rPr>
                <w:sz w:val="15"/>
                <w:szCs w:val="15"/>
              </w:rPr>
              <w:t>40,000,000</w:t>
            </w:r>
          </w:p>
        </w:tc>
        <w:tc>
          <w:tcPr>
            <w:tcW w:w="990" w:type="dxa"/>
          </w:tcPr>
          <w:p w:rsidR="000C0E1A" w:rsidRPr="003B42AB" w:rsidRDefault="000C0E1A" w:rsidP="00811749">
            <w:pPr>
              <w:tabs>
                <w:tab w:val="decimal" w:pos="813"/>
              </w:tabs>
              <w:jc w:val="left"/>
              <w:rPr>
                <w:sz w:val="15"/>
                <w:szCs w:val="15"/>
              </w:rPr>
            </w:pPr>
            <w:r w:rsidRPr="003B42AB">
              <w:rPr>
                <w:sz w:val="15"/>
                <w:szCs w:val="15"/>
              </w:rPr>
              <w:t xml:space="preserve">  40,000,000</w:t>
            </w:r>
          </w:p>
        </w:tc>
        <w:tc>
          <w:tcPr>
            <w:tcW w:w="1080" w:type="dxa"/>
            <w:vAlign w:val="bottom"/>
          </w:tcPr>
          <w:p w:rsidR="000C0E1A" w:rsidRPr="00811749" w:rsidRDefault="000C0E1A" w:rsidP="00B44E01">
            <w:pPr>
              <w:keepNext/>
              <w:tabs>
                <w:tab w:val="decimal" w:pos="990"/>
              </w:tabs>
              <w:rPr>
                <w:sz w:val="16"/>
                <w:szCs w:val="18"/>
              </w:rPr>
            </w:pPr>
            <w:r w:rsidRPr="00811749">
              <w:rPr>
                <w:sz w:val="16"/>
                <w:szCs w:val="18"/>
              </w:rPr>
              <w:t xml:space="preserve">52,648,440 </w:t>
            </w:r>
          </w:p>
        </w:tc>
        <w:tc>
          <w:tcPr>
            <w:tcW w:w="1080" w:type="dxa"/>
          </w:tcPr>
          <w:p w:rsidR="000C0E1A" w:rsidRPr="00811749" w:rsidRDefault="00B44E01" w:rsidP="00215AFA">
            <w:pPr>
              <w:keepNext/>
              <w:tabs>
                <w:tab w:val="decimal" w:pos="990"/>
              </w:tabs>
              <w:rPr>
                <w:sz w:val="16"/>
                <w:szCs w:val="18"/>
              </w:rPr>
            </w:pPr>
            <w:r>
              <w:rPr>
                <w:sz w:val="16"/>
                <w:szCs w:val="18"/>
              </w:rPr>
              <w:t>89,786,557</w:t>
            </w:r>
          </w:p>
        </w:tc>
      </w:tr>
      <w:tr w:rsidR="000C0E1A" w:rsidRPr="003B42AB" w:rsidTr="00295B37">
        <w:trPr>
          <w:jc w:val="center"/>
        </w:trPr>
        <w:tc>
          <w:tcPr>
            <w:tcW w:w="3330" w:type="dxa"/>
            <w:shd w:val="clear" w:color="auto" w:fill="auto"/>
          </w:tcPr>
          <w:p w:rsidR="000C0E1A" w:rsidRPr="003B42AB" w:rsidRDefault="000C0E1A" w:rsidP="00811749">
            <w:pPr>
              <w:jc w:val="left"/>
              <w:rPr>
                <w:sz w:val="15"/>
                <w:szCs w:val="15"/>
              </w:rPr>
            </w:pPr>
            <w:r w:rsidRPr="003B42AB">
              <w:rPr>
                <w:sz w:val="15"/>
                <w:szCs w:val="15"/>
              </w:rPr>
              <w:t>Marijuana Sales Tax (Proposition BB)</w:t>
            </w:r>
          </w:p>
        </w:tc>
        <w:tc>
          <w:tcPr>
            <w:tcW w:w="1260" w:type="dxa"/>
            <w:vAlign w:val="bottom"/>
          </w:tcPr>
          <w:p w:rsidR="000C0E1A" w:rsidRPr="003B42AB" w:rsidRDefault="000C0E1A" w:rsidP="00811749">
            <w:pPr>
              <w:tabs>
                <w:tab w:val="decimal" w:pos="1080"/>
              </w:tabs>
              <w:jc w:val="left"/>
              <w:rPr>
                <w:sz w:val="15"/>
                <w:szCs w:val="15"/>
              </w:rPr>
            </w:pPr>
            <w:r w:rsidRPr="003B42AB">
              <w:rPr>
                <w:sz w:val="15"/>
                <w:szCs w:val="15"/>
              </w:rPr>
              <w:t>40,000,000</w:t>
            </w:r>
          </w:p>
        </w:tc>
        <w:tc>
          <w:tcPr>
            <w:tcW w:w="990" w:type="dxa"/>
            <w:vAlign w:val="bottom"/>
          </w:tcPr>
          <w:p w:rsidR="000C0E1A" w:rsidRPr="003B42AB" w:rsidRDefault="000C0E1A" w:rsidP="00811749">
            <w:pPr>
              <w:tabs>
                <w:tab w:val="decimal" w:pos="726"/>
              </w:tabs>
              <w:jc w:val="left"/>
              <w:rPr>
                <w:sz w:val="15"/>
                <w:szCs w:val="15"/>
              </w:rPr>
            </w:pPr>
            <w:r w:rsidRPr="003B42AB">
              <w:rPr>
                <w:sz w:val="15"/>
                <w:szCs w:val="15"/>
              </w:rPr>
              <w:t>--</w:t>
            </w:r>
          </w:p>
        </w:tc>
        <w:tc>
          <w:tcPr>
            <w:tcW w:w="990" w:type="dxa"/>
          </w:tcPr>
          <w:p w:rsidR="000C0E1A" w:rsidRPr="003B42AB" w:rsidRDefault="000C0E1A" w:rsidP="00811749">
            <w:pPr>
              <w:tabs>
                <w:tab w:val="decimal" w:pos="813"/>
              </w:tabs>
              <w:jc w:val="left"/>
              <w:rPr>
                <w:sz w:val="15"/>
                <w:szCs w:val="15"/>
              </w:rPr>
            </w:pPr>
            <w:r w:rsidRPr="003B42AB">
              <w:rPr>
                <w:sz w:val="15"/>
                <w:szCs w:val="15"/>
              </w:rPr>
              <w:t>--</w:t>
            </w:r>
          </w:p>
        </w:tc>
        <w:tc>
          <w:tcPr>
            <w:tcW w:w="1080" w:type="dxa"/>
            <w:vAlign w:val="bottom"/>
          </w:tcPr>
          <w:p w:rsidR="000C0E1A" w:rsidRPr="00811749" w:rsidRDefault="000C0E1A" w:rsidP="00B44E01">
            <w:pPr>
              <w:keepNext/>
              <w:tabs>
                <w:tab w:val="decimal" w:pos="990"/>
              </w:tabs>
              <w:rPr>
                <w:sz w:val="16"/>
                <w:szCs w:val="18"/>
              </w:rPr>
            </w:pPr>
            <w:r w:rsidRPr="00811749">
              <w:rPr>
                <w:sz w:val="16"/>
                <w:szCs w:val="18"/>
              </w:rPr>
              <w:t xml:space="preserve"> --</w:t>
            </w:r>
          </w:p>
        </w:tc>
        <w:tc>
          <w:tcPr>
            <w:tcW w:w="1080" w:type="dxa"/>
          </w:tcPr>
          <w:p w:rsidR="000C0E1A" w:rsidRPr="00811749" w:rsidRDefault="00B44E01" w:rsidP="00215AFA">
            <w:pPr>
              <w:keepNext/>
              <w:tabs>
                <w:tab w:val="decimal" w:pos="990"/>
              </w:tabs>
              <w:rPr>
                <w:sz w:val="16"/>
                <w:szCs w:val="18"/>
              </w:rPr>
            </w:pPr>
            <w:r>
              <w:rPr>
                <w:sz w:val="16"/>
                <w:szCs w:val="18"/>
              </w:rPr>
              <w:t>--</w:t>
            </w:r>
          </w:p>
        </w:tc>
      </w:tr>
      <w:tr w:rsidR="000C0E1A" w:rsidRPr="003B42AB" w:rsidTr="00295B37">
        <w:trPr>
          <w:jc w:val="center"/>
        </w:trPr>
        <w:tc>
          <w:tcPr>
            <w:tcW w:w="3330" w:type="dxa"/>
            <w:shd w:val="clear" w:color="auto" w:fill="auto"/>
          </w:tcPr>
          <w:p w:rsidR="000C0E1A" w:rsidRPr="003B42AB" w:rsidRDefault="000C0E1A" w:rsidP="00811749">
            <w:pPr>
              <w:jc w:val="left"/>
              <w:rPr>
                <w:sz w:val="15"/>
                <w:szCs w:val="15"/>
              </w:rPr>
            </w:pPr>
            <w:r w:rsidRPr="003B42AB">
              <w:rPr>
                <w:sz w:val="15"/>
                <w:szCs w:val="15"/>
              </w:rPr>
              <w:t>Matching Moneys</w:t>
            </w:r>
          </w:p>
        </w:tc>
        <w:tc>
          <w:tcPr>
            <w:tcW w:w="1260" w:type="dxa"/>
          </w:tcPr>
          <w:p w:rsidR="000C0E1A" w:rsidRPr="003B42AB" w:rsidRDefault="000C0E1A" w:rsidP="00811749">
            <w:pPr>
              <w:tabs>
                <w:tab w:val="decimal" w:pos="1080"/>
              </w:tabs>
              <w:jc w:val="left"/>
              <w:rPr>
                <w:sz w:val="15"/>
                <w:szCs w:val="15"/>
              </w:rPr>
            </w:pPr>
            <w:r w:rsidRPr="003B42AB">
              <w:rPr>
                <w:sz w:val="15"/>
                <w:szCs w:val="15"/>
              </w:rPr>
              <w:t>16,394,960</w:t>
            </w:r>
          </w:p>
        </w:tc>
        <w:tc>
          <w:tcPr>
            <w:tcW w:w="990" w:type="dxa"/>
          </w:tcPr>
          <w:p w:rsidR="000C0E1A" w:rsidRPr="003B42AB" w:rsidRDefault="000C0E1A" w:rsidP="00811749">
            <w:pPr>
              <w:tabs>
                <w:tab w:val="decimal" w:pos="900"/>
              </w:tabs>
              <w:rPr>
                <w:sz w:val="15"/>
                <w:szCs w:val="15"/>
              </w:rPr>
            </w:pPr>
            <w:r w:rsidRPr="003B42AB">
              <w:rPr>
                <w:sz w:val="15"/>
                <w:szCs w:val="15"/>
              </w:rPr>
              <w:t>16,395,130</w:t>
            </w:r>
          </w:p>
        </w:tc>
        <w:tc>
          <w:tcPr>
            <w:tcW w:w="990" w:type="dxa"/>
          </w:tcPr>
          <w:p w:rsidR="000C0E1A" w:rsidRPr="003B42AB" w:rsidRDefault="000C0E1A" w:rsidP="00811749">
            <w:pPr>
              <w:tabs>
                <w:tab w:val="decimal" w:pos="813"/>
              </w:tabs>
              <w:jc w:val="left"/>
              <w:rPr>
                <w:sz w:val="15"/>
                <w:szCs w:val="15"/>
              </w:rPr>
            </w:pPr>
            <w:r w:rsidRPr="003B42AB">
              <w:rPr>
                <w:sz w:val="15"/>
                <w:szCs w:val="15"/>
              </w:rPr>
              <w:t xml:space="preserve">  17,356,738</w:t>
            </w:r>
          </w:p>
        </w:tc>
        <w:tc>
          <w:tcPr>
            <w:tcW w:w="1080" w:type="dxa"/>
            <w:vAlign w:val="bottom"/>
          </w:tcPr>
          <w:p w:rsidR="000C0E1A" w:rsidRPr="00811749" w:rsidRDefault="000C0E1A" w:rsidP="00B44E01">
            <w:pPr>
              <w:keepNext/>
              <w:tabs>
                <w:tab w:val="decimal" w:pos="990"/>
              </w:tabs>
              <w:rPr>
                <w:sz w:val="16"/>
                <w:szCs w:val="18"/>
              </w:rPr>
            </w:pPr>
            <w:r w:rsidRPr="00811749">
              <w:rPr>
                <w:sz w:val="16"/>
                <w:szCs w:val="18"/>
              </w:rPr>
              <w:t xml:space="preserve">22,315,549 </w:t>
            </w:r>
          </w:p>
        </w:tc>
        <w:tc>
          <w:tcPr>
            <w:tcW w:w="1080" w:type="dxa"/>
          </w:tcPr>
          <w:p w:rsidR="000C0E1A" w:rsidRPr="00811749" w:rsidRDefault="00B44E01" w:rsidP="00215AFA">
            <w:pPr>
              <w:keepNext/>
              <w:tabs>
                <w:tab w:val="decimal" w:pos="990"/>
              </w:tabs>
              <w:rPr>
                <w:sz w:val="16"/>
                <w:szCs w:val="18"/>
              </w:rPr>
            </w:pPr>
            <w:r>
              <w:rPr>
                <w:sz w:val="16"/>
                <w:szCs w:val="18"/>
              </w:rPr>
              <w:t>28,456,354</w:t>
            </w:r>
          </w:p>
        </w:tc>
      </w:tr>
      <w:tr w:rsidR="000C0E1A" w:rsidRPr="003B42AB" w:rsidTr="00295B37">
        <w:trPr>
          <w:jc w:val="center"/>
        </w:trPr>
        <w:tc>
          <w:tcPr>
            <w:tcW w:w="3330" w:type="dxa"/>
            <w:shd w:val="clear" w:color="auto" w:fill="auto"/>
          </w:tcPr>
          <w:p w:rsidR="000C0E1A" w:rsidRPr="003B42AB" w:rsidRDefault="000C0E1A" w:rsidP="00811749">
            <w:pPr>
              <w:jc w:val="left"/>
              <w:rPr>
                <w:sz w:val="15"/>
                <w:szCs w:val="15"/>
              </w:rPr>
            </w:pPr>
            <w:r w:rsidRPr="003B42AB">
              <w:rPr>
                <w:sz w:val="15"/>
                <w:szCs w:val="15"/>
              </w:rPr>
              <w:t xml:space="preserve">Interest </w:t>
            </w:r>
          </w:p>
        </w:tc>
        <w:tc>
          <w:tcPr>
            <w:tcW w:w="1260" w:type="dxa"/>
          </w:tcPr>
          <w:p w:rsidR="000C0E1A" w:rsidRPr="003B42AB" w:rsidRDefault="000C0E1A" w:rsidP="00811749">
            <w:pPr>
              <w:tabs>
                <w:tab w:val="decimal" w:pos="1080"/>
              </w:tabs>
              <w:jc w:val="left"/>
              <w:rPr>
                <w:sz w:val="15"/>
                <w:szCs w:val="15"/>
              </w:rPr>
            </w:pPr>
            <w:r w:rsidRPr="003B42AB">
              <w:rPr>
                <w:sz w:val="15"/>
                <w:szCs w:val="15"/>
              </w:rPr>
              <w:t>2,646,015</w:t>
            </w:r>
          </w:p>
        </w:tc>
        <w:tc>
          <w:tcPr>
            <w:tcW w:w="990" w:type="dxa"/>
          </w:tcPr>
          <w:p w:rsidR="000C0E1A" w:rsidRPr="003B42AB" w:rsidRDefault="000C0E1A" w:rsidP="00811749">
            <w:pPr>
              <w:tabs>
                <w:tab w:val="decimal" w:pos="900"/>
              </w:tabs>
              <w:rPr>
                <w:sz w:val="15"/>
                <w:szCs w:val="15"/>
              </w:rPr>
            </w:pPr>
            <w:r w:rsidRPr="003B42AB">
              <w:rPr>
                <w:sz w:val="15"/>
                <w:szCs w:val="15"/>
              </w:rPr>
              <w:t>4,099,368</w:t>
            </w:r>
          </w:p>
        </w:tc>
        <w:tc>
          <w:tcPr>
            <w:tcW w:w="990" w:type="dxa"/>
          </w:tcPr>
          <w:p w:rsidR="000C0E1A" w:rsidRPr="003B42AB" w:rsidRDefault="000C0E1A" w:rsidP="00811749">
            <w:pPr>
              <w:tabs>
                <w:tab w:val="decimal" w:pos="813"/>
              </w:tabs>
              <w:jc w:val="left"/>
              <w:rPr>
                <w:sz w:val="15"/>
                <w:szCs w:val="15"/>
              </w:rPr>
            </w:pPr>
            <w:r w:rsidRPr="003B42AB">
              <w:rPr>
                <w:sz w:val="15"/>
                <w:szCs w:val="15"/>
              </w:rPr>
              <w:t xml:space="preserve">    6,343,427</w:t>
            </w:r>
          </w:p>
        </w:tc>
        <w:tc>
          <w:tcPr>
            <w:tcW w:w="1080" w:type="dxa"/>
            <w:vAlign w:val="bottom"/>
          </w:tcPr>
          <w:p w:rsidR="000C0E1A" w:rsidRPr="00811749" w:rsidRDefault="000C0E1A" w:rsidP="00B44E01">
            <w:pPr>
              <w:keepNext/>
              <w:tabs>
                <w:tab w:val="decimal" w:pos="990"/>
              </w:tabs>
              <w:rPr>
                <w:sz w:val="16"/>
                <w:szCs w:val="18"/>
              </w:rPr>
            </w:pPr>
            <w:r w:rsidRPr="00811749">
              <w:rPr>
                <w:sz w:val="16"/>
                <w:szCs w:val="18"/>
              </w:rPr>
              <w:t xml:space="preserve">8,874,910 </w:t>
            </w:r>
          </w:p>
        </w:tc>
        <w:tc>
          <w:tcPr>
            <w:tcW w:w="1080" w:type="dxa"/>
          </w:tcPr>
          <w:p w:rsidR="000C0E1A" w:rsidRPr="00811749" w:rsidRDefault="00B44E01" w:rsidP="00215AFA">
            <w:pPr>
              <w:keepNext/>
              <w:tabs>
                <w:tab w:val="decimal" w:pos="990"/>
              </w:tabs>
              <w:rPr>
                <w:sz w:val="16"/>
                <w:szCs w:val="18"/>
              </w:rPr>
            </w:pPr>
            <w:r>
              <w:rPr>
                <w:sz w:val="16"/>
                <w:szCs w:val="18"/>
              </w:rPr>
              <w:t>8,684,611</w:t>
            </w:r>
          </w:p>
        </w:tc>
      </w:tr>
      <w:tr w:rsidR="000C0E1A" w:rsidRPr="003B42AB" w:rsidTr="00295B37">
        <w:trPr>
          <w:jc w:val="center"/>
        </w:trPr>
        <w:tc>
          <w:tcPr>
            <w:tcW w:w="3330" w:type="dxa"/>
            <w:shd w:val="clear" w:color="auto" w:fill="auto"/>
          </w:tcPr>
          <w:p w:rsidR="000C0E1A" w:rsidRPr="003B42AB" w:rsidRDefault="000C0E1A" w:rsidP="00811749">
            <w:pPr>
              <w:jc w:val="left"/>
              <w:rPr>
                <w:sz w:val="15"/>
                <w:szCs w:val="15"/>
              </w:rPr>
            </w:pPr>
            <w:r w:rsidRPr="003B42AB">
              <w:rPr>
                <w:sz w:val="15"/>
                <w:szCs w:val="15"/>
              </w:rPr>
              <w:t>Total Revenue</w:t>
            </w:r>
          </w:p>
        </w:tc>
        <w:tc>
          <w:tcPr>
            <w:tcW w:w="1260" w:type="dxa"/>
          </w:tcPr>
          <w:p w:rsidR="000C0E1A" w:rsidRPr="003B42AB" w:rsidRDefault="000C0E1A" w:rsidP="00811749">
            <w:pPr>
              <w:tabs>
                <w:tab w:val="decimal" w:pos="1080"/>
              </w:tabs>
              <w:jc w:val="left"/>
              <w:rPr>
                <w:sz w:val="15"/>
                <w:szCs w:val="15"/>
              </w:rPr>
            </w:pPr>
            <w:r w:rsidRPr="003B42AB">
              <w:rPr>
                <w:sz w:val="15"/>
                <w:szCs w:val="15"/>
              </w:rPr>
              <w:t>243,212,880</w:t>
            </w:r>
          </w:p>
        </w:tc>
        <w:tc>
          <w:tcPr>
            <w:tcW w:w="990" w:type="dxa"/>
          </w:tcPr>
          <w:p w:rsidR="000C0E1A" w:rsidRPr="003B42AB" w:rsidRDefault="000C0E1A" w:rsidP="00811749">
            <w:pPr>
              <w:tabs>
                <w:tab w:val="decimal" w:pos="900"/>
              </w:tabs>
              <w:rPr>
                <w:sz w:val="15"/>
                <w:szCs w:val="15"/>
              </w:rPr>
            </w:pPr>
            <w:r w:rsidRPr="003B42AB">
              <w:rPr>
                <w:sz w:val="15"/>
                <w:szCs w:val="15"/>
              </w:rPr>
              <w:t>121,269,14</w:t>
            </w:r>
            <w:r>
              <w:rPr>
                <w:sz w:val="15"/>
                <w:szCs w:val="15"/>
              </w:rPr>
              <w:t>8</w:t>
            </w:r>
          </w:p>
        </w:tc>
        <w:tc>
          <w:tcPr>
            <w:tcW w:w="990" w:type="dxa"/>
          </w:tcPr>
          <w:p w:rsidR="000C0E1A" w:rsidRPr="003B42AB" w:rsidRDefault="000C0E1A" w:rsidP="00811749">
            <w:pPr>
              <w:tabs>
                <w:tab w:val="decimal" w:pos="813"/>
              </w:tabs>
              <w:jc w:val="left"/>
              <w:rPr>
                <w:sz w:val="15"/>
                <w:szCs w:val="15"/>
              </w:rPr>
            </w:pPr>
            <w:r w:rsidRPr="003B42AB">
              <w:rPr>
                <w:sz w:val="15"/>
                <w:szCs w:val="15"/>
              </w:rPr>
              <w:t>145,852,507</w:t>
            </w:r>
          </w:p>
        </w:tc>
        <w:tc>
          <w:tcPr>
            <w:tcW w:w="1080" w:type="dxa"/>
            <w:vAlign w:val="bottom"/>
          </w:tcPr>
          <w:p w:rsidR="000C0E1A" w:rsidRPr="00811749" w:rsidRDefault="000C0E1A" w:rsidP="00B44E01">
            <w:pPr>
              <w:keepNext/>
              <w:tabs>
                <w:tab w:val="decimal" w:pos="990"/>
              </w:tabs>
              <w:rPr>
                <w:sz w:val="16"/>
                <w:szCs w:val="18"/>
              </w:rPr>
            </w:pPr>
            <w:r w:rsidRPr="00811749">
              <w:rPr>
                <w:sz w:val="16"/>
                <w:szCs w:val="18"/>
              </w:rPr>
              <w:t xml:space="preserve">274,859,767 </w:t>
            </w:r>
          </w:p>
        </w:tc>
        <w:tc>
          <w:tcPr>
            <w:tcW w:w="1080" w:type="dxa"/>
          </w:tcPr>
          <w:p w:rsidR="000C0E1A" w:rsidRPr="00811749" w:rsidRDefault="00B44E01" w:rsidP="00215AFA">
            <w:pPr>
              <w:keepNext/>
              <w:tabs>
                <w:tab w:val="decimal" w:pos="990"/>
              </w:tabs>
              <w:rPr>
                <w:sz w:val="16"/>
                <w:szCs w:val="18"/>
              </w:rPr>
            </w:pPr>
            <w:r>
              <w:rPr>
                <w:sz w:val="16"/>
                <w:szCs w:val="18"/>
              </w:rPr>
              <w:t>419,181,019</w:t>
            </w:r>
          </w:p>
        </w:tc>
      </w:tr>
      <w:tr w:rsidR="000C0E1A" w:rsidRPr="003B42AB" w:rsidTr="00295B37">
        <w:trPr>
          <w:jc w:val="center"/>
        </w:trPr>
        <w:tc>
          <w:tcPr>
            <w:tcW w:w="3330" w:type="dxa"/>
            <w:shd w:val="clear" w:color="auto" w:fill="auto"/>
          </w:tcPr>
          <w:p w:rsidR="000C0E1A" w:rsidRPr="003B42AB" w:rsidRDefault="000C0E1A" w:rsidP="00811749">
            <w:pPr>
              <w:jc w:val="left"/>
              <w:rPr>
                <w:b/>
                <w:sz w:val="15"/>
                <w:szCs w:val="15"/>
              </w:rPr>
            </w:pPr>
            <w:r w:rsidRPr="003B42AB">
              <w:rPr>
                <w:b/>
                <w:sz w:val="15"/>
                <w:szCs w:val="15"/>
              </w:rPr>
              <w:t>Expenditures:</w:t>
            </w:r>
          </w:p>
        </w:tc>
        <w:tc>
          <w:tcPr>
            <w:tcW w:w="1260" w:type="dxa"/>
          </w:tcPr>
          <w:p w:rsidR="000C0E1A" w:rsidRPr="003B42AB" w:rsidRDefault="000C0E1A" w:rsidP="00811749">
            <w:pPr>
              <w:tabs>
                <w:tab w:val="decimal" w:pos="1080"/>
              </w:tabs>
              <w:jc w:val="left"/>
              <w:rPr>
                <w:sz w:val="15"/>
                <w:szCs w:val="15"/>
              </w:rPr>
            </w:pPr>
          </w:p>
        </w:tc>
        <w:tc>
          <w:tcPr>
            <w:tcW w:w="990" w:type="dxa"/>
          </w:tcPr>
          <w:p w:rsidR="000C0E1A" w:rsidRPr="003B42AB" w:rsidRDefault="000C0E1A" w:rsidP="00811749">
            <w:pPr>
              <w:tabs>
                <w:tab w:val="decimal" w:pos="726"/>
              </w:tabs>
              <w:jc w:val="left"/>
              <w:rPr>
                <w:sz w:val="15"/>
                <w:szCs w:val="15"/>
              </w:rPr>
            </w:pPr>
          </w:p>
        </w:tc>
        <w:tc>
          <w:tcPr>
            <w:tcW w:w="990" w:type="dxa"/>
          </w:tcPr>
          <w:p w:rsidR="000C0E1A" w:rsidRPr="003B42AB" w:rsidRDefault="000C0E1A" w:rsidP="00811749">
            <w:pPr>
              <w:tabs>
                <w:tab w:val="decimal" w:pos="813"/>
              </w:tabs>
              <w:jc w:val="left"/>
              <w:rPr>
                <w:sz w:val="15"/>
                <w:szCs w:val="15"/>
              </w:rPr>
            </w:pPr>
          </w:p>
        </w:tc>
        <w:tc>
          <w:tcPr>
            <w:tcW w:w="1080" w:type="dxa"/>
            <w:vAlign w:val="bottom"/>
          </w:tcPr>
          <w:p w:rsidR="000C0E1A" w:rsidRPr="00811749" w:rsidRDefault="000C0E1A" w:rsidP="00B44E01">
            <w:pPr>
              <w:keepNext/>
              <w:tabs>
                <w:tab w:val="decimal" w:pos="990"/>
              </w:tabs>
              <w:rPr>
                <w:sz w:val="16"/>
                <w:szCs w:val="18"/>
              </w:rPr>
            </w:pPr>
          </w:p>
        </w:tc>
        <w:tc>
          <w:tcPr>
            <w:tcW w:w="1080" w:type="dxa"/>
          </w:tcPr>
          <w:p w:rsidR="000C0E1A" w:rsidRPr="00811749" w:rsidRDefault="000C0E1A" w:rsidP="00215AFA">
            <w:pPr>
              <w:keepNext/>
              <w:tabs>
                <w:tab w:val="decimal" w:pos="990"/>
              </w:tabs>
              <w:rPr>
                <w:sz w:val="16"/>
                <w:szCs w:val="18"/>
              </w:rPr>
            </w:pPr>
          </w:p>
        </w:tc>
      </w:tr>
      <w:tr w:rsidR="000C0E1A" w:rsidRPr="003B42AB" w:rsidTr="00295B37">
        <w:trPr>
          <w:jc w:val="center"/>
        </w:trPr>
        <w:tc>
          <w:tcPr>
            <w:tcW w:w="3330" w:type="dxa"/>
            <w:shd w:val="clear" w:color="auto" w:fill="auto"/>
          </w:tcPr>
          <w:p w:rsidR="000C0E1A" w:rsidRPr="003B42AB" w:rsidRDefault="000C0E1A" w:rsidP="00811749">
            <w:pPr>
              <w:jc w:val="left"/>
              <w:rPr>
                <w:sz w:val="15"/>
                <w:szCs w:val="15"/>
              </w:rPr>
            </w:pPr>
            <w:r w:rsidRPr="003B42AB">
              <w:rPr>
                <w:sz w:val="15"/>
                <w:szCs w:val="15"/>
              </w:rPr>
              <w:t>Grants</w:t>
            </w:r>
          </w:p>
        </w:tc>
        <w:tc>
          <w:tcPr>
            <w:tcW w:w="1260" w:type="dxa"/>
          </w:tcPr>
          <w:p w:rsidR="000C0E1A" w:rsidRPr="003B42AB" w:rsidRDefault="000C0E1A" w:rsidP="00811749">
            <w:pPr>
              <w:tabs>
                <w:tab w:val="decimal" w:pos="1080"/>
              </w:tabs>
              <w:jc w:val="left"/>
              <w:rPr>
                <w:sz w:val="15"/>
                <w:szCs w:val="15"/>
              </w:rPr>
            </w:pPr>
            <w:r w:rsidRPr="003B42AB">
              <w:rPr>
                <w:sz w:val="15"/>
                <w:szCs w:val="15"/>
              </w:rPr>
              <w:t>23,034,064</w:t>
            </w:r>
          </w:p>
        </w:tc>
        <w:tc>
          <w:tcPr>
            <w:tcW w:w="990" w:type="dxa"/>
          </w:tcPr>
          <w:p w:rsidR="000C0E1A" w:rsidRPr="003B42AB" w:rsidRDefault="000C0E1A" w:rsidP="00811749">
            <w:pPr>
              <w:tabs>
                <w:tab w:val="decimal" w:pos="900"/>
              </w:tabs>
              <w:rPr>
                <w:sz w:val="15"/>
                <w:szCs w:val="15"/>
              </w:rPr>
            </w:pPr>
            <w:r w:rsidRPr="003B42AB">
              <w:rPr>
                <w:sz w:val="15"/>
                <w:szCs w:val="15"/>
              </w:rPr>
              <w:t>42,992,299</w:t>
            </w:r>
          </w:p>
        </w:tc>
        <w:tc>
          <w:tcPr>
            <w:tcW w:w="990" w:type="dxa"/>
          </w:tcPr>
          <w:p w:rsidR="000C0E1A" w:rsidRPr="008158BD" w:rsidRDefault="000C0E1A" w:rsidP="00811749">
            <w:pPr>
              <w:tabs>
                <w:tab w:val="decimal" w:pos="813"/>
              </w:tabs>
              <w:jc w:val="left"/>
              <w:rPr>
                <w:sz w:val="15"/>
                <w:szCs w:val="15"/>
              </w:rPr>
            </w:pPr>
            <w:r w:rsidRPr="008158BD">
              <w:rPr>
                <w:sz w:val="15"/>
                <w:szCs w:val="15"/>
              </w:rPr>
              <w:t>5</w:t>
            </w:r>
            <w:r>
              <w:rPr>
                <w:sz w:val="15"/>
                <w:szCs w:val="15"/>
              </w:rPr>
              <w:t>7</w:t>
            </w:r>
            <w:r w:rsidRPr="008158BD">
              <w:rPr>
                <w:sz w:val="15"/>
                <w:szCs w:val="15"/>
              </w:rPr>
              <w:t>,</w:t>
            </w:r>
            <w:r>
              <w:rPr>
                <w:sz w:val="15"/>
                <w:szCs w:val="15"/>
              </w:rPr>
              <w:t>727</w:t>
            </w:r>
            <w:r w:rsidRPr="008158BD">
              <w:rPr>
                <w:sz w:val="15"/>
                <w:szCs w:val="15"/>
              </w:rPr>
              <w:t>,</w:t>
            </w:r>
            <w:r>
              <w:rPr>
                <w:sz w:val="15"/>
                <w:szCs w:val="15"/>
              </w:rPr>
              <w:t>190</w:t>
            </w:r>
          </w:p>
        </w:tc>
        <w:tc>
          <w:tcPr>
            <w:tcW w:w="1080" w:type="dxa"/>
            <w:vAlign w:val="bottom"/>
          </w:tcPr>
          <w:p w:rsidR="000C0E1A" w:rsidRPr="00811749" w:rsidRDefault="000C0E1A" w:rsidP="00B44E01">
            <w:pPr>
              <w:keepNext/>
              <w:tabs>
                <w:tab w:val="decimal" w:pos="990"/>
              </w:tabs>
              <w:rPr>
                <w:sz w:val="16"/>
                <w:szCs w:val="18"/>
              </w:rPr>
            </w:pPr>
            <w:r w:rsidRPr="00811749">
              <w:rPr>
                <w:sz w:val="16"/>
                <w:szCs w:val="18"/>
              </w:rPr>
              <w:t>68,742,664</w:t>
            </w:r>
          </w:p>
        </w:tc>
        <w:tc>
          <w:tcPr>
            <w:tcW w:w="1080" w:type="dxa"/>
          </w:tcPr>
          <w:p w:rsidR="000C0E1A" w:rsidRPr="00811749" w:rsidRDefault="00B44E01" w:rsidP="00215AFA">
            <w:pPr>
              <w:keepNext/>
              <w:tabs>
                <w:tab w:val="decimal" w:pos="990"/>
              </w:tabs>
              <w:rPr>
                <w:sz w:val="16"/>
                <w:szCs w:val="18"/>
              </w:rPr>
            </w:pPr>
            <w:r>
              <w:rPr>
                <w:sz w:val="16"/>
                <w:szCs w:val="18"/>
              </w:rPr>
              <w:t>94,645,720</w:t>
            </w:r>
          </w:p>
        </w:tc>
      </w:tr>
      <w:tr w:rsidR="000C0E1A" w:rsidRPr="003B42AB" w:rsidTr="00295B37">
        <w:trPr>
          <w:jc w:val="center"/>
        </w:trPr>
        <w:tc>
          <w:tcPr>
            <w:tcW w:w="3330" w:type="dxa"/>
            <w:shd w:val="clear" w:color="auto" w:fill="auto"/>
          </w:tcPr>
          <w:p w:rsidR="000C0E1A" w:rsidRPr="003B42AB" w:rsidRDefault="000C0E1A" w:rsidP="00811749">
            <w:pPr>
              <w:jc w:val="left"/>
              <w:rPr>
                <w:sz w:val="15"/>
                <w:szCs w:val="15"/>
              </w:rPr>
            </w:pPr>
            <w:r w:rsidRPr="003B42AB">
              <w:rPr>
                <w:sz w:val="15"/>
                <w:szCs w:val="15"/>
              </w:rPr>
              <w:t>Construction Payments</w:t>
            </w:r>
            <w:r w:rsidRPr="003B42AB">
              <w:rPr>
                <w:sz w:val="15"/>
                <w:szCs w:val="15"/>
                <w:vertAlign w:val="superscript"/>
              </w:rPr>
              <w:t>6</w:t>
            </w:r>
          </w:p>
        </w:tc>
        <w:tc>
          <w:tcPr>
            <w:tcW w:w="1260" w:type="dxa"/>
          </w:tcPr>
          <w:p w:rsidR="000C0E1A" w:rsidRPr="003B42AB" w:rsidRDefault="000C0E1A" w:rsidP="00811749">
            <w:pPr>
              <w:tabs>
                <w:tab w:val="decimal" w:pos="1080"/>
              </w:tabs>
              <w:jc w:val="left"/>
              <w:rPr>
                <w:sz w:val="15"/>
                <w:szCs w:val="15"/>
              </w:rPr>
            </w:pPr>
            <w:r w:rsidRPr="003B42AB">
              <w:rPr>
                <w:sz w:val="15"/>
                <w:szCs w:val="15"/>
              </w:rPr>
              <w:t>53,441,158</w:t>
            </w:r>
          </w:p>
        </w:tc>
        <w:tc>
          <w:tcPr>
            <w:tcW w:w="990" w:type="dxa"/>
          </w:tcPr>
          <w:p w:rsidR="000C0E1A" w:rsidRPr="003B42AB" w:rsidRDefault="000C0E1A" w:rsidP="00811749">
            <w:pPr>
              <w:tabs>
                <w:tab w:val="decimal" w:pos="900"/>
              </w:tabs>
              <w:rPr>
                <w:sz w:val="15"/>
                <w:szCs w:val="15"/>
              </w:rPr>
            </w:pPr>
            <w:r w:rsidRPr="003B42AB">
              <w:rPr>
                <w:sz w:val="15"/>
                <w:szCs w:val="15"/>
              </w:rPr>
              <w:t>--</w:t>
            </w:r>
          </w:p>
        </w:tc>
        <w:tc>
          <w:tcPr>
            <w:tcW w:w="990" w:type="dxa"/>
          </w:tcPr>
          <w:p w:rsidR="000C0E1A" w:rsidRPr="003B42AB" w:rsidRDefault="000C0E1A" w:rsidP="00811749">
            <w:pPr>
              <w:tabs>
                <w:tab w:val="decimal" w:pos="813"/>
              </w:tabs>
              <w:jc w:val="left"/>
              <w:rPr>
                <w:sz w:val="15"/>
                <w:szCs w:val="15"/>
              </w:rPr>
            </w:pPr>
            <w:r>
              <w:rPr>
                <w:sz w:val="15"/>
                <w:szCs w:val="15"/>
              </w:rPr>
              <w:t>13,700,329</w:t>
            </w:r>
          </w:p>
        </w:tc>
        <w:tc>
          <w:tcPr>
            <w:tcW w:w="1080" w:type="dxa"/>
            <w:vAlign w:val="bottom"/>
          </w:tcPr>
          <w:p w:rsidR="000C0E1A" w:rsidRPr="00811749" w:rsidRDefault="000C0E1A" w:rsidP="00B44E01">
            <w:pPr>
              <w:keepNext/>
              <w:tabs>
                <w:tab w:val="decimal" w:pos="990"/>
              </w:tabs>
              <w:rPr>
                <w:sz w:val="16"/>
                <w:szCs w:val="18"/>
              </w:rPr>
            </w:pPr>
            <w:r w:rsidRPr="00811749">
              <w:rPr>
                <w:sz w:val="16"/>
                <w:szCs w:val="18"/>
              </w:rPr>
              <w:t>108,295,263</w:t>
            </w:r>
          </w:p>
        </w:tc>
        <w:tc>
          <w:tcPr>
            <w:tcW w:w="1080" w:type="dxa"/>
          </w:tcPr>
          <w:p w:rsidR="000C0E1A" w:rsidRPr="00811749" w:rsidRDefault="00B44E01" w:rsidP="00215AFA">
            <w:pPr>
              <w:keepNext/>
              <w:tabs>
                <w:tab w:val="decimal" w:pos="990"/>
              </w:tabs>
              <w:rPr>
                <w:sz w:val="16"/>
                <w:szCs w:val="18"/>
              </w:rPr>
            </w:pPr>
            <w:r>
              <w:rPr>
                <w:sz w:val="16"/>
                <w:szCs w:val="18"/>
              </w:rPr>
              <w:t>219,307,608</w:t>
            </w:r>
          </w:p>
        </w:tc>
      </w:tr>
      <w:tr w:rsidR="000C0E1A" w:rsidRPr="003B42AB" w:rsidTr="00295B37">
        <w:trPr>
          <w:jc w:val="center"/>
        </w:trPr>
        <w:tc>
          <w:tcPr>
            <w:tcW w:w="3330" w:type="dxa"/>
            <w:shd w:val="clear" w:color="auto" w:fill="auto"/>
          </w:tcPr>
          <w:p w:rsidR="000C0E1A" w:rsidRPr="003B42AB" w:rsidRDefault="000C0E1A" w:rsidP="00811749">
            <w:pPr>
              <w:jc w:val="left"/>
              <w:rPr>
                <w:sz w:val="15"/>
                <w:szCs w:val="15"/>
              </w:rPr>
            </w:pPr>
            <w:r w:rsidRPr="003B42AB">
              <w:rPr>
                <w:sz w:val="15"/>
                <w:szCs w:val="15"/>
              </w:rPr>
              <w:t>Base Rent Payments</w:t>
            </w:r>
          </w:p>
        </w:tc>
        <w:tc>
          <w:tcPr>
            <w:tcW w:w="1260" w:type="dxa"/>
          </w:tcPr>
          <w:p w:rsidR="000C0E1A" w:rsidRPr="003B42AB" w:rsidRDefault="000C0E1A" w:rsidP="00811749">
            <w:pPr>
              <w:tabs>
                <w:tab w:val="decimal" w:pos="1080"/>
              </w:tabs>
              <w:jc w:val="left"/>
              <w:rPr>
                <w:sz w:val="15"/>
                <w:szCs w:val="15"/>
              </w:rPr>
            </w:pPr>
            <w:r w:rsidRPr="003B42AB">
              <w:rPr>
                <w:sz w:val="15"/>
                <w:szCs w:val="15"/>
              </w:rPr>
              <w:t>54,418,487</w:t>
            </w:r>
          </w:p>
        </w:tc>
        <w:tc>
          <w:tcPr>
            <w:tcW w:w="990" w:type="dxa"/>
          </w:tcPr>
          <w:p w:rsidR="000C0E1A" w:rsidRPr="003B42AB" w:rsidRDefault="000C0E1A" w:rsidP="00811749">
            <w:pPr>
              <w:tabs>
                <w:tab w:val="decimal" w:pos="900"/>
              </w:tabs>
              <w:rPr>
                <w:sz w:val="15"/>
                <w:szCs w:val="15"/>
              </w:rPr>
            </w:pPr>
            <w:r w:rsidRPr="003B42AB">
              <w:rPr>
                <w:sz w:val="15"/>
                <w:szCs w:val="15"/>
              </w:rPr>
              <w:t>45,873,514</w:t>
            </w:r>
          </w:p>
        </w:tc>
        <w:tc>
          <w:tcPr>
            <w:tcW w:w="990" w:type="dxa"/>
          </w:tcPr>
          <w:p w:rsidR="000C0E1A" w:rsidRPr="008158BD" w:rsidRDefault="000C0E1A" w:rsidP="00811749">
            <w:pPr>
              <w:tabs>
                <w:tab w:val="decimal" w:pos="813"/>
              </w:tabs>
              <w:jc w:val="left"/>
              <w:rPr>
                <w:sz w:val="15"/>
                <w:szCs w:val="15"/>
              </w:rPr>
            </w:pPr>
            <w:r>
              <w:rPr>
                <w:sz w:val="15"/>
                <w:szCs w:val="15"/>
              </w:rPr>
              <w:t>65,652,050</w:t>
            </w:r>
          </w:p>
        </w:tc>
        <w:tc>
          <w:tcPr>
            <w:tcW w:w="1080" w:type="dxa"/>
            <w:vAlign w:val="bottom"/>
          </w:tcPr>
          <w:p w:rsidR="000C0E1A" w:rsidRPr="00811749" w:rsidRDefault="000C0E1A" w:rsidP="00B44E01">
            <w:pPr>
              <w:keepNext/>
              <w:tabs>
                <w:tab w:val="decimal" w:pos="990"/>
              </w:tabs>
              <w:rPr>
                <w:sz w:val="16"/>
                <w:szCs w:val="18"/>
              </w:rPr>
            </w:pPr>
            <w:r w:rsidRPr="00811749">
              <w:rPr>
                <w:sz w:val="16"/>
                <w:szCs w:val="18"/>
              </w:rPr>
              <w:t xml:space="preserve">71,714,845 </w:t>
            </w:r>
          </w:p>
        </w:tc>
        <w:tc>
          <w:tcPr>
            <w:tcW w:w="1080" w:type="dxa"/>
          </w:tcPr>
          <w:p w:rsidR="000C0E1A" w:rsidRPr="00811749" w:rsidRDefault="00B44E01" w:rsidP="00215AFA">
            <w:pPr>
              <w:keepNext/>
              <w:tabs>
                <w:tab w:val="decimal" w:pos="990"/>
              </w:tabs>
              <w:rPr>
                <w:sz w:val="16"/>
                <w:szCs w:val="18"/>
              </w:rPr>
            </w:pPr>
            <w:r>
              <w:rPr>
                <w:sz w:val="16"/>
                <w:szCs w:val="18"/>
              </w:rPr>
              <w:t>111,739,976</w:t>
            </w:r>
          </w:p>
        </w:tc>
      </w:tr>
      <w:tr w:rsidR="000C0E1A" w:rsidRPr="003B42AB" w:rsidTr="00295B37">
        <w:trPr>
          <w:jc w:val="center"/>
        </w:trPr>
        <w:tc>
          <w:tcPr>
            <w:tcW w:w="3330" w:type="dxa"/>
            <w:shd w:val="clear" w:color="auto" w:fill="auto"/>
          </w:tcPr>
          <w:p w:rsidR="000C0E1A" w:rsidRPr="003B42AB" w:rsidRDefault="000C0E1A" w:rsidP="00811749">
            <w:pPr>
              <w:jc w:val="left"/>
              <w:rPr>
                <w:sz w:val="15"/>
                <w:szCs w:val="15"/>
              </w:rPr>
            </w:pPr>
            <w:r w:rsidRPr="003B42AB">
              <w:rPr>
                <w:sz w:val="15"/>
                <w:szCs w:val="15"/>
              </w:rPr>
              <w:t>Administration and Other</w:t>
            </w:r>
          </w:p>
        </w:tc>
        <w:tc>
          <w:tcPr>
            <w:tcW w:w="1260" w:type="dxa"/>
          </w:tcPr>
          <w:p w:rsidR="000C0E1A" w:rsidRPr="00346C43" w:rsidRDefault="000C0E1A" w:rsidP="00811749">
            <w:pPr>
              <w:tabs>
                <w:tab w:val="decimal" w:pos="1080"/>
              </w:tabs>
              <w:jc w:val="left"/>
              <w:rPr>
                <w:sz w:val="15"/>
                <w:szCs w:val="15"/>
              </w:rPr>
            </w:pPr>
            <w:r w:rsidRPr="00346C43">
              <w:rPr>
                <w:sz w:val="15"/>
                <w:szCs w:val="15"/>
              </w:rPr>
              <w:t xml:space="preserve">      1,684,461</w:t>
            </w:r>
          </w:p>
        </w:tc>
        <w:tc>
          <w:tcPr>
            <w:tcW w:w="990" w:type="dxa"/>
          </w:tcPr>
          <w:p w:rsidR="000C0E1A" w:rsidRPr="008158BD" w:rsidRDefault="000C0E1A" w:rsidP="00811749">
            <w:pPr>
              <w:tabs>
                <w:tab w:val="decimal" w:pos="900"/>
              </w:tabs>
              <w:rPr>
                <w:sz w:val="15"/>
                <w:szCs w:val="15"/>
              </w:rPr>
            </w:pPr>
            <w:r w:rsidRPr="008158BD">
              <w:rPr>
                <w:sz w:val="15"/>
                <w:szCs w:val="15"/>
              </w:rPr>
              <w:t xml:space="preserve">      1,492,245</w:t>
            </w:r>
          </w:p>
        </w:tc>
        <w:tc>
          <w:tcPr>
            <w:tcW w:w="990" w:type="dxa"/>
          </w:tcPr>
          <w:p w:rsidR="000C0E1A" w:rsidRPr="00346C43" w:rsidRDefault="000C0E1A" w:rsidP="00811749">
            <w:pPr>
              <w:tabs>
                <w:tab w:val="decimal" w:pos="813"/>
              </w:tabs>
              <w:jc w:val="left"/>
              <w:rPr>
                <w:sz w:val="15"/>
                <w:szCs w:val="15"/>
              </w:rPr>
            </w:pPr>
            <w:r>
              <w:rPr>
                <w:sz w:val="15"/>
                <w:szCs w:val="15"/>
              </w:rPr>
              <w:t>1,609,499</w:t>
            </w:r>
          </w:p>
        </w:tc>
        <w:tc>
          <w:tcPr>
            <w:tcW w:w="1080" w:type="dxa"/>
            <w:vAlign w:val="bottom"/>
          </w:tcPr>
          <w:p w:rsidR="000C0E1A" w:rsidRPr="00811749" w:rsidRDefault="000F412D" w:rsidP="00B44E01">
            <w:pPr>
              <w:keepNext/>
              <w:tabs>
                <w:tab w:val="decimal" w:pos="990"/>
              </w:tabs>
              <w:rPr>
                <w:sz w:val="16"/>
                <w:szCs w:val="18"/>
              </w:rPr>
            </w:pPr>
            <w:r>
              <w:rPr>
                <w:sz w:val="16"/>
                <w:szCs w:val="18"/>
              </w:rPr>
              <w:t>1,760,179</w:t>
            </w:r>
            <w:r w:rsidR="000C0E1A" w:rsidRPr="00811749">
              <w:rPr>
                <w:sz w:val="16"/>
                <w:szCs w:val="18"/>
              </w:rPr>
              <w:t xml:space="preserve"> </w:t>
            </w:r>
          </w:p>
        </w:tc>
        <w:tc>
          <w:tcPr>
            <w:tcW w:w="1080" w:type="dxa"/>
          </w:tcPr>
          <w:p w:rsidR="000C0E1A" w:rsidRPr="00811749" w:rsidRDefault="000F412D" w:rsidP="00215AFA">
            <w:pPr>
              <w:keepNext/>
              <w:tabs>
                <w:tab w:val="decimal" w:pos="990"/>
              </w:tabs>
              <w:rPr>
                <w:sz w:val="16"/>
                <w:szCs w:val="18"/>
              </w:rPr>
            </w:pPr>
            <w:r>
              <w:rPr>
                <w:sz w:val="16"/>
                <w:szCs w:val="18"/>
              </w:rPr>
              <w:t>1,793,820</w:t>
            </w:r>
          </w:p>
        </w:tc>
      </w:tr>
      <w:tr w:rsidR="000C0E1A" w:rsidRPr="003B42AB" w:rsidTr="00295B37">
        <w:trPr>
          <w:jc w:val="center"/>
        </w:trPr>
        <w:tc>
          <w:tcPr>
            <w:tcW w:w="3330" w:type="dxa"/>
            <w:shd w:val="clear" w:color="auto" w:fill="auto"/>
          </w:tcPr>
          <w:p w:rsidR="000C0E1A" w:rsidRPr="003B42AB" w:rsidRDefault="000C0E1A" w:rsidP="00811749">
            <w:pPr>
              <w:jc w:val="left"/>
              <w:rPr>
                <w:sz w:val="15"/>
                <w:szCs w:val="15"/>
              </w:rPr>
            </w:pPr>
            <w:r w:rsidRPr="003B42AB">
              <w:rPr>
                <w:sz w:val="15"/>
                <w:szCs w:val="15"/>
              </w:rPr>
              <w:t>Total Expen</w:t>
            </w:r>
            <w:r>
              <w:rPr>
                <w:sz w:val="15"/>
                <w:szCs w:val="15"/>
              </w:rPr>
              <w:t>d</w:t>
            </w:r>
            <w:r w:rsidRPr="003B42AB">
              <w:rPr>
                <w:sz w:val="15"/>
                <w:szCs w:val="15"/>
              </w:rPr>
              <w:t>itures</w:t>
            </w:r>
          </w:p>
        </w:tc>
        <w:tc>
          <w:tcPr>
            <w:tcW w:w="1260" w:type="dxa"/>
          </w:tcPr>
          <w:p w:rsidR="000C0E1A" w:rsidRPr="00346C43" w:rsidRDefault="000C0E1A" w:rsidP="00811749">
            <w:pPr>
              <w:tabs>
                <w:tab w:val="decimal" w:pos="1080"/>
              </w:tabs>
              <w:jc w:val="left"/>
              <w:rPr>
                <w:sz w:val="15"/>
                <w:szCs w:val="15"/>
              </w:rPr>
            </w:pPr>
            <w:r w:rsidRPr="00346C43">
              <w:rPr>
                <w:sz w:val="15"/>
                <w:szCs w:val="15"/>
              </w:rPr>
              <w:t>132,578,170</w:t>
            </w:r>
          </w:p>
        </w:tc>
        <w:tc>
          <w:tcPr>
            <w:tcW w:w="990" w:type="dxa"/>
          </w:tcPr>
          <w:p w:rsidR="000C0E1A" w:rsidRPr="008158BD" w:rsidRDefault="000C0E1A" w:rsidP="00811749">
            <w:pPr>
              <w:tabs>
                <w:tab w:val="decimal" w:pos="900"/>
              </w:tabs>
              <w:rPr>
                <w:sz w:val="15"/>
                <w:szCs w:val="15"/>
              </w:rPr>
            </w:pPr>
            <w:r w:rsidRPr="008158BD">
              <w:rPr>
                <w:sz w:val="15"/>
                <w:szCs w:val="15"/>
              </w:rPr>
              <w:t>90,358,058</w:t>
            </w:r>
          </w:p>
        </w:tc>
        <w:tc>
          <w:tcPr>
            <w:tcW w:w="990" w:type="dxa"/>
          </w:tcPr>
          <w:p w:rsidR="000C0E1A" w:rsidRPr="00346C43" w:rsidRDefault="000C0E1A" w:rsidP="00811749">
            <w:pPr>
              <w:tabs>
                <w:tab w:val="decimal" w:pos="813"/>
              </w:tabs>
              <w:jc w:val="left"/>
              <w:rPr>
                <w:sz w:val="15"/>
                <w:szCs w:val="15"/>
              </w:rPr>
            </w:pPr>
            <w:r>
              <w:rPr>
                <w:sz w:val="15"/>
                <w:szCs w:val="15"/>
              </w:rPr>
              <w:t xml:space="preserve"> 138,689</w:t>
            </w:r>
            <w:r w:rsidRPr="00346C43">
              <w:rPr>
                <w:sz w:val="15"/>
                <w:szCs w:val="15"/>
              </w:rPr>
              <w:t>,</w:t>
            </w:r>
            <w:r>
              <w:rPr>
                <w:sz w:val="15"/>
                <w:szCs w:val="15"/>
              </w:rPr>
              <w:t>068</w:t>
            </w:r>
          </w:p>
        </w:tc>
        <w:tc>
          <w:tcPr>
            <w:tcW w:w="1080" w:type="dxa"/>
            <w:vAlign w:val="bottom"/>
          </w:tcPr>
          <w:p w:rsidR="000C0E1A" w:rsidRPr="00811749" w:rsidRDefault="000F412D" w:rsidP="00B44E01">
            <w:pPr>
              <w:keepNext/>
              <w:tabs>
                <w:tab w:val="decimal" w:pos="990"/>
              </w:tabs>
              <w:rPr>
                <w:sz w:val="16"/>
                <w:szCs w:val="18"/>
              </w:rPr>
            </w:pPr>
            <w:r>
              <w:rPr>
                <w:sz w:val="16"/>
                <w:szCs w:val="18"/>
              </w:rPr>
              <w:t>250,512,951</w:t>
            </w:r>
          </w:p>
        </w:tc>
        <w:tc>
          <w:tcPr>
            <w:tcW w:w="1080" w:type="dxa"/>
          </w:tcPr>
          <w:p w:rsidR="000C0E1A" w:rsidRPr="00811749" w:rsidRDefault="000F412D" w:rsidP="00215AFA">
            <w:pPr>
              <w:keepNext/>
              <w:tabs>
                <w:tab w:val="decimal" w:pos="990"/>
              </w:tabs>
              <w:rPr>
                <w:sz w:val="16"/>
                <w:szCs w:val="18"/>
              </w:rPr>
            </w:pPr>
            <w:r>
              <w:rPr>
                <w:sz w:val="16"/>
                <w:szCs w:val="18"/>
              </w:rPr>
              <w:t>427,487,124</w:t>
            </w:r>
          </w:p>
        </w:tc>
      </w:tr>
      <w:tr w:rsidR="000C0E1A" w:rsidRPr="003B42AB" w:rsidTr="00295B37">
        <w:trPr>
          <w:jc w:val="center"/>
        </w:trPr>
        <w:tc>
          <w:tcPr>
            <w:tcW w:w="3330" w:type="dxa"/>
            <w:shd w:val="clear" w:color="auto" w:fill="auto"/>
          </w:tcPr>
          <w:p w:rsidR="000C0E1A" w:rsidRPr="003B42AB" w:rsidRDefault="000C0E1A" w:rsidP="00811749">
            <w:pPr>
              <w:jc w:val="left"/>
              <w:rPr>
                <w:b/>
                <w:sz w:val="15"/>
                <w:szCs w:val="15"/>
              </w:rPr>
            </w:pPr>
            <w:r w:rsidRPr="003B42AB">
              <w:rPr>
                <w:b/>
                <w:sz w:val="15"/>
                <w:szCs w:val="15"/>
              </w:rPr>
              <w:t>Change in Fund Balance</w:t>
            </w:r>
          </w:p>
        </w:tc>
        <w:tc>
          <w:tcPr>
            <w:tcW w:w="1260" w:type="dxa"/>
          </w:tcPr>
          <w:p w:rsidR="000C0E1A" w:rsidRPr="00346C43" w:rsidRDefault="000C0E1A" w:rsidP="00811749">
            <w:pPr>
              <w:tabs>
                <w:tab w:val="decimal" w:pos="1080"/>
              </w:tabs>
              <w:jc w:val="left"/>
              <w:rPr>
                <w:sz w:val="15"/>
                <w:szCs w:val="15"/>
              </w:rPr>
            </w:pPr>
            <w:r w:rsidRPr="00346C43">
              <w:rPr>
                <w:sz w:val="15"/>
                <w:szCs w:val="15"/>
              </w:rPr>
              <w:t>$110,634,710</w:t>
            </w:r>
          </w:p>
        </w:tc>
        <w:tc>
          <w:tcPr>
            <w:tcW w:w="990" w:type="dxa"/>
          </w:tcPr>
          <w:p w:rsidR="000C0E1A" w:rsidRPr="008158BD" w:rsidRDefault="000C0E1A" w:rsidP="00811749">
            <w:pPr>
              <w:tabs>
                <w:tab w:val="decimal" w:pos="900"/>
              </w:tabs>
              <w:rPr>
                <w:sz w:val="15"/>
                <w:szCs w:val="15"/>
              </w:rPr>
            </w:pPr>
            <w:r>
              <w:rPr>
                <w:sz w:val="15"/>
                <w:szCs w:val="15"/>
              </w:rPr>
              <w:t>$</w:t>
            </w:r>
            <w:r w:rsidRPr="008158BD">
              <w:rPr>
                <w:sz w:val="15"/>
                <w:szCs w:val="15"/>
              </w:rPr>
              <w:t>30,911,082</w:t>
            </w:r>
          </w:p>
        </w:tc>
        <w:tc>
          <w:tcPr>
            <w:tcW w:w="990" w:type="dxa"/>
          </w:tcPr>
          <w:p w:rsidR="000C0E1A" w:rsidRPr="00346C43" w:rsidRDefault="000C0E1A" w:rsidP="00811749">
            <w:pPr>
              <w:tabs>
                <w:tab w:val="decimal" w:pos="813"/>
              </w:tabs>
              <w:jc w:val="left"/>
              <w:rPr>
                <w:sz w:val="15"/>
                <w:szCs w:val="15"/>
              </w:rPr>
            </w:pPr>
            <w:r>
              <w:rPr>
                <w:sz w:val="15"/>
                <w:szCs w:val="15"/>
              </w:rPr>
              <w:t>$</w:t>
            </w:r>
            <w:r w:rsidRPr="00346C43">
              <w:rPr>
                <w:sz w:val="15"/>
                <w:szCs w:val="15"/>
              </w:rPr>
              <w:t>7,1</w:t>
            </w:r>
            <w:r>
              <w:rPr>
                <w:sz w:val="15"/>
                <w:szCs w:val="15"/>
              </w:rPr>
              <w:t>6</w:t>
            </w:r>
            <w:r w:rsidRPr="00346C43">
              <w:rPr>
                <w:sz w:val="15"/>
                <w:szCs w:val="15"/>
              </w:rPr>
              <w:t>3,</w:t>
            </w:r>
            <w:r>
              <w:rPr>
                <w:sz w:val="15"/>
                <w:szCs w:val="15"/>
              </w:rPr>
              <w:t>43</w:t>
            </w:r>
            <w:r w:rsidRPr="00346C43">
              <w:rPr>
                <w:sz w:val="15"/>
                <w:szCs w:val="15"/>
              </w:rPr>
              <w:t>9</w:t>
            </w:r>
          </w:p>
        </w:tc>
        <w:tc>
          <w:tcPr>
            <w:tcW w:w="1080" w:type="dxa"/>
            <w:vAlign w:val="bottom"/>
          </w:tcPr>
          <w:p w:rsidR="000C0E1A" w:rsidRPr="00811749" w:rsidRDefault="000C0E1A" w:rsidP="00B44E01">
            <w:pPr>
              <w:keepNext/>
              <w:tabs>
                <w:tab w:val="decimal" w:pos="990"/>
              </w:tabs>
              <w:rPr>
                <w:sz w:val="16"/>
                <w:szCs w:val="18"/>
              </w:rPr>
            </w:pPr>
            <w:r>
              <w:rPr>
                <w:sz w:val="16"/>
                <w:szCs w:val="18"/>
              </w:rPr>
              <w:t>$24</w:t>
            </w:r>
            <w:r w:rsidRPr="00811749">
              <w:rPr>
                <w:sz w:val="16"/>
                <w:szCs w:val="18"/>
              </w:rPr>
              <w:t>,</w:t>
            </w:r>
            <w:r w:rsidR="000F412D">
              <w:rPr>
                <w:sz w:val="16"/>
                <w:szCs w:val="18"/>
              </w:rPr>
              <w:t>346,816</w:t>
            </w:r>
          </w:p>
        </w:tc>
        <w:tc>
          <w:tcPr>
            <w:tcW w:w="1080" w:type="dxa"/>
          </w:tcPr>
          <w:p w:rsidR="000C0E1A" w:rsidRDefault="000F412D" w:rsidP="00215AFA">
            <w:pPr>
              <w:keepNext/>
              <w:tabs>
                <w:tab w:val="decimal" w:pos="990"/>
              </w:tabs>
              <w:rPr>
                <w:sz w:val="16"/>
                <w:szCs w:val="18"/>
              </w:rPr>
            </w:pPr>
            <w:r>
              <w:rPr>
                <w:sz w:val="16"/>
                <w:szCs w:val="18"/>
              </w:rPr>
              <w:t>(</w:t>
            </w:r>
            <w:r w:rsidR="00B44E01">
              <w:rPr>
                <w:sz w:val="16"/>
                <w:szCs w:val="18"/>
              </w:rPr>
              <w:t>$8</w:t>
            </w:r>
            <w:r>
              <w:rPr>
                <w:sz w:val="16"/>
                <w:szCs w:val="18"/>
              </w:rPr>
              <w:t>,306,105)</w:t>
            </w:r>
          </w:p>
        </w:tc>
      </w:tr>
    </w:tbl>
    <w:p w:rsidR="00520E5D" w:rsidRDefault="00520E5D" w:rsidP="00520E5D">
      <w:pPr>
        <w:pStyle w:val="OStablenotes"/>
        <w:keepNext w:val="0"/>
        <w:spacing w:before="80" w:after="0"/>
        <w:rPr>
          <w:spacing w:val="-3"/>
        </w:rPr>
      </w:pPr>
      <w:r>
        <w:rPr>
          <w:spacing w:val="-3"/>
        </w:rPr>
        <w:t>________________________</w:t>
      </w:r>
    </w:p>
    <w:p w:rsidR="003B42AB" w:rsidRPr="00170EA2" w:rsidRDefault="003B42AB" w:rsidP="008C2AC2">
      <w:pPr>
        <w:pStyle w:val="OStablenotes"/>
        <w:keepNext w:val="0"/>
        <w:keepLines w:val="0"/>
        <w:rPr>
          <w:color w:val="auto"/>
          <w:szCs w:val="16"/>
        </w:rPr>
      </w:pPr>
      <w:r w:rsidRPr="008158BD">
        <w:rPr>
          <w:color w:val="auto"/>
          <w:szCs w:val="16"/>
          <w:vertAlign w:val="superscript"/>
        </w:rPr>
        <w:t>1</w:t>
      </w:r>
      <w:r w:rsidRPr="00170EA2">
        <w:rPr>
          <w:color w:val="auto"/>
          <w:szCs w:val="16"/>
        </w:rPr>
        <w:tab/>
        <w:t>This presentation is unaudited because the Assistance Fund is not statutorily authorized to publish audited financial statements.  It has been prepared from the Assistance Fund</w:t>
      </w:r>
      <w:r w:rsidR="00A06786">
        <w:rPr>
          <w:color w:val="auto"/>
          <w:szCs w:val="16"/>
        </w:rPr>
        <w:t>’</w:t>
      </w:r>
      <w:r w:rsidRPr="00170EA2">
        <w:rPr>
          <w:color w:val="auto"/>
          <w:szCs w:val="16"/>
        </w:rPr>
        <w:t>s accounting records which are subject to audit as part of the State</w:t>
      </w:r>
      <w:r w:rsidR="00A06786">
        <w:rPr>
          <w:color w:val="auto"/>
          <w:szCs w:val="16"/>
        </w:rPr>
        <w:t>’</w:t>
      </w:r>
      <w:r w:rsidRPr="00170EA2">
        <w:rPr>
          <w:color w:val="auto"/>
          <w:szCs w:val="16"/>
        </w:rPr>
        <w:t>s Comprehensive Annual Financial Report audit.</w:t>
      </w:r>
    </w:p>
    <w:p w:rsidR="003B42AB" w:rsidRDefault="003B42AB" w:rsidP="008C2AC2">
      <w:pPr>
        <w:pStyle w:val="OStablenotes"/>
        <w:keepNext w:val="0"/>
        <w:keepLines w:val="0"/>
        <w:rPr>
          <w:color w:val="auto"/>
          <w:szCs w:val="16"/>
        </w:rPr>
      </w:pPr>
      <w:r w:rsidRPr="008158BD">
        <w:rPr>
          <w:color w:val="auto"/>
          <w:szCs w:val="16"/>
          <w:vertAlign w:val="superscript"/>
        </w:rPr>
        <w:t>2</w:t>
      </w:r>
      <w:r w:rsidRPr="00170EA2">
        <w:rPr>
          <w:color w:val="auto"/>
          <w:szCs w:val="16"/>
        </w:rPr>
        <w:tab/>
        <w:t>Primarily reflects cash and year-end accrued receivables.  No Certificate proceeds are reported in this balance.</w:t>
      </w:r>
    </w:p>
    <w:p w:rsidR="003B42AB" w:rsidRPr="00170EA2" w:rsidRDefault="003B42AB" w:rsidP="008C2AC2">
      <w:pPr>
        <w:pStyle w:val="OStablenotes"/>
        <w:keepNext w:val="0"/>
        <w:keepLines w:val="0"/>
        <w:rPr>
          <w:color w:val="auto"/>
          <w:szCs w:val="16"/>
        </w:rPr>
      </w:pPr>
      <w:r w:rsidRPr="008158BD">
        <w:rPr>
          <w:color w:val="auto"/>
          <w:szCs w:val="16"/>
          <w:vertAlign w:val="superscript"/>
        </w:rPr>
        <w:t>3</w:t>
      </w:r>
      <w:r w:rsidRPr="00170EA2">
        <w:rPr>
          <w:color w:val="auto"/>
          <w:szCs w:val="16"/>
        </w:rPr>
        <w:tab/>
        <w:t>Primarily reflects Matching Moneys on deposit from Participating K</w:t>
      </w:r>
      <w:r w:rsidRPr="00170EA2">
        <w:rPr>
          <w:color w:val="auto"/>
          <w:szCs w:val="16"/>
        </w:rPr>
        <w:noBreakHyphen/>
        <w:t>12 Institutions and year-end accrued construction payments payable.  Does not include Base Rent payments on the Certificates.</w:t>
      </w:r>
    </w:p>
    <w:p w:rsidR="003B42AB" w:rsidRPr="00170EA2" w:rsidRDefault="003B42AB" w:rsidP="008C2AC2">
      <w:pPr>
        <w:pStyle w:val="OStablenotes"/>
        <w:keepNext w:val="0"/>
        <w:keepLines w:val="0"/>
        <w:rPr>
          <w:color w:val="auto"/>
          <w:szCs w:val="16"/>
        </w:rPr>
      </w:pPr>
      <w:r w:rsidRPr="008158BD">
        <w:rPr>
          <w:color w:val="auto"/>
          <w:szCs w:val="16"/>
          <w:vertAlign w:val="superscript"/>
        </w:rPr>
        <w:t>4</w:t>
      </w:r>
      <w:r w:rsidRPr="00170EA2">
        <w:rPr>
          <w:color w:val="auto"/>
          <w:szCs w:val="16"/>
        </w:rPr>
        <w:tab/>
        <w:t>Primarily reflects payment obligations for approved project costs that are not financed with proceeds of the Certificates.</w:t>
      </w:r>
    </w:p>
    <w:p w:rsidR="003B42AB" w:rsidRPr="00170EA2" w:rsidRDefault="003B42AB" w:rsidP="008C2AC2">
      <w:pPr>
        <w:pStyle w:val="OStablenotes"/>
        <w:keepNext w:val="0"/>
        <w:keepLines w:val="0"/>
        <w:rPr>
          <w:color w:val="auto"/>
          <w:szCs w:val="16"/>
        </w:rPr>
      </w:pPr>
      <w:r w:rsidRPr="008158BD">
        <w:rPr>
          <w:color w:val="auto"/>
          <w:szCs w:val="16"/>
          <w:vertAlign w:val="superscript"/>
        </w:rPr>
        <w:t>5</w:t>
      </w:r>
      <w:r w:rsidRPr="00170EA2">
        <w:rPr>
          <w:color w:val="auto"/>
          <w:szCs w:val="16"/>
        </w:rPr>
        <w:tab/>
        <w:t>This available fund balance includes designations of cash on hand.  The designation of cash on  hand consists of statutory requirements for BEST emergency funds, debt obligation payments, direct deposits held, and anticipated cash distributions for the following Fiscal Year.</w:t>
      </w:r>
    </w:p>
    <w:p w:rsidR="003B42AB" w:rsidRPr="00170EA2" w:rsidRDefault="003B42AB" w:rsidP="008C2AC2">
      <w:pPr>
        <w:pStyle w:val="OStablenotes"/>
        <w:keepNext w:val="0"/>
        <w:keepLines w:val="0"/>
        <w:rPr>
          <w:color w:val="auto"/>
          <w:szCs w:val="16"/>
        </w:rPr>
      </w:pPr>
      <w:r w:rsidRPr="008158BD">
        <w:rPr>
          <w:color w:val="auto"/>
          <w:szCs w:val="16"/>
          <w:vertAlign w:val="superscript"/>
        </w:rPr>
        <w:t>6</w:t>
      </w:r>
      <w:r w:rsidRPr="00170EA2">
        <w:rPr>
          <w:color w:val="auto"/>
          <w:szCs w:val="16"/>
        </w:rPr>
        <w:tab/>
        <w:t>Includes Trustee payments directly to construction contractors from Certificate proceeds.  The Certificate-related portion of these line items is equal and offsetting and has no effect on the Available Fund Balance of the Assistance Fund.  The amounts are required to be recorded in the State</w:t>
      </w:r>
      <w:r w:rsidR="00A06786">
        <w:rPr>
          <w:color w:val="auto"/>
          <w:szCs w:val="16"/>
        </w:rPr>
        <w:t>’</w:t>
      </w:r>
      <w:r w:rsidRPr="00170EA2">
        <w:rPr>
          <w:color w:val="auto"/>
          <w:szCs w:val="16"/>
        </w:rPr>
        <w:t>s official book of record by the Assistance Fund in order to support the recording of capital assets subleased by the State Treasurer to Participating K</w:t>
      </w:r>
      <w:r w:rsidRPr="00170EA2">
        <w:rPr>
          <w:color w:val="auto"/>
          <w:szCs w:val="16"/>
        </w:rPr>
        <w:noBreakHyphen/>
        <w:t>12 Institutions.  Those capital assets collateralized the State</w:t>
      </w:r>
      <w:r w:rsidR="00A06786">
        <w:rPr>
          <w:color w:val="auto"/>
          <w:szCs w:val="16"/>
        </w:rPr>
        <w:t>’</w:t>
      </w:r>
      <w:r w:rsidRPr="00170EA2">
        <w:rPr>
          <w:color w:val="auto"/>
          <w:szCs w:val="16"/>
        </w:rPr>
        <w:t>s liability recorded pursuant to entering into the Leases with the Trustee.</w:t>
      </w:r>
    </w:p>
    <w:p w:rsidR="003B42AB" w:rsidRPr="00170EA2" w:rsidRDefault="003B42AB" w:rsidP="00170EA2">
      <w:pPr>
        <w:pStyle w:val="OStablesources"/>
        <w:rPr>
          <w:color w:val="auto"/>
        </w:rPr>
      </w:pPr>
      <w:r w:rsidRPr="00170EA2">
        <w:rPr>
          <w:color w:val="auto"/>
        </w:rPr>
        <w:t>Source:</w:t>
      </w:r>
      <w:r w:rsidRPr="00170EA2">
        <w:rPr>
          <w:color w:val="auto"/>
        </w:rPr>
        <w:tab/>
        <w:t>Colorado Department of Education</w:t>
      </w:r>
      <w:r w:rsidR="004B2DCB">
        <w:rPr>
          <w:color w:val="auto"/>
        </w:rPr>
        <w:t>.</w:t>
      </w:r>
    </w:p>
    <w:p w:rsidR="006123A1" w:rsidRDefault="006123A1" w:rsidP="00B22F88">
      <w:pPr>
        <w:pStyle w:val="Subtitle"/>
      </w:pPr>
      <w:r>
        <w:t>State Appropriation or Transfer from Legally Available Sources</w:t>
      </w:r>
    </w:p>
    <w:p w:rsidR="006123A1" w:rsidRDefault="006123A1" w:rsidP="00B22F88">
      <w:pPr>
        <w:pStyle w:val="BodyText1"/>
      </w:pPr>
      <w:r>
        <w:t xml:space="preserve">If the amount of moneys in the Assistance Fund that is available to pay lease payments under the Leases will be insufficient to cover the full amount of the lease payments required by the Leases, the Act provides that the General Assembly may appropriate or transfer from any legally available source to the Assistance Fund sufficient moneys to make the lease payments.  </w:t>
      </w:r>
      <w:r w:rsidRPr="00B22F88">
        <w:rPr>
          <w:b/>
          <w:i/>
        </w:rPr>
        <w:t>However, the General Assembly is not obligated to appropriate or transfer moneys for such purpose and the decision whether or not to appropriate any such amount for such purpose will be in the General Assembly</w:t>
      </w:r>
      <w:r w:rsidR="00A06786">
        <w:rPr>
          <w:b/>
          <w:i/>
        </w:rPr>
        <w:t>’</w:t>
      </w:r>
      <w:r w:rsidRPr="00B22F88">
        <w:rPr>
          <w:b/>
          <w:i/>
        </w:rPr>
        <w:t>s sole discretion.</w:t>
      </w:r>
      <w:r>
        <w:t xml:space="preserve">  See </w:t>
      </w:r>
      <w:r w:rsidR="00A06786">
        <w:t>“</w:t>
      </w:r>
      <w:r>
        <w:t>APPENDIX E – THE STATE GENERAL FUND.</w:t>
      </w:r>
      <w:r w:rsidR="00A06786">
        <w:t>”</w:t>
      </w:r>
    </w:p>
    <w:p w:rsidR="006123A1" w:rsidRDefault="006123A1" w:rsidP="00B22F88">
      <w:pPr>
        <w:pStyle w:val="Subtitle"/>
      </w:pPr>
      <w:r>
        <w:t>Future Changes in Laws</w:t>
      </w:r>
    </w:p>
    <w:p w:rsidR="006123A1" w:rsidRDefault="006123A1" w:rsidP="00B22F88">
      <w:pPr>
        <w:pStyle w:val="BodyText1"/>
      </w:pPr>
      <w:r>
        <w:t>Various State laws, including the Act, apply to the priority and allocation of Public School Lands Income, availability of funds for appropriation by the State and other operations of the State.  There is no assurance that there will not be any change in interpretation of, or addition to the applicable laws, provisions and regulations which would have a material effect, directly or indirectly, on the affairs of the State or amounts deposited in the Assistance Fund.</w:t>
      </w:r>
    </w:p>
    <w:p w:rsidR="00B22F88" w:rsidRDefault="006123A1" w:rsidP="00B22F88">
      <w:pPr>
        <w:jc w:val="center"/>
        <w:sectPr w:rsidR="00B22F88" w:rsidSect="009F07A3">
          <w:footerReference w:type="default" r:id="rId39"/>
          <w:footerReference w:type="first" r:id="rId40"/>
          <w:footnotePr>
            <w:numRestart w:val="eachPage"/>
          </w:footnotePr>
          <w:pgSz w:w="12240" w:h="15840"/>
          <w:pgMar w:top="1440" w:right="1440" w:bottom="1440" w:left="1440" w:header="720" w:footer="720" w:gutter="0"/>
          <w:pgNumType w:start="1"/>
          <w:cols w:space="720"/>
          <w:titlePg/>
          <w:docGrid w:linePitch="360"/>
        </w:sectPr>
      </w:pPr>
      <w:r>
        <w:t>*  *  *</w:t>
      </w:r>
    </w:p>
    <w:p w:rsidR="00B22F88" w:rsidRDefault="00B22F88" w:rsidP="00B22F88">
      <w:pPr>
        <w:jc w:val="center"/>
      </w:pPr>
    </w:p>
    <w:p w:rsidR="00B22F88" w:rsidRDefault="00B22F88" w:rsidP="00B22F88">
      <w:pPr>
        <w:jc w:val="center"/>
      </w:pPr>
    </w:p>
    <w:p w:rsidR="00B22F88" w:rsidRDefault="00B22F88" w:rsidP="00B22F88">
      <w:pPr>
        <w:jc w:val="center"/>
      </w:pPr>
    </w:p>
    <w:p w:rsidR="00B22F88" w:rsidRDefault="00B22F88" w:rsidP="00B22F88">
      <w:pPr>
        <w:jc w:val="center"/>
      </w:pPr>
    </w:p>
    <w:p w:rsidR="00B22F88" w:rsidRDefault="00B22F88" w:rsidP="00B22F88">
      <w:pPr>
        <w:jc w:val="center"/>
      </w:pPr>
    </w:p>
    <w:p w:rsidR="00B22F88" w:rsidRDefault="00B22F88" w:rsidP="00B22F88">
      <w:pPr>
        <w:jc w:val="center"/>
      </w:pPr>
    </w:p>
    <w:p w:rsidR="00B22F88" w:rsidRDefault="00B22F88" w:rsidP="00B22F88">
      <w:pPr>
        <w:jc w:val="center"/>
      </w:pPr>
    </w:p>
    <w:p w:rsidR="00B22F88" w:rsidRDefault="00B22F88" w:rsidP="00B22F88">
      <w:pPr>
        <w:jc w:val="center"/>
      </w:pPr>
    </w:p>
    <w:p w:rsidR="00B22F88" w:rsidRDefault="00B22F88" w:rsidP="00B22F88">
      <w:pPr>
        <w:jc w:val="center"/>
      </w:pPr>
    </w:p>
    <w:p w:rsidR="00B22F88" w:rsidRDefault="00B22F88" w:rsidP="00B22F88">
      <w:pPr>
        <w:jc w:val="center"/>
      </w:pPr>
    </w:p>
    <w:p w:rsidR="00B22F88" w:rsidRDefault="00B22F88" w:rsidP="00B22F88">
      <w:pPr>
        <w:jc w:val="center"/>
      </w:pPr>
    </w:p>
    <w:p w:rsidR="00B22F88" w:rsidRDefault="00B22F88" w:rsidP="00B22F88">
      <w:pPr>
        <w:jc w:val="center"/>
      </w:pPr>
    </w:p>
    <w:p w:rsidR="00B22F88" w:rsidRDefault="00B22F88" w:rsidP="00B22F88">
      <w:pPr>
        <w:jc w:val="center"/>
      </w:pPr>
    </w:p>
    <w:p w:rsidR="00B22F88" w:rsidRDefault="00B22F88" w:rsidP="00B22F88">
      <w:pPr>
        <w:jc w:val="center"/>
      </w:pPr>
    </w:p>
    <w:p w:rsidR="00B22F88" w:rsidRDefault="00B22F88" w:rsidP="00B22F88">
      <w:pPr>
        <w:jc w:val="center"/>
      </w:pPr>
    </w:p>
    <w:p w:rsidR="00B22F88" w:rsidRDefault="00B22F88" w:rsidP="00B22F88">
      <w:pPr>
        <w:jc w:val="center"/>
      </w:pPr>
    </w:p>
    <w:p w:rsidR="00B22F88" w:rsidRDefault="00B22F88" w:rsidP="00B22F88">
      <w:pPr>
        <w:jc w:val="center"/>
      </w:pPr>
    </w:p>
    <w:p w:rsidR="00B22F88" w:rsidRDefault="00B22F88" w:rsidP="00B22F88">
      <w:pPr>
        <w:jc w:val="center"/>
      </w:pPr>
    </w:p>
    <w:p w:rsidR="00B22F88" w:rsidRDefault="00B22F88" w:rsidP="00B22F88">
      <w:pPr>
        <w:jc w:val="center"/>
      </w:pPr>
    </w:p>
    <w:p w:rsidR="00B22F88" w:rsidRDefault="00B22F88" w:rsidP="00B22F88">
      <w:pPr>
        <w:jc w:val="center"/>
      </w:pPr>
    </w:p>
    <w:p w:rsidR="00B22F88" w:rsidRDefault="00B22F88" w:rsidP="00B22F88">
      <w:pPr>
        <w:jc w:val="center"/>
      </w:pPr>
    </w:p>
    <w:p w:rsidR="00B22F88" w:rsidRDefault="00B22F88" w:rsidP="00B22F88">
      <w:pPr>
        <w:jc w:val="center"/>
      </w:pPr>
    </w:p>
    <w:p w:rsidR="00B22F88" w:rsidRDefault="00B22F88" w:rsidP="00B22F88">
      <w:pPr>
        <w:jc w:val="center"/>
      </w:pPr>
    </w:p>
    <w:p w:rsidR="00B22F88" w:rsidRDefault="00B22F88" w:rsidP="00B22F88">
      <w:pPr>
        <w:jc w:val="center"/>
      </w:pPr>
    </w:p>
    <w:p w:rsidR="00B22F88" w:rsidRDefault="00B22F88" w:rsidP="00B22F88">
      <w:pPr>
        <w:jc w:val="center"/>
      </w:pPr>
    </w:p>
    <w:p w:rsidR="00B22F88" w:rsidRDefault="00B22F88" w:rsidP="00B22F88">
      <w:pPr>
        <w:jc w:val="center"/>
        <w:sectPr w:rsidR="00B22F88" w:rsidSect="009F07A3">
          <w:footerReference w:type="first" r:id="rId41"/>
          <w:footnotePr>
            <w:numRestart w:val="eachPage"/>
          </w:footnotePr>
          <w:pgSz w:w="12240" w:h="15840"/>
          <w:pgMar w:top="1440" w:right="1440" w:bottom="1440" w:left="1440" w:header="720" w:footer="720" w:gutter="0"/>
          <w:cols w:space="720"/>
          <w:titlePg/>
          <w:docGrid w:linePitch="360"/>
        </w:sectPr>
      </w:pPr>
      <w:r>
        <w:t>[This page intentionally left blank]</w:t>
      </w:r>
    </w:p>
    <w:p w:rsidR="006123A1" w:rsidRPr="00B22F88" w:rsidRDefault="006123A1" w:rsidP="00B22F88">
      <w:pPr>
        <w:jc w:val="center"/>
        <w:rPr>
          <w:b/>
        </w:rPr>
      </w:pPr>
      <w:r w:rsidRPr="00B22F88">
        <w:rPr>
          <w:b/>
        </w:rPr>
        <w:t>APPENDIX H</w:t>
      </w:r>
    </w:p>
    <w:p w:rsidR="00B22F88" w:rsidRPr="00B22F88" w:rsidRDefault="00B22F88" w:rsidP="00B22F88">
      <w:pPr>
        <w:jc w:val="center"/>
        <w:rPr>
          <w:b/>
        </w:rPr>
      </w:pPr>
    </w:p>
    <w:p w:rsidR="006123A1" w:rsidRPr="00B22F88" w:rsidRDefault="006123A1" w:rsidP="00B22F88">
      <w:pPr>
        <w:jc w:val="center"/>
        <w:rPr>
          <w:b/>
        </w:rPr>
      </w:pPr>
      <w:r w:rsidRPr="00B22F88">
        <w:rPr>
          <w:b/>
        </w:rPr>
        <w:t xml:space="preserve">LEASED PROPERTY RELATING TO THE </w:t>
      </w:r>
      <w:r w:rsidR="00AF018D">
        <w:rPr>
          <w:b/>
        </w:rPr>
        <w:t>PRIOR</w:t>
      </w:r>
      <w:r w:rsidRPr="00B22F88">
        <w:rPr>
          <w:b/>
        </w:rPr>
        <w:t xml:space="preserve"> CERTIFICATES</w:t>
      </w:r>
      <w:r w:rsidRPr="00B22F88">
        <w:rPr>
          <w:b/>
          <w:vertAlign w:val="superscript"/>
        </w:rPr>
        <w:t>1</w:t>
      </w:r>
    </w:p>
    <w:p w:rsidR="00B22F88" w:rsidRDefault="00B22F88" w:rsidP="006123A1"/>
    <w:p w:rsidR="006123A1" w:rsidRDefault="006123A1" w:rsidP="00B22F88">
      <w:pPr>
        <w:pStyle w:val="BodyText1"/>
      </w:pPr>
      <w:r>
        <w:t xml:space="preserve">The following table describes the Leased Property subject to the Leases between the Trustee and the respective Participating </w:t>
      </w:r>
      <w:r w:rsidR="00006F60">
        <w:t>K-12</w:t>
      </w:r>
      <w:r>
        <w:t xml:space="preserve"> Institutions relating to the Certificates to be outstanding upon the execution and delivery of the Series </w:t>
      </w:r>
      <w:r w:rsidR="00480C95">
        <w:t>2020R</w:t>
      </w:r>
      <w:r>
        <w:t xml:space="preserve"> Certificates.</w:t>
      </w:r>
      <w:r w:rsidR="00D236F7">
        <w:t xml:space="preserve"> </w:t>
      </w:r>
    </w:p>
    <w:tbl>
      <w:tblPr>
        <w:tblW w:w="9990" w:type="dxa"/>
        <w:jc w:val="center"/>
        <w:tblCellMar>
          <w:left w:w="0" w:type="dxa"/>
          <w:right w:w="0" w:type="dxa"/>
        </w:tblCellMar>
        <w:tblLook w:val="01E0" w:firstRow="1" w:lastRow="1" w:firstColumn="1" w:lastColumn="1" w:noHBand="0" w:noVBand="0"/>
      </w:tblPr>
      <w:tblGrid>
        <w:gridCol w:w="3311"/>
        <w:gridCol w:w="24"/>
        <w:gridCol w:w="3359"/>
        <w:gridCol w:w="3296"/>
      </w:tblGrid>
      <w:tr w:rsidR="00B22F88" w:rsidRPr="004D72DD" w:rsidTr="003E21D9">
        <w:trPr>
          <w:tblHeader/>
          <w:jc w:val="center"/>
        </w:trPr>
        <w:tc>
          <w:tcPr>
            <w:tcW w:w="3311" w:type="dxa"/>
            <w:shd w:val="clear" w:color="auto" w:fill="auto"/>
            <w:vAlign w:val="bottom"/>
          </w:tcPr>
          <w:p w:rsidR="00B22F88" w:rsidRPr="004D72DD" w:rsidRDefault="00B22F88" w:rsidP="00C31F62">
            <w:pPr>
              <w:spacing w:after="120"/>
              <w:jc w:val="center"/>
              <w:rPr>
                <w:b/>
                <w:sz w:val="18"/>
                <w:szCs w:val="18"/>
              </w:rPr>
            </w:pPr>
            <w:r w:rsidRPr="004D72DD">
              <w:rPr>
                <w:b/>
                <w:sz w:val="18"/>
                <w:szCs w:val="18"/>
                <w:u w:val="single"/>
              </w:rPr>
              <w:t>Participating K</w:t>
            </w:r>
            <w:r w:rsidRPr="004D72DD">
              <w:rPr>
                <w:b/>
                <w:sz w:val="18"/>
                <w:szCs w:val="18"/>
                <w:u w:val="single"/>
              </w:rPr>
              <w:noBreakHyphen/>
              <w:t>12 Institutions</w:t>
            </w:r>
          </w:p>
        </w:tc>
        <w:tc>
          <w:tcPr>
            <w:tcW w:w="3383" w:type="dxa"/>
            <w:gridSpan w:val="2"/>
            <w:shd w:val="clear" w:color="auto" w:fill="auto"/>
            <w:vAlign w:val="bottom"/>
          </w:tcPr>
          <w:p w:rsidR="00B22F88" w:rsidRPr="004D72DD" w:rsidRDefault="00B22F88" w:rsidP="00C31F62">
            <w:pPr>
              <w:spacing w:after="120"/>
              <w:jc w:val="center"/>
              <w:rPr>
                <w:sz w:val="18"/>
                <w:szCs w:val="18"/>
              </w:rPr>
            </w:pPr>
            <w:r w:rsidRPr="004D72DD">
              <w:rPr>
                <w:b/>
                <w:sz w:val="18"/>
                <w:szCs w:val="18"/>
                <w:u w:val="single"/>
              </w:rPr>
              <w:t>Description of Leased Property</w:t>
            </w:r>
          </w:p>
        </w:tc>
        <w:tc>
          <w:tcPr>
            <w:tcW w:w="3296" w:type="dxa"/>
            <w:shd w:val="clear" w:color="auto" w:fill="auto"/>
            <w:vAlign w:val="bottom"/>
          </w:tcPr>
          <w:p w:rsidR="00B22F88" w:rsidRPr="00931616" w:rsidRDefault="00B22F88" w:rsidP="00C31F62">
            <w:pPr>
              <w:spacing w:after="120"/>
              <w:jc w:val="center"/>
              <w:rPr>
                <w:b/>
                <w:sz w:val="18"/>
                <w:szCs w:val="18"/>
                <w:u w:val="single"/>
              </w:rPr>
            </w:pPr>
            <w:r w:rsidRPr="00931616">
              <w:rPr>
                <w:b/>
                <w:sz w:val="18"/>
                <w:szCs w:val="18"/>
                <w:u w:val="single"/>
              </w:rPr>
              <w:t>Land</w:t>
            </w:r>
          </w:p>
        </w:tc>
      </w:tr>
      <w:tr w:rsidR="00B22F88" w:rsidRPr="004D72DD" w:rsidTr="003E21D9">
        <w:trPr>
          <w:jc w:val="center"/>
        </w:trPr>
        <w:tc>
          <w:tcPr>
            <w:tcW w:w="9990" w:type="dxa"/>
            <w:gridSpan w:val="4"/>
            <w:shd w:val="clear" w:color="auto" w:fill="auto"/>
            <w:tcMar>
              <w:bottom w:w="58" w:type="dxa"/>
            </w:tcMar>
          </w:tcPr>
          <w:p w:rsidR="00B22F88" w:rsidRPr="004D72DD" w:rsidRDefault="00B22F88" w:rsidP="00C31F62">
            <w:pPr>
              <w:spacing w:after="80"/>
              <w:jc w:val="left"/>
              <w:rPr>
                <w:sz w:val="18"/>
                <w:szCs w:val="18"/>
              </w:rPr>
            </w:pPr>
            <w:r w:rsidRPr="004D72DD">
              <w:rPr>
                <w:b/>
                <w:sz w:val="18"/>
                <w:szCs w:val="18"/>
              </w:rPr>
              <w:t>Series 2009A Certificates</w:t>
            </w:r>
          </w:p>
        </w:tc>
      </w:tr>
      <w:tr w:rsidR="00B22F88" w:rsidRPr="004D72DD" w:rsidTr="003E21D9">
        <w:trPr>
          <w:jc w:val="center"/>
        </w:trPr>
        <w:tc>
          <w:tcPr>
            <w:tcW w:w="3311" w:type="dxa"/>
            <w:shd w:val="clear" w:color="auto" w:fill="auto"/>
            <w:tcMar>
              <w:bottom w:w="58" w:type="dxa"/>
            </w:tcMar>
          </w:tcPr>
          <w:p w:rsidR="00B22F88" w:rsidRPr="004D72DD" w:rsidRDefault="00C6272C" w:rsidP="00C31F62">
            <w:pPr>
              <w:jc w:val="left"/>
              <w:rPr>
                <w:sz w:val="18"/>
                <w:szCs w:val="18"/>
              </w:rPr>
            </w:pPr>
            <w:r>
              <w:rPr>
                <w:sz w:val="18"/>
                <w:szCs w:val="18"/>
              </w:rPr>
              <w:t>Alamosa School District No. RE</w:t>
            </w:r>
            <w:r w:rsidR="00B22F88" w:rsidRPr="004D72DD">
              <w:rPr>
                <w:sz w:val="18"/>
                <w:szCs w:val="18"/>
              </w:rPr>
              <w:t>-11J</w:t>
            </w:r>
          </w:p>
        </w:tc>
        <w:tc>
          <w:tcPr>
            <w:tcW w:w="3383" w:type="dxa"/>
            <w:gridSpan w:val="2"/>
            <w:shd w:val="clear" w:color="auto" w:fill="auto"/>
            <w:tcMar>
              <w:bottom w:w="58" w:type="dxa"/>
            </w:tcMar>
          </w:tcPr>
          <w:p w:rsidR="00B22F88" w:rsidRPr="004D72DD" w:rsidRDefault="00B22F88" w:rsidP="00C31F62">
            <w:pPr>
              <w:jc w:val="left"/>
              <w:rPr>
                <w:sz w:val="18"/>
                <w:szCs w:val="18"/>
              </w:rPr>
            </w:pPr>
            <w:r w:rsidRPr="004D72DD">
              <w:rPr>
                <w:sz w:val="18"/>
                <w:szCs w:val="18"/>
              </w:rPr>
              <w:t>Two elementary schools</w:t>
            </w:r>
          </w:p>
          <w:p w:rsidR="00B22F88" w:rsidRPr="004D72DD" w:rsidRDefault="00B22F88" w:rsidP="00C31F62">
            <w:pPr>
              <w:jc w:val="left"/>
              <w:rPr>
                <w:sz w:val="18"/>
                <w:szCs w:val="18"/>
              </w:rPr>
            </w:pPr>
            <w:r w:rsidRPr="004D72DD">
              <w:rPr>
                <w:sz w:val="18"/>
                <w:szCs w:val="18"/>
              </w:rPr>
              <w:t>(144,688 sq. ft. w/ 72 classrooms)</w:t>
            </w:r>
            <w:r w:rsidRPr="004D72DD">
              <w:rPr>
                <w:sz w:val="18"/>
                <w:szCs w:val="18"/>
                <w:vertAlign w:val="superscript"/>
              </w:rPr>
              <w:t>2</w:t>
            </w:r>
          </w:p>
        </w:tc>
        <w:tc>
          <w:tcPr>
            <w:tcW w:w="3296" w:type="dxa"/>
            <w:shd w:val="clear" w:color="auto" w:fill="auto"/>
            <w:tcMar>
              <w:bottom w:w="58" w:type="dxa"/>
            </w:tcMar>
          </w:tcPr>
          <w:p w:rsidR="00B22F88" w:rsidRPr="004D72DD" w:rsidRDefault="00B22F88" w:rsidP="00C31F62">
            <w:pPr>
              <w:jc w:val="left"/>
              <w:rPr>
                <w:sz w:val="18"/>
                <w:szCs w:val="18"/>
              </w:rPr>
            </w:pPr>
            <w:r w:rsidRPr="004D72DD">
              <w:rPr>
                <w:sz w:val="18"/>
                <w:szCs w:val="18"/>
              </w:rPr>
              <w:t>26.6-acre parcel of undeveloped land valued at $226,000</w:t>
            </w:r>
          </w:p>
        </w:tc>
      </w:tr>
      <w:tr w:rsidR="00B22F88" w:rsidRPr="004D72DD" w:rsidTr="003E21D9">
        <w:trPr>
          <w:jc w:val="center"/>
        </w:trPr>
        <w:tc>
          <w:tcPr>
            <w:tcW w:w="3311" w:type="dxa"/>
            <w:shd w:val="clear" w:color="auto" w:fill="auto"/>
            <w:tcMar>
              <w:bottom w:w="58" w:type="dxa"/>
            </w:tcMar>
          </w:tcPr>
          <w:p w:rsidR="00B22F88" w:rsidRPr="004D72DD" w:rsidRDefault="00B22F88" w:rsidP="00C31F62">
            <w:pPr>
              <w:jc w:val="left"/>
              <w:rPr>
                <w:sz w:val="18"/>
                <w:szCs w:val="18"/>
              </w:rPr>
            </w:pPr>
            <w:r w:rsidRPr="004D72DD">
              <w:rPr>
                <w:sz w:val="18"/>
                <w:szCs w:val="18"/>
              </w:rPr>
              <w:t>Sangre de Cristo School Dist</w:t>
            </w:r>
            <w:r w:rsidR="00C6272C">
              <w:rPr>
                <w:sz w:val="18"/>
                <w:szCs w:val="18"/>
              </w:rPr>
              <w:t>rict RE</w:t>
            </w:r>
            <w:r w:rsidRPr="004D72DD">
              <w:rPr>
                <w:sz w:val="18"/>
                <w:szCs w:val="18"/>
              </w:rPr>
              <w:t>-22J</w:t>
            </w:r>
          </w:p>
        </w:tc>
        <w:tc>
          <w:tcPr>
            <w:tcW w:w="3383" w:type="dxa"/>
            <w:gridSpan w:val="2"/>
            <w:shd w:val="clear" w:color="auto" w:fill="auto"/>
            <w:tcMar>
              <w:bottom w:w="58" w:type="dxa"/>
            </w:tcMar>
          </w:tcPr>
          <w:p w:rsidR="00B22F88" w:rsidRPr="004D72DD" w:rsidRDefault="00B22F88" w:rsidP="00C31F62">
            <w:pPr>
              <w:jc w:val="left"/>
              <w:rPr>
                <w:sz w:val="18"/>
                <w:szCs w:val="18"/>
              </w:rPr>
            </w:pPr>
            <w:r w:rsidRPr="004D72DD">
              <w:rPr>
                <w:sz w:val="18"/>
                <w:szCs w:val="18"/>
              </w:rPr>
              <w:t>One K</w:t>
            </w:r>
            <w:r w:rsidRPr="004D72DD">
              <w:rPr>
                <w:sz w:val="18"/>
                <w:szCs w:val="18"/>
              </w:rPr>
              <w:noBreakHyphen/>
              <w:t>12 school</w:t>
            </w:r>
          </w:p>
          <w:p w:rsidR="00B22F88" w:rsidRPr="004D72DD" w:rsidRDefault="00B22F88" w:rsidP="00C31F62">
            <w:pPr>
              <w:jc w:val="left"/>
              <w:rPr>
                <w:sz w:val="18"/>
                <w:szCs w:val="18"/>
              </w:rPr>
            </w:pPr>
            <w:r w:rsidRPr="004D72DD">
              <w:rPr>
                <w:sz w:val="18"/>
                <w:szCs w:val="18"/>
              </w:rPr>
              <w:t>(81,000 sq. ft. w/ 24 classrooms)</w:t>
            </w:r>
            <w:r w:rsidRPr="004D72DD">
              <w:rPr>
                <w:sz w:val="18"/>
                <w:szCs w:val="18"/>
                <w:vertAlign w:val="superscript"/>
              </w:rPr>
              <w:t>2</w:t>
            </w:r>
          </w:p>
        </w:tc>
        <w:tc>
          <w:tcPr>
            <w:tcW w:w="3296" w:type="dxa"/>
            <w:shd w:val="clear" w:color="auto" w:fill="auto"/>
            <w:tcMar>
              <w:bottom w:w="58" w:type="dxa"/>
            </w:tcMar>
          </w:tcPr>
          <w:p w:rsidR="00B22F88" w:rsidRPr="004D72DD" w:rsidRDefault="00B22F88" w:rsidP="00C31F62">
            <w:pPr>
              <w:jc w:val="left"/>
              <w:rPr>
                <w:sz w:val="18"/>
                <w:szCs w:val="18"/>
              </w:rPr>
            </w:pPr>
            <w:r w:rsidRPr="004D72DD">
              <w:rPr>
                <w:sz w:val="18"/>
                <w:szCs w:val="18"/>
              </w:rPr>
              <w:t>40-acre parcel of agricultural land valued at $32,667</w:t>
            </w:r>
          </w:p>
        </w:tc>
      </w:tr>
      <w:tr w:rsidR="00B22F88" w:rsidRPr="004D72DD" w:rsidTr="003E21D9">
        <w:trPr>
          <w:jc w:val="center"/>
        </w:trPr>
        <w:tc>
          <w:tcPr>
            <w:tcW w:w="3311" w:type="dxa"/>
            <w:tcBorders>
              <w:bottom w:val="single" w:sz="4" w:space="0" w:color="auto"/>
            </w:tcBorders>
            <w:shd w:val="clear" w:color="auto" w:fill="auto"/>
            <w:tcMar>
              <w:bottom w:w="58" w:type="dxa"/>
            </w:tcMar>
          </w:tcPr>
          <w:p w:rsidR="00B22F88" w:rsidRPr="004D72DD" w:rsidRDefault="00C6272C" w:rsidP="00C31F62">
            <w:pPr>
              <w:pStyle w:val="Offices"/>
              <w:tabs>
                <w:tab w:val="clear" w:pos="1440"/>
              </w:tabs>
              <w:overflowPunct w:val="0"/>
              <w:autoSpaceDE w:val="0"/>
              <w:autoSpaceDN w:val="0"/>
              <w:adjustRightInd w:val="0"/>
              <w:textAlignment w:val="baseline"/>
              <w:rPr>
                <w:sz w:val="18"/>
                <w:szCs w:val="18"/>
                <w:lang w:eastAsia="en-US"/>
              </w:rPr>
            </w:pPr>
            <w:r>
              <w:rPr>
                <w:sz w:val="18"/>
                <w:szCs w:val="18"/>
                <w:lang w:eastAsia="en-US"/>
              </w:rPr>
              <w:t>Sargent RE</w:t>
            </w:r>
            <w:r w:rsidR="00B22F88" w:rsidRPr="004D72DD">
              <w:rPr>
                <w:sz w:val="18"/>
                <w:szCs w:val="18"/>
                <w:lang w:eastAsia="en-US"/>
              </w:rPr>
              <w:t>-33J</w:t>
            </w:r>
          </w:p>
        </w:tc>
        <w:tc>
          <w:tcPr>
            <w:tcW w:w="3383" w:type="dxa"/>
            <w:gridSpan w:val="2"/>
            <w:tcBorders>
              <w:bottom w:val="single" w:sz="4" w:space="0" w:color="auto"/>
            </w:tcBorders>
            <w:shd w:val="clear" w:color="auto" w:fill="auto"/>
            <w:tcMar>
              <w:bottom w:w="58" w:type="dxa"/>
            </w:tcMar>
          </w:tcPr>
          <w:p w:rsidR="00B22F88" w:rsidRPr="004D72DD" w:rsidRDefault="00B22F88" w:rsidP="00C31F62">
            <w:pPr>
              <w:jc w:val="left"/>
              <w:rPr>
                <w:sz w:val="18"/>
                <w:szCs w:val="18"/>
              </w:rPr>
            </w:pPr>
            <w:r w:rsidRPr="004D72DD">
              <w:rPr>
                <w:sz w:val="18"/>
                <w:szCs w:val="18"/>
              </w:rPr>
              <w:t>One junior/senior high school</w:t>
            </w:r>
          </w:p>
          <w:p w:rsidR="00B22F88" w:rsidRPr="004D72DD" w:rsidRDefault="00B22F88" w:rsidP="00C31F62">
            <w:pPr>
              <w:jc w:val="left"/>
              <w:rPr>
                <w:sz w:val="18"/>
                <w:szCs w:val="18"/>
              </w:rPr>
            </w:pPr>
            <w:r w:rsidRPr="004D72DD">
              <w:rPr>
                <w:sz w:val="18"/>
                <w:szCs w:val="18"/>
              </w:rPr>
              <w:t>(62,463 sq. ft. w/ 18 classrooms)</w:t>
            </w:r>
            <w:r w:rsidRPr="004D72DD">
              <w:rPr>
                <w:sz w:val="18"/>
                <w:szCs w:val="18"/>
                <w:vertAlign w:val="superscript"/>
              </w:rPr>
              <w:t>2,3</w:t>
            </w:r>
          </w:p>
        </w:tc>
        <w:tc>
          <w:tcPr>
            <w:tcW w:w="3296" w:type="dxa"/>
            <w:tcBorders>
              <w:bottom w:val="single" w:sz="4" w:space="0" w:color="auto"/>
            </w:tcBorders>
            <w:shd w:val="clear" w:color="auto" w:fill="auto"/>
            <w:tcMar>
              <w:bottom w:w="58" w:type="dxa"/>
            </w:tcMar>
          </w:tcPr>
          <w:p w:rsidR="00B22F88" w:rsidRPr="004D72DD" w:rsidRDefault="00B22F88" w:rsidP="00C31F62">
            <w:pPr>
              <w:jc w:val="left"/>
              <w:rPr>
                <w:sz w:val="18"/>
                <w:szCs w:val="18"/>
                <w:vertAlign w:val="superscript"/>
              </w:rPr>
            </w:pPr>
            <w:r w:rsidRPr="004D72DD">
              <w:rPr>
                <w:sz w:val="18"/>
                <w:szCs w:val="18"/>
              </w:rPr>
              <w:t>1.2-acre parcel valued at $6,656</w:t>
            </w:r>
          </w:p>
        </w:tc>
      </w:tr>
      <w:tr w:rsidR="00B22F88" w:rsidRPr="004D72DD" w:rsidTr="003E21D9">
        <w:trPr>
          <w:jc w:val="center"/>
        </w:trPr>
        <w:tc>
          <w:tcPr>
            <w:tcW w:w="9990" w:type="dxa"/>
            <w:gridSpan w:val="4"/>
            <w:tcBorders>
              <w:top w:val="single" w:sz="4" w:space="0" w:color="auto"/>
            </w:tcBorders>
            <w:shd w:val="clear" w:color="auto" w:fill="auto"/>
            <w:tcMar>
              <w:bottom w:w="58" w:type="dxa"/>
            </w:tcMar>
          </w:tcPr>
          <w:p w:rsidR="00B22F88" w:rsidRPr="004D72DD" w:rsidRDefault="00B22F88" w:rsidP="00F11F35">
            <w:pPr>
              <w:pStyle w:val="Footer"/>
              <w:spacing w:before="80" w:after="80"/>
              <w:jc w:val="left"/>
              <w:rPr>
                <w:sz w:val="18"/>
                <w:szCs w:val="18"/>
              </w:rPr>
            </w:pPr>
            <w:r w:rsidRPr="004D72DD">
              <w:rPr>
                <w:b/>
                <w:sz w:val="18"/>
                <w:szCs w:val="18"/>
              </w:rPr>
              <w:t xml:space="preserve">Series 2010B-C Certificates </w:t>
            </w:r>
            <w:r w:rsidR="00DD47B0">
              <w:rPr>
                <w:i/>
                <w:sz w:val="18"/>
                <w:szCs w:val="18"/>
              </w:rPr>
              <w:t>(The Series 2010B</w:t>
            </w:r>
            <w:r w:rsidRPr="004D72DD">
              <w:rPr>
                <w:i/>
                <w:sz w:val="18"/>
                <w:szCs w:val="18"/>
              </w:rPr>
              <w:t xml:space="preserve"> Certifi</w:t>
            </w:r>
            <w:r w:rsidR="00DD47B0">
              <w:rPr>
                <w:i/>
                <w:sz w:val="18"/>
                <w:szCs w:val="18"/>
              </w:rPr>
              <w:t>cates</w:t>
            </w:r>
            <w:r w:rsidRPr="004D72DD">
              <w:rPr>
                <w:i/>
                <w:sz w:val="18"/>
                <w:szCs w:val="18"/>
              </w:rPr>
              <w:t xml:space="preserve"> </w:t>
            </w:r>
            <w:r w:rsidR="00F11F35">
              <w:rPr>
                <w:i/>
                <w:sz w:val="18"/>
                <w:szCs w:val="18"/>
              </w:rPr>
              <w:t xml:space="preserve">were </w:t>
            </w:r>
            <w:r w:rsidRPr="004D72DD">
              <w:rPr>
                <w:i/>
                <w:sz w:val="18"/>
                <w:szCs w:val="18"/>
              </w:rPr>
              <w:t>refunded and defeased by the Series 2018L Certificates</w:t>
            </w:r>
            <w:r w:rsidR="00DD47B0">
              <w:rPr>
                <w:i/>
                <w:sz w:val="18"/>
                <w:szCs w:val="18"/>
              </w:rPr>
              <w:t>, and the Series 2010C Certificates have been paid in full</w:t>
            </w:r>
            <w:r w:rsidRPr="004D72DD">
              <w:rPr>
                <w:i/>
                <w:sz w:val="18"/>
                <w:szCs w:val="18"/>
              </w:rPr>
              <w:t>)</w:t>
            </w:r>
          </w:p>
        </w:tc>
      </w:tr>
      <w:tr w:rsidR="00B22F88" w:rsidRPr="004D72DD" w:rsidTr="003E21D9">
        <w:trPr>
          <w:jc w:val="center"/>
        </w:trPr>
        <w:tc>
          <w:tcPr>
            <w:tcW w:w="3311" w:type="dxa"/>
            <w:shd w:val="clear" w:color="auto" w:fill="auto"/>
            <w:tcMar>
              <w:bottom w:w="58" w:type="dxa"/>
            </w:tcMar>
          </w:tcPr>
          <w:p w:rsidR="00B22F88" w:rsidRPr="004D72DD" w:rsidRDefault="00B22F88" w:rsidP="00C31F62">
            <w:pPr>
              <w:pStyle w:val="Footer"/>
              <w:spacing w:after="120"/>
              <w:jc w:val="left"/>
              <w:rPr>
                <w:sz w:val="18"/>
                <w:szCs w:val="18"/>
              </w:rPr>
            </w:pPr>
            <w:r w:rsidRPr="004D72DD">
              <w:rPr>
                <w:sz w:val="18"/>
                <w:szCs w:val="18"/>
              </w:rPr>
              <w:t>Alta Vista Charter School, Inc.</w:t>
            </w:r>
          </w:p>
        </w:tc>
        <w:tc>
          <w:tcPr>
            <w:tcW w:w="3383" w:type="dxa"/>
            <w:gridSpan w:val="2"/>
            <w:shd w:val="clear" w:color="auto" w:fill="auto"/>
            <w:tcMar>
              <w:bottom w:w="58" w:type="dxa"/>
            </w:tcMar>
          </w:tcPr>
          <w:p w:rsidR="00B22F88" w:rsidRPr="004D72DD" w:rsidRDefault="00B22F88" w:rsidP="00C31F62">
            <w:pPr>
              <w:spacing w:after="120"/>
              <w:jc w:val="left"/>
              <w:rPr>
                <w:sz w:val="18"/>
                <w:szCs w:val="18"/>
              </w:rPr>
            </w:pPr>
            <w:r w:rsidRPr="004D72DD">
              <w:rPr>
                <w:sz w:val="18"/>
                <w:szCs w:val="18"/>
              </w:rPr>
              <w:t>Addition to K-8 school</w:t>
            </w:r>
            <w:r w:rsidRPr="004D72DD">
              <w:rPr>
                <w:sz w:val="18"/>
                <w:szCs w:val="18"/>
                <w:vertAlign w:val="superscript"/>
              </w:rPr>
              <w:t>2</w:t>
            </w:r>
            <w:r w:rsidRPr="004D72DD">
              <w:rPr>
                <w:sz w:val="18"/>
                <w:szCs w:val="18"/>
                <w:vertAlign w:val="superscript"/>
              </w:rPr>
              <w:br/>
            </w:r>
            <w:r w:rsidRPr="004D72DD">
              <w:rPr>
                <w:sz w:val="18"/>
                <w:szCs w:val="18"/>
              </w:rPr>
              <w:t>(18,000 sq. ft. plus renovations)</w:t>
            </w:r>
          </w:p>
        </w:tc>
        <w:tc>
          <w:tcPr>
            <w:tcW w:w="3296" w:type="dxa"/>
            <w:shd w:val="clear" w:color="auto" w:fill="auto"/>
            <w:tcMar>
              <w:bottom w:w="58" w:type="dxa"/>
            </w:tcMar>
          </w:tcPr>
          <w:p w:rsidR="00B22F88" w:rsidRPr="004D72DD" w:rsidRDefault="00B22F88" w:rsidP="00C31F62">
            <w:pPr>
              <w:pStyle w:val="Footer"/>
              <w:spacing w:after="120"/>
              <w:jc w:val="left"/>
              <w:rPr>
                <w:sz w:val="18"/>
                <w:szCs w:val="18"/>
              </w:rPr>
            </w:pPr>
            <w:r w:rsidRPr="004D72DD">
              <w:rPr>
                <w:sz w:val="18"/>
                <w:szCs w:val="18"/>
              </w:rPr>
              <w:t>7.4-acre parcel valued at $37,634</w:t>
            </w:r>
          </w:p>
        </w:tc>
      </w:tr>
      <w:tr w:rsidR="00B22F88" w:rsidRPr="004D72DD" w:rsidTr="003E21D9">
        <w:trPr>
          <w:jc w:val="center"/>
        </w:trPr>
        <w:tc>
          <w:tcPr>
            <w:tcW w:w="3311" w:type="dxa"/>
            <w:shd w:val="clear" w:color="auto" w:fill="auto"/>
            <w:tcMar>
              <w:bottom w:w="58" w:type="dxa"/>
            </w:tcMar>
          </w:tcPr>
          <w:p w:rsidR="00B22F88" w:rsidRPr="004D72DD" w:rsidRDefault="00B22F88" w:rsidP="00C31F62">
            <w:pPr>
              <w:jc w:val="left"/>
              <w:rPr>
                <w:sz w:val="18"/>
                <w:szCs w:val="18"/>
              </w:rPr>
            </w:pPr>
            <w:r w:rsidRPr="004D72DD">
              <w:rPr>
                <w:sz w:val="18"/>
                <w:szCs w:val="18"/>
              </w:rPr>
              <w:t>Colorado School for the Deaf and Blind</w:t>
            </w:r>
          </w:p>
          <w:p w:rsidR="00B22F88" w:rsidRPr="004D72DD" w:rsidRDefault="00B22F88" w:rsidP="00C31F62">
            <w:pPr>
              <w:jc w:val="left"/>
              <w:rPr>
                <w:sz w:val="18"/>
                <w:szCs w:val="18"/>
              </w:rPr>
            </w:pPr>
          </w:p>
        </w:tc>
        <w:tc>
          <w:tcPr>
            <w:tcW w:w="3383" w:type="dxa"/>
            <w:gridSpan w:val="2"/>
            <w:shd w:val="clear" w:color="auto" w:fill="auto"/>
            <w:tcMar>
              <w:bottom w:w="58" w:type="dxa"/>
            </w:tcMar>
          </w:tcPr>
          <w:p w:rsidR="00B22F88" w:rsidRPr="004D72DD" w:rsidRDefault="00B22F88" w:rsidP="00C31F62">
            <w:pPr>
              <w:jc w:val="left"/>
              <w:rPr>
                <w:sz w:val="18"/>
                <w:szCs w:val="18"/>
              </w:rPr>
            </w:pPr>
            <w:r w:rsidRPr="004D72DD">
              <w:rPr>
                <w:sz w:val="18"/>
                <w:szCs w:val="18"/>
              </w:rPr>
              <w:t>Historical building renovation</w:t>
            </w:r>
            <w:r w:rsidRPr="004D72DD">
              <w:rPr>
                <w:sz w:val="18"/>
                <w:szCs w:val="18"/>
                <w:vertAlign w:val="superscript"/>
              </w:rPr>
              <w:t>2</w:t>
            </w:r>
          </w:p>
          <w:p w:rsidR="00B22F88" w:rsidRPr="004D72DD" w:rsidRDefault="00B22F88" w:rsidP="00C31F62">
            <w:pPr>
              <w:jc w:val="left"/>
              <w:rPr>
                <w:sz w:val="18"/>
                <w:szCs w:val="18"/>
              </w:rPr>
            </w:pPr>
            <w:r w:rsidRPr="004D72DD">
              <w:rPr>
                <w:sz w:val="18"/>
                <w:szCs w:val="18"/>
              </w:rPr>
              <w:t>(6,000 sq. ft. addition w/7 classrooms)</w:t>
            </w:r>
          </w:p>
        </w:tc>
        <w:tc>
          <w:tcPr>
            <w:tcW w:w="3296" w:type="dxa"/>
            <w:shd w:val="clear" w:color="auto" w:fill="auto"/>
            <w:tcMar>
              <w:bottom w:w="58" w:type="dxa"/>
            </w:tcMar>
          </w:tcPr>
          <w:p w:rsidR="00B22F88" w:rsidRPr="004D72DD" w:rsidRDefault="00B22F88" w:rsidP="00C31F62">
            <w:pPr>
              <w:pStyle w:val="BodyText"/>
              <w:keepNext/>
              <w:keepLines/>
              <w:spacing w:after="120"/>
              <w:ind w:right="-208"/>
              <w:jc w:val="left"/>
              <w:rPr>
                <w:sz w:val="18"/>
                <w:szCs w:val="18"/>
              </w:rPr>
            </w:pPr>
            <w:r w:rsidRPr="004D72DD">
              <w:rPr>
                <w:sz w:val="18"/>
                <w:szCs w:val="18"/>
              </w:rPr>
              <w:t>0.6-acre parcel valued at $55,756</w:t>
            </w:r>
          </w:p>
        </w:tc>
      </w:tr>
      <w:tr w:rsidR="00B22F88" w:rsidRPr="004D72DD" w:rsidTr="003E21D9">
        <w:trPr>
          <w:jc w:val="center"/>
        </w:trPr>
        <w:tc>
          <w:tcPr>
            <w:tcW w:w="3311" w:type="dxa"/>
            <w:shd w:val="clear" w:color="auto" w:fill="auto"/>
            <w:tcMar>
              <w:bottom w:w="58" w:type="dxa"/>
            </w:tcMar>
          </w:tcPr>
          <w:p w:rsidR="00B22F88" w:rsidRPr="004D72DD" w:rsidRDefault="00B22F88" w:rsidP="00C31F62">
            <w:pPr>
              <w:jc w:val="left"/>
              <w:rPr>
                <w:sz w:val="18"/>
                <w:szCs w:val="18"/>
              </w:rPr>
            </w:pPr>
            <w:r w:rsidRPr="004D72DD">
              <w:rPr>
                <w:sz w:val="18"/>
                <w:szCs w:val="18"/>
              </w:rPr>
              <w:t>Delta County Joint School District 50</w:t>
            </w:r>
          </w:p>
        </w:tc>
        <w:tc>
          <w:tcPr>
            <w:tcW w:w="3383" w:type="dxa"/>
            <w:gridSpan w:val="2"/>
            <w:shd w:val="clear" w:color="auto" w:fill="auto"/>
            <w:tcMar>
              <w:bottom w:w="58" w:type="dxa"/>
            </w:tcMar>
          </w:tcPr>
          <w:p w:rsidR="00B22F88" w:rsidRPr="004D72DD" w:rsidRDefault="00B22F88" w:rsidP="00C31F62">
            <w:pPr>
              <w:pStyle w:val="BodyText"/>
              <w:keepNext/>
              <w:keepLines/>
              <w:spacing w:after="0"/>
              <w:ind w:right="-208"/>
              <w:jc w:val="left"/>
              <w:rPr>
                <w:sz w:val="18"/>
                <w:szCs w:val="18"/>
              </w:rPr>
            </w:pPr>
            <w:r w:rsidRPr="004D72DD">
              <w:rPr>
                <w:sz w:val="18"/>
                <w:szCs w:val="18"/>
              </w:rPr>
              <w:t>Existing elementary school</w:t>
            </w:r>
            <w:r w:rsidRPr="004D72DD">
              <w:rPr>
                <w:sz w:val="18"/>
                <w:szCs w:val="18"/>
                <w:vertAlign w:val="superscript"/>
              </w:rPr>
              <w:t>2</w:t>
            </w:r>
          </w:p>
        </w:tc>
        <w:tc>
          <w:tcPr>
            <w:tcW w:w="3296" w:type="dxa"/>
            <w:shd w:val="clear" w:color="auto" w:fill="auto"/>
            <w:tcMar>
              <w:bottom w:w="58" w:type="dxa"/>
            </w:tcMar>
          </w:tcPr>
          <w:p w:rsidR="00B22F88" w:rsidRPr="004D72DD" w:rsidRDefault="00B22F88" w:rsidP="00C31F62">
            <w:pPr>
              <w:pStyle w:val="BodyText"/>
              <w:keepNext/>
              <w:keepLines/>
              <w:spacing w:after="0"/>
              <w:ind w:right="-208"/>
              <w:jc w:val="left"/>
              <w:rPr>
                <w:sz w:val="18"/>
                <w:szCs w:val="18"/>
              </w:rPr>
            </w:pPr>
            <w:r w:rsidRPr="004D72DD">
              <w:rPr>
                <w:sz w:val="18"/>
                <w:szCs w:val="18"/>
              </w:rPr>
              <w:t>10.5-acre parcel valued at $60,000</w:t>
            </w:r>
          </w:p>
        </w:tc>
      </w:tr>
      <w:tr w:rsidR="00B22F88" w:rsidRPr="004D72DD" w:rsidTr="003E21D9">
        <w:trPr>
          <w:jc w:val="center"/>
        </w:trPr>
        <w:tc>
          <w:tcPr>
            <w:tcW w:w="3311" w:type="dxa"/>
            <w:shd w:val="clear" w:color="auto" w:fill="auto"/>
            <w:tcMar>
              <w:bottom w:w="58" w:type="dxa"/>
            </w:tcMar>
          </w:tcPr>
          <w:p w:rsidR="00B22F88" w:rsidRPr="004D72DD" w:rsidRDefault="00B22F88" w:rsidP="00C31F62">
            <w:pPr>
              <w:jc w:val="left"/>
              <w:rPr>
                <w:sz w:val="18"/>
                <w:szCs w:val="18"/>
              </w:rPr>
            </w:pPr>
            <w:r w:rsidRPr="004D72DD">
              <w:rPr>
                <w:sz w:val="18"/>
                <w:szCs w:val="18"/>
              </w:rPr>
              <w:t>Do</w:t>
            </w:r>
            <w:r w:rsidR="00C6272C">
              <w:rPr>
                <w:sz w:val="18"/>
                <w:szCs w:val="18"/>
              </w:rPr>
              <w:t>uglas County School District, RE</w:t>
            </w:r>
            <w:r w:rsidRPr="004D72DD">
              <w:rPr>
                <w:sz w:val="18"/>
                <w:szCs w:val="18"/>
              </w:rPr>
              <w:t>1</w:t>
            </w:r>
          </w:p>
        </w:tc>
        <w:tc>
          <w:tcPr>
            <w:tcW w:w="3383" w:type="dxa"/>
            <w:gridSpan w:val="2"/>
            <w:shd w:val="clear" w:color="auto" w:fill="auto"/>
            <w:tcMar>
              <w:bottom w:w="58" w:type="dxa"/>
            </w:tcMar>
          </w:tcPr>
          <w:p w:rsidR="00B22F88" w:rsidRPr="004D72DD" w:rsidRDefault="00B22F88" w:rsidP="00C31F62">
            <w:pPr>
              <w:pStyle w:val="BodyText"/>
              <w:keepNext/>
              <w:keepLines/>
              <w:spacing w:after="0"/>
              <w:ind w:right="-208"/>
              <w:jc w:val="left"/>
              <w:rPr>
                <w:sz w:val="18"/>
                <w:szCs w:val="18"/>
              </w:rPr>
            </w:pPr>
            <w:r w:rsidRPr="004D72DD">
              <w:rPr>
                <w:sz w:val="18"/>
                <w:szCs w:val="18"/>
              </w:rPr>
              <w:t>Existing administrative building</w:t>
            </w:r>
            <w:r w:rsidRPr="004D72DD">
              <w:rPr>
                <w:sz w:val="18"/>
                <w:szCs w:val="18"/>
                <w:vertAlign w:val="superscript"/>
              </w:rPr>
              <w:t>2</w:t>
            </w:r>
          </w:p>
        </w:tc>
        <w:tc>
          <w:tcPr>
            <w:tcW w:w="3296" w:type="dxa"/>
            <w:shd w:val="clear" w:color="auto" w:fill="auto"/>
            <w:tcMar>
              <w:bottom w:w="58" w:type="dxa"/>
            </w:tcMar>
          </w:tcPr>
          <w:p w:rsidR="00B22F88" w:rsidRPr="004D72DD" w:rsidRDefault="00B22F88" w:rsidP="00C31F62">
            <w:pPr>
              <w:pStyle w:val="BodyText"/>
              <w:keepNext/>
              <w:keepLines/>
              <w:spacing w:after="0"/>
              <w:ind w:right="-208"/>
              <w:jc w:val="left"/>
              <w:rPr>
                <w:sz w:val="18"/>
                <w:szCs w:val="18"/>
              </w:rPr>
            </w:pPr>
            <w:r w:rsidRPr="004D72DD">
              <w:rPr>
                <w:sz w:val="18"/>
                <w:szCs w:val="18"/>
              </w:rPr>
              <w:t>2.1-acre parcel valued at $283,484</w:t>
            </w:r>
          </w:p>
        </w:tc>
      </w:tr>
      <w:tr w:rsidR="00B22F88" w:rsidRPr="004D72DD" w:rsidTr="003E21D9">
        <w:trPr>
          <w:jc w:val="center"/>
        </w:trPr>
        <w:tc>
          <w:tcPr>
            <w:tcW w:w="3311" w:type="dxa"/>
            <w:shd w:val="clear" w:color="auto" w:fill="auto"/>
            <w:tcMar>
              <w:bottom w:w="58" w:type="dxa"/>
            </w:tcMar>
          </w:tcPr>
          <w:p w:rsidR="00B22F88" w:rsidRPr="004D72DD" w:rsidRDefault="00B22F88" w:rsidP="00C31F62">
            <w:pPr>
              <w:jc w:val="left"/>
              <w:rPr>
                <w:sz w:val="18"/>
                <w:szCs w:val="18"/>
              </w:rPr>
            </w:pPr>
            <w:r w:rsidRPr="004D72DD">
              <w:rPr>
                <w:sz w:val="18"/>
                <w:szCs w:val="18"/>
              </w:rPr>
              <w:t>El Paso County School District No. 8</w:t>
            </w:r>
          </w:p>
        </w:tc>
        <w:tc>
          <w:tcPr>
            <w:tcW w:w="3383" w:type="dxa"/>
            <w:gridSpan w:val="2"/>
            <w:shd w:val="clear" w:color="auto" w:fill="auto"/>
            <w:tcMar>
              <w:bottom w:w="58" w:type="dxa"/>
            </w:tcMar>
          </w:tcPr>
          <w:p w:rsidR="00B22F88" w:rsidRPr="004D72DD" w:rsidRDefault="00B22F88" w:rsidP="00C31F62">
            <w:pPr>
              <w:pStyle w:val="BodyText"/>
              <w:keepNext/>
              <w:keepLines/>
              <w:spacing w:after="0"/>
              <w:ind w:right="-208"/>
              <w:jc w:val="left"/>
              <w:rPr>
                <w:sz w:val="18"/>
                <w:szCs w:val="18"/>
              </w:rPr>
            </w:pPr>
            <w:r w:rsidRPr="004D72DD">
              <w:rPr>
                <w:sz w:val="18"/>
                <w:szCs w:val="18"/>
              </w:rPr>
              <w:t>Existing activity center building</w:t>
            </w:r>
            <w:r w:rsidRPr="004D72DD">
              <w:rPr>
                <w:sz w:val="18"/>
                <w:szCs w:val="18"/>
                <w:vertAlign w:val="superscript"/>
              </w:rPr>
              <w:t>2</w:t>
            </w:r>
          </w:p>
        </w:tc>
        <w:tc>
          <w:tcPr>
            <w:tcW w:w="3296" w:type="dxa"/>
            <w:shd w:val="clear" w:color="auto" w:fill="auto"/>
            <w:tcMar>
              <w:bottom w:w="58" w:type="dxa"/>
            </w:tcMar>
          </w:tcPr>
          <w:p w:rsidR="00B22F88" w:rsidRPr="004D72DD" w:rsidRDefault="00B22F88" w:rsidP="00C31F62">
            <w:pPr>
              <w:pStyle w:val="BodyText"/>
              <w:keepNext/>
              <w:keepLines/>
              <w:spacing w:after="0"/>
              <w:ind w:right="-208"/>
              <w:jc w:val="left"/>
              <w:rPr>
                <w:sz w:val="18"/>
                <w:szCs w:val="18"/>
              </w:rPr>
            </w:pPr>
            <w:r w:rsidRPr="004D72DD">
              <w:rPr>
                <w:sz w:val="18"/>
                <w:szCs w:val="18"/>
              </w:rPr>
              <w:t>4.1-acre parcel valued at $78,000</w:t>
            </w:r>
          </w:p>
        </w:tc>
      </w:tr>
      <w:tr w:rsidR="00B22F88" w:rsidRPr="004D72DD" w:rsidTr="003E21D9">
        <w:trPr>
          <w:jc w:val="center"/>
        </w:trPr>
        <w:tc>
          <w:tcPr>
            <w:tcW w:w="3311" w:type="dxa"/>
            <w:shd w:val="clear" w:color="auto" w:fill="auto"/>
            <w:tcMar>
              <w:bottom w:w="58" w:type="dxa"/>
            </w:tcMar>
          </w:tcPr>
          <w:p w:rsidR="00B22F88" w:rsidRPr="004D72DD" w:rsidRDefault="00B22F88" w:rsidP="00C31F62">
            <w:pPr>
              <w:jc w:val="left"/>
              <w:rPr>
                <w:sz w:val="18"/>
                <w:szCs w:val="18"/>
              </w:rPr>
            </w:pPr>
            <w:r w:rsidRPr="004D72DD">
              <w:rPr>
                <w:sz w:val="18"/>
                <w:szCs w:val="18"/>
              </w:rPr>
              <w:t>Miami Yoder School District JT-60</w:t>
            </w:r>
          </w:p>
        </w:tc>
        <w:tc>
          <w:tcPr>
            <w:tcW w:w="3383" w:type="dxa"/>
            <w:gridSpan w:val="2"/>
            <w:shd w:val="clear" w:color="auto" w:fill="auto"/>
            <w:tcMar>
              <w:bottom w:w="58" w:type="dxa"/>
            </w:tcMar>
          </w:tcPr>
          <w:p w:rsidR="00B22F88" w:rsidRPr="004D72DD" w:rsidRDefault="00B22F88" w:rsidP="00C31F62">
            <w:pPr>
              <w:pStyle w:val="BodyText"/>
              <w:keepNext/>
              <w:keepLines/>
              <w:spacing w:after="0"/>
              <w:ind w:right="-208"/>
              <w:jc w:val="left"/>
              <w:rPr>
                <w:sz w:val="18"/>
                <w:szCs w:val="18"/>
              </w:rPr>
            </w:pPr>
            <w:r w:rsidRPr="004D72DD">
              <w:rPr>
                <w:sz w:val="18"/>
                <w:szCs w:val="18"/>
              </w:rPr>
              <w:t>Phase II of new PK</w:t>
            </w:r>
            <w:r w:rsidRPr="004D72DD">
              <w:rPr>
                <w:sz w:val="18"/>
                <w:szCs w:val="18"/>
              </w:rPr>
              <w:noBreakHyphen/>
              <w:t>12 school</w:t>
            </w:r>
          </w:p>
          <w:p w:rsidR="00B22F88" w:rsidRPr="004D72DD" w:rsidRDefault="00B22F88" w:rsidP="00C31F62">
            <w:pPr>
              <w:pStyle w:val="BodyText"/>
              <w:keepNext/>
              <w:keepLines/>
              <w:spacing w:after="0"/>
              <w:ind w:right="-208"/>
              <w:jc w:val="left"/>
              <w:rPr>
                <w:sz w:val="18"/>
                <w:szCs w:val="18"/>
              </w:rPr>
            </w:pPr>
            <w:r w:rsidRPr="004D72DD">
              <w:rPr>
                <w:sz w:val="18"/>
                <w:szCs w:val="18"/>
              </w:rPr>
              <w:t>(64,974 sq. ft.)</w:t>
            </w:r>
            <w:r w:rsidRPr="004D72DD">
              <w:rPr>
                <w:sz w:val="18"/>
                <w:szCs w:val="18"/>
                <w:vertAlign w:val="superscript"/>
              </w:rPr>
              <w:t>2</w:t>
            </w:r>
          </w:p>
        </w:tc>
        <w:tc>
          <w:tcPr>
            <w:tcW w:w="3296" w:type="dxa"/>
            <w:shd w:val="clear" w:color="auto" w:fill="auto"/>
            <w:tcMar>
              <w:bottom w:w="58" w:type="dxa"/>
            </w:tcMar>
          </w:tcPr>
          <w:p w:rsidR="00B22F88" w:rsidRPr="004D72DD" w:rsidRDefault="00B22F88" w:rsidP="00C31F62">
            <w:pPr>
              <w:pStyle w:val="BodyText"/>
              <w:keepNext/>
              <w:keepLines/>
              <w:spacing w:after="0"/>
              <w:ind w:right="-208"/>
              <w:jc w:val="left"/>
              <w:rPr>
                <w:sz w:val="18"/>
                <w:szCs w:val="18"/>
              </w:rPr>
            </w:pPr>
            <w:r w:rsidRPr="004D72DD">
              <w:rPr>
                <w:sz w:val="18"/>
                <w:szCs w:val="18"/>
              </w:rPr>
              <w:t>2-acre parcel valued at $1,300</w:t>
            </w:r>
          </w:p>
        </w:tc>
      </w:tr>
      <w:tr w:rsidR="00B22F88" w:rsidRPr="004D72DD" w:rsidTr="003E21D9">
        <w:trPr>
          <w:jc w:val="center"/>
        </w:trPr>
        <w:tc>
          <w:tcPr>
            <w:tcW w:w="3311" w:type="dxa"/>
            <w:shd w:val="clear" w:color="auto" w:fill="auto"/>
            <w:tcMar>
              <w:bottom w:w="58" w:type="dxa"/>
            </w:tcMar>
          </w:tcPr>
          <w:p w:rsidR="00B22F88" w:rsidRPr="004D72DD" w:rsidRDefault="00C6272C" w:rsidP="00C31F62">
            <w:pPr>
              <w:jc w:val="left"/>
              <w:rPr>
                <w:sz w:val="18"/>
                <w:szCs w:val="18"/>
              </w:rPr>
            </w:pPr>
            <w:r>
              <w:rPr>
                <w:sz w:val="18"/>
                <w:szCs w:val="18"/>
              </w:rPr>
              <w:t>Park County School District RE</w:t>
            </w:r>
            <w:r w:rsidR="00B22F88" w:rsidRPr="004D72DD">
              <w:rPr>
                <w:sz w:val="18"/>
                <w:szCs w:val="18"/>
              </w:rPr>
              <w:t>-2</w:t>
            </w:r>
          </w:p>
        </w:tc>
        <w:tc>
          <w:tcPr>
            <w:tcW w:w="3383" w:type="dxa"/>
            <w:gridSpan w:val="2"/>
            <w:shd w:val="clear" w:color="auto" w:fill="auto"/>
            <w:tcMar>
              <w:bottom w:w="58" w:type="dxa"/>
            </w:tcMar>
          </w:tcPr>
          <w:p w:rsidR="00B22F88" w:rsidRPr="004D72DD" w:rsidRDefault="00B22F88" w:rsidP="00C31F62">
            <w:pPr>
              <w:pStyle w:val="BodyText"/>
              <w:keepNext/>
              <w:keepLines/>
              <w:spacing w:after="0"/>
              <w:ind w:right="-208"/>
              <w:jc w:val="left"/>
              <w:rPr>
                <w:sz w:val="18"/>
                <w:szCs w:val="18"/>
              </w:rPr>
            </w:pPr>
            <w:r w:rsidRPr="004D72DD">
              <w:rPr>
                <w:sz w:val="18"/>
                <w:szCs w:val="18"/>
              </w:rPr>
              <w:t>New PK</w:t>
            </w:r>
            <w:r w:rsidRPr="004D72DD">
              <w:rPr>
                <w:sz w:val="18"/>
                <w:szCs w:val="18"/>
              </w:rPr>
              <w:noBreakHyphen/>
              <w:t>12 campus</w:t>
            </w:r>
          </w:p>
          <w:p w:rsidR="00B22F88" w:rsidRPr="004D72DD" w:rsidRDefault="00B22F88" w:rsidP="00C31F62">
            <w:pPr>
              <w:pStyle w:val="BodyText"/>
              <w:keepNext/>
              <w:keepLines/>
              <w:spacing w:after="0"/>
              <w:ind w:right="-208"/>
              <w:jc w:val="left"/>
              <w:rPr>
                <w:sz w:val="18"/>
                <w:szCs w:val="18"/>
              </w:rPr>
            </w:pPr>
            <w:r w:rsidRPr="004D72DD">
              <w:rPr>
                <w:sz w:val="18"/>
                <w:szCs w:val="18"/>
              </w:rPr>
              <w:t>(125,000 sq. ft. w/ 40 classrooms)</w:t>
            </w:r>
            <w:r w:rsidRPr="004D72DD">
              <w:rPr>
                <w:sz w:val="18"/>
                <w:szCs w:val="18"/>
                <w:vertAlign w:val="superscript"/>
              </w:rPr>
              <w:t>2</w:t>
            </w:r>
          </w:p>
        </w:tc>
        <w:tc>
          <w:tcPr>
            <w:tcW w:w="3296" w:type="dxa"/>
            <w:shd w:val="clear" w:color="auto" w:fill="auto"/>
            <w:tcMar>
              <w:bottom w:w="58" w:type="dxa"/>
            </w:tcMar>
          </w:tcPr>
          <w:p w:rsidR="00B22F88" w:rsidRPr="004D72DD" w:rsidRDefault="00B22F88" w:rsidP="00C31F62">
            <w:pPr>
              <w:pStyle w:val="BodyText"/>
              <w:keepNext/>
              <w:keepLines/>
              <w:spacing w:after="0"/>
              <w:ind w:right="-208"/>
              <w:jc w:val="left"/>
              <w:rPr>
                <w:sz w:val="18"/>
                <w:szCs w:val="18"/>
              </w:rPr>
            </w:pPr>
            <w:r w:rsidRPr="004D72DD">
              <w:rPr>
                <w:sz w:val="18"/>
                <w:szCs w:val="18"/>
              </w:rPr>
              <w:t>9.8-acre parcel valued at $657,416</w:t>
            </w:r>
          </w:p>
        </w:tc>
      </w:tr>
      <w:tr w:rsidR="00B22F88" w:rsidRPr="004D72DD" w:rsidTr="003E21D9">
        <w:trPr>
          <w:jc w:val="center"/>
        </w:trPr>
        <w:tc>
          <w:tcPr>
            <w:tcW w:w="3311" w:type="dxa"/>
            <w:shd w:val="clear" w:color="auto" w:fill="auto"/>
            <w:tcMar>
              <w:bottom w:w="58" w:type="dxa"/>
            </w:tcMar>
          </w:tcPr>
          <w:p w:rsidR="00B22F88" w:rsidRPr="004D72DD" w:rsidRDefault="00B22F88" w:rsidP="00C31F62">
            <w:pPr>
              <w:widowControl w:val="0"/>
              <w:jc w:val="left"/>
              <w:rPr>
                <w:sz w:val="18"/>
                <w:szCs w:val="18"/>
              </w:rPr>
            </w:pPr>
            <w:r w:rsidRPr="004D72DD">
              <w:rPr>
                <w:sz w:val="18"/>
                <w:szCs w:val="18"/>
              </w:rPr>
              <w:t>San Juan County School District No. 1</w:t>
            </w:r>
          </w:p>
        </w:tc>
        <w:tc>
          <w:tcPr>
            <w:tcW w:w="3383" w:type="dxa"/>
            <w:gridSpan w:val="2"/>
            <w:shd w:val="clear" w:color="auto" w:fill="auto"/>
            <w:tcMar>
              <w:bottom w:w="58" w:type="dxa"/>
            </w:tcMar>
          </w:tcPr>
          <w:p w:rsidR="00B22F88" w:rsidRPr="004D72DD" w:rsidRDefault="00B22F88" w:rsidP="00C31F62">
            <w:pPr>
              <w:pStyle w:val="BodyText"/>
              <w:widowControl w:val="0"/>
              <w:spacing w:after="0"/>
              <w:ind w:right="-208"/>
              <w:jc w:val="left"/>
              <w:rPr>
                <w:sz w:val="18"/>
                <w:szCs w:val="18"/>
              </w:rPr>
            </w:pPr>
            <w:r w:rsidRPr="004D72DD">
              <w:rPr>
                <w:sz w:val="18"/>
                <w:szCs w:val="18"/>
              </w:rPr>
              <w:t>Renovate historical K</w:t>
            </w:r>
            <w:r w:rsidRPr="004D72DD">
              <w:rPr>
                <w:sz w:val="18"/>
                <w:szCs w:val="18"/>
              </w:rPr>
              <w:noBreakHyphen/>
              <w:t>12 school</w:t>
            </w:r>
          </w:p>
          <w:p w:rsidR="00B22F88" w:rsidRPr="004D72DD" w:rsidRDefault="00B22F88" w:rsidP="00C31F62">
            <w:pPr>
              <w:pStyle w:val="BodyText"/>
              <w:widowControl w:val="0"/>
              <w:spacing w:after="0"/>
              <w:ind w:right="-208"/>
              <w:jc w:val="left"/>
              <w:rPr>
                <w:sz w:val="18"/>
                <w:szCs w:val="18"/>
              </w:rPr>
            </w:pPr>
            <w:r w:rsidRPr="004D72DD">
              <w:rPr>
                <w:sz w:val="18"/>
                <w:szCs w:val="18"/>
              </w:rPr>
              <w:t>(21,500 sq. ft. bldg. and 10,000 sq. ft. gym)</w:t>
            </w:r>
            <w:r w:rsidRPr="004D72DD">
              <w:rPr>
                <w:sz w:val="18"/>
                <w:szCs w:val="18"/>
                <w:vertAlign w:val="superscript"/>
              </w:rPr>
              <w:t>2</w:t>
            </w:r>
          </w:p>
        </w:tc>
        <w:tc>
          <w:tcPr>
            <w:tcW w:w="3296" w:type="dxa"/>
            <w:shd w:val="clear" w:color="auto" w:fill="auto"/>
            <w:tcMar>
              <w:bottom w:w="58" w:type="dxa"/>
            </w:tcMar>
          </w:tcPr>
          <w:p w:rsidR="00B22F88" w:rsidRPr="004D72DD" w:rsidRDefault="00B22F88" w:rsidP="00C31F62">
            <w:pPr>
              <w:pStyle w:val="BodyText"/>
              <w:widowControl w:val="0"/>
              <w:spacing w:after="0"/>
              <w:ind w:right="-208"/>
              <w:jc w:val="left"/>
              <w:rPr>
                <w:sz w:val="18"/>
                <w:szCs w:val="18"/>
              </w:rPr>
            </w:pPr>
            <w:r w:rsidRPr="004D72DD">
              <w:rPr>
                <w:sz w:val="18"/>
                <w:szCs w:val="18"/>
              </w:rPr>
              <w:t>1.1-acre parcel valued at $1,108,600</w:t>
            </w:r>
          </w:p>
        </w:tc>
      </w:tr>
      <w:tr w:rsidR="00B22F88" w:rsidRPr="004D72DD" w:rsidTr="003E21D9">
        <w:trPr>
          <w:jc w:val="center"/>
        </w:trPr>
        <w:tc>
          <w:tcPr>
            <w:tcW w:w="3311" w:type="dxa"/>
            <w:tcBorders>
              <w:bottom w:val="single" w:sz="4" w:space="0" w:color="auto"/>
            </w:tcBorders>
            <w:shd w:val="clear" w:color="auto" w:fill="auto"/>
            <w:tcMar>
              <w:bottom w:w="58" w:type="dxa"/>
            </w:tcMar>
          </w:tcPr>
          <w:p w:rsidR="00B22F88" w:rsidRPr="004D72DD" w:rsidRDefault="00B22F88" w:rsidP="00C31F62">
            <w:pPr>
              <w:widowControl w:val="0"/>
              <w:jc w:val="left"/>
              <w:rPr>
                <w:sz w:val="18"/>
                <w:szCs w:val="18"/>
              </w:rPr>
            </w:pPr>
            <w:r w:rsidRPr="004D72DD">
              <w:rPr>
                <w:sz w:val="18"/>
                <w:szCs w:val="18"/>
              </w:rPr>
              <w:t>Swink School District No. 33</w:t>
            </w:r>
          </w:p>
        </w:tc>
        <w:tc>
          <w:tcPr>
            <w:tcW w:w="3383" w:type="dxa"/>
            <w:gridSpan w:val="2"/>
            <w:tcBorders>
              <w:bottom w:val="single" w:sz="4" w:space="0" w:color="auto"/>
            </w:tcBorders>
            <w:shd w:val="clear" w:color="auto" w:fill="auto"/>
            <w:tcMar>
              <w:bottom w:w="58" w:type="dxa"/>
            </w:tcMar>
          </w:tcPr>
          <w:p w:rsidR="00B22F88" w:rsidRPr="004D72DD" w:rsidRDefault="00B22F88" w:rsidP="00C31F62">
            <w:pPr>
              <w:pStyle w:val="BodyText"/>
              <w:widowControl w:val="0"/>
              <w:spacing w:after="0"/>
              <w:ind w:right="-208"/>
              <w:jc w:val="left"/>
              <w:rPr>
                <w:sz w:val="18"/>
                <w:szCs w:val="18"/>
              </w:rPr>
            </w:pPr>
            <w:r w:rsidRPr="004D72DD">
              <w:rPr>
                <w:sz w:val="18"/>
                <w:szCs w:val="18"/>
              </w:rPr>
              <w:t>Elementary school classroom addition</w:t>
            </w:r>
            <w:r w:rsidRPr="004D72DD">
              <w:rPr>
                <w:sz w:val="18"/>
                <w:szCs w:val="18"/>
              </w:rPr>
              <w:br/>
              <w:t>(5,800 sq. ft. w/ 6 classrooms)</w:t>
            </w:r>
            <w:r w:rsidRPr="004D72DD">
              <w:rPr>
                <w:sz w:val="18"/>
                <w:szCs w:val="18"/>
                <w:vertAlign w:val="superscript"/>
              </w:rPr>
              <w:t>2</w:t>
            </w:r>
          </w:p>
        </w:tc>
        <w:tc>
          <w:tcPr>
            <w:tcW w:w="3296" w:type="dxa"/>
            <w:tcBorders>
              <w:bottom w:val="single" w:sz="4" w:space="0" w:color="auto"/>
            </w:tcBorders>
            <w:shd w:val="clear" w:color="auto" w:fill="auto"/>
            <w:tcMar>
              <w:bottom w:w="58" w:type="dxa"/>
            </w:tcMar>
          </w:tcPr>
          <w:p w:rsidR="00B22F88" w:rsidRPr="004D72DD" w:rsidRDefault="00B22F88" w:rsidP="00C31F62">
            <w:pPr>
              <w:pStyle w:val="BodyText"/>
              <w:widowControl w:val="0"/>
              <w:spacing w:after="0"/>
              <w:ind w:right="-208"/>
              <w:jc w:val="left"/>
              <w:rPr>
                <w:sz w:val="18"/>
                <w:szCs w:val="18"/>
              </w:rPr>
            </w:pPr>
            <w:r w:rsidRPr="004D72DD">
              <w:rPr>
                <w:sz w:val="18"/>
                <w:szCs w:val="18"/>
              </w:rPr>
              <w:t>0.3-acre parcel valued at $230</w:t>
            </w:r>
          </w:p>
        </w:tc>
      </w:tr>
      <w:tr w:rsidR="00B22F88" w:rsidRPr="004D72DD" w:rsidTr="003E21D9">
        <w:trPr>
          <w:jc w:val="center"/>
        </w:trPr>
        <w:tc>
          <w:tcPr>
            <w:tcW w:w="9990" w:type="dxa"/>
            <w:gridSpan w:val="4"/>
            <w:shd w:val="clear" w:color="auto" w:fill="auto"/>
            <w:tcMar>
              <w:bottom w:w="58" w:type="dxa"/>
            </w:tcMar>
          </w:tcPr>
          <w:p w:rsidR="00B22F88" w:rsidRPr="004D72DD" w:rsidRDefault="00B22F88" w:rsidP="00EC2176">
            <w:pPr>
              <w:pStyle w:val="BodyText"/>
              <w:widowControl w:val="0"/>
              <w:spacing w:before="80" w:after="80"/>
              <w:ind w:right="-208"/>
              <w:jc w:val="left"/>
              <w:rPr>
                <w:sz w:val="18"/>
                <w:szCs w:val="18"/>
              </w:rPr>
            </w:pPr>
            <w:r w:rsidRPr="004D72DD">
              <w:rPr>
                <w:b/>
                <w:sz w:val="18"/>
                <w:szCs w:val="18"/>
              </w:rPr>
              <w:t xml:space="preserve">Series 2010D-F Certificates </w:t>
            </w:r>
            <w:r w:rsidR="00DD47B0">
              <w:rPr>
                <w:i/>
                <w:sz w:val="18"/>
                <w:szCs w:val="18"/>
              </w:rPr>
              <w:t>(The Series 2010E</w:t>
            </w:r>
            <w:r w:rsidRPr="004D72DD">
              <w:rPr>
                <w:i/>
                <w:sz w:val="18"/>
                <w:szCs w:val="18"/>
              </w:rPr>
              <w:t xml:space="preserve"> Certifi</w:t>
            </w:r>
            <w:r w:rsidR="00DD47B0">
              <w:rPr>
                <w:i/>
                <w:sz w:val="18"/>
                <w:szCs w:val="18"/>
              </w:rPr>
              <w:t>cates</w:t>
            </w:r>
            <w:r w:rsidRPr="004D72DD">
              <w:rPr>
                <w:i/>
                <w:sz w:val="18"/>
                <w:szCs w:val="18"/>
              </w:rPr>
              <w:t xml:space="preserve"> </w:t>
            </w:r>
            <w:r w:rsidR="00EC2176">
              <w:rPr>
                <w:i/>
                <w:sz w:val="18"/>
                <w:szCs w:val="18"/>
              </w:rPr>
              <w:t>were</w:t>
            </w:r>
            <w:r w:rsidRPr="004D72DD">
              <w:rPr>
                <w:i/>
                <w:sz w:val="18"/>
                <w:szCs w:val="18"/>
              </w:rPr>
              <w:t xml:space="preserve"> refunded and defeased by the Series 2018M Certificates</w:t>
            </w:r>
            <w:r w:rsidR="003E21D9">
              <w:rPr>
                <w:i/>
                <w:sz w:val="18"/>
                <w:szCs w:val="18"/>
              </w:rPr>
              <w:t xml:space="preserve">, and </w:t>
            </w:r>
            <w:r w:rsidR="00DD47B0">
              <w:rPr>
                <w:i/>
                <w:sz w:val="18"/>
                <w:szCs w:val="18"/>
              </w:rPr>
              <w:t xml:space="preserve"> </w:t>
            </w:r>
            <w:r w:rsidR="003E21D9">
              <w:rPr>
                <w:i/>
                <w:sz w:val="18"/>
                <w:szCs w:val="18"/>
              </w:rPr>
              <w:t xml:space="preserve">the </w:t>
            </w:r>
            <w:r w:rsidR="00DD47B0">
              <w:rPr>
                <w:i/>
                <w:sz w:val="18"/>
                <w:szCs w:val="18"/>
              </w:rPr>
              <w:t>Series 2010F Certificates have been paid in full</w:t>
            </w:r>
            <w:r w:rsidRPr="004D72DD">
              <w:rPr>
                <w:i/>
                <w:sz w:val="18"/>
                <w:szCs w:val="18"/>
              </w:rPr>
              <w:t>)</w:t>
            </w:r>
          </w:p>
        </w:tc>
      </w:tr>
      <w:tr w:rsidR="00B22F88" w:rsidRPr="004D72DD" w:rsidTr="003E21D9">
        <w:trPr>
          <w:jc w:val="center"/>
        </w:trPr>
        <w:tc>
          <w:tcPr>
            <w:tcW w:w="3311" w:type="dxa"/>
            <w:shd w:val="clear" w:color="auto" w:fill="auto"/>
            <w:tcMar>
              <w:bottom w:w="58" w:type="dxa"/>
            </w:tcMar>
          </w:tcPr>
          <w:p w:rsidR="00B22F88" w:rsidRPr="004D72DD" w:rsidRDefault="00B22F88" w:rsidP="00C31F62">
            <w:pPr>
              <w:jc w:val="left"/>
              <w:rPr>
                <w:sz w:val="18"/>
                <w:szCs w:val="18"/>
              </w:rPr>
            </w:pPr>
            <w:r w:rsidRPr="004D72DD">
              <w:rPr>
                <w:sz w:val="18"/>
                <w:szCs w:val="18"/>
              </w:rPr>
              <w:t>Akron School District No. R-1</w:t>
            </w:r>
          </w:p>
        </w:tc>
        <w:tc>
          <w:tcPr>
            <w:tcW w:w="3383" w:type="dxa"/>
            <w:gridSpan w:val="2"/>
            <w:shd w:val="clear" w:color="auto" w:fill="auto"/>
            <w:tcMar>
              <w:bottom w:w="58" w:type="dxa"/>
            </w:tcMar>
          </w:tcPr>
          <w:p w:rsidR="00B22F88" w:rsidRPr="004D72DD" w:rsidRDefault="00B22F88" w:rsidP="00C31F62">
            <w:pPr>
              <w:jc w:val="left"/>
              <w:rPr>
                <w:sz w:val="18"/>
                <w:szCs w:val="18"/>
              </w:rPr>
            </w:pPr>
            <w:r w:rsidRPr="004D72DD">
              <w:rPr>
                <w:sz w:val="18"/>
                <w:szCs w:val="18"/>
              </w:rPr>
              <w:t>PK</w:t>
            </w:r>
            <w:r w:rsidRPr="004D72DD">
              <w:rPr>
                <w:sz w:val="18"/>
                <w:szCs w:val="18"/>
              </w:rPr>
              <w:noBreakHyphen/>
              <w:t>12 school</w:t>
            </w:r>
          </w:p>
          <w:p w:rsidR="00B22F88" w:rsidRPr="004D72DD" w:rsidRDefault="00B22F88" w:rsidP="00C31F62">
            <w:pPr>
              <w:jc w:val="left"/>
              <w:rPr>
                <w:sz w:val="18"/>
                <w:szCs w:val="18"/>
              </w:rPr>
            </w:pPr>
            <w:r w:rsidRPr="004D72DD">
              <w:rPr>
                <w:sz w:val="18"/>
                <w:szCs w:val="18"/>
              </w:rPr>
              <w:t>(108,700 sq. ft. w/ 32 classrooms)</w:t>
            </w:r>
            <w:r w:rsidRPr="004D72DD">
              <w:rPr>
                <w:sz w:val="18"/>
                <w:szCs w:val="18"/>
                <w:vertAlign w:val="superscript"/>
              </w:rPr>
              <w:t>2</w:t>
            </w:r>
          </w:p>
        </w:tc>
        <w:tc>
          <w:tcPr>
            <w:tcW w:w="3296" w:type="dxa"/>
            <w:shd w:val="clear" w:color="auto" w:fill="auto"/>
            <w:tcMar>
              <w:bottom w:w="58" w:type="dxa"/>
            </w:tcMar>
          </w:tcPr>
          <w:p w:rsidR="00B22F88" w:rsidRPr="004D72DD" w:rsidRDefault="00B22F88" w:rsidP="00C31F62">
            <w:pPr>
              <w:jc w:val="left"/>
              <w:rPr>
                <w:sz w:val="18"/>
                <w:szCs w:val="18"/>
              </w:rPr>
            </w:pPr>
            <w:r w:rsidRPr="004D72DD">
              <w:rPr>
                <w:sz w:val="18"/>
                <w:szCs w:val="18"/>
              </w:rPr>
              <w:t>5.14-acre parcel of land valued at $125,300</w:t>
            </w:r>
          </w:p>
        </w:tc>
      </w:tr>
      <w:tr w:rsidR="00B22F88" w:rsidRPr="004D72DD" w:rsidTr="003E21D9">
        <w:trPr>
          <w:jc w:val="center"/>
        </w:trPr>
        <w:tc>
          <w:tcPr>
            <w:tcW w:w="3311" w:type="dxa"/>
            <w:shd w:val="clear" w:color="auto" w:fill="auto"/>
            <w:tcMar>
              <w:bottom w:w="58" w:type="dxa"/>
            </w:tcMar>
          </w:tcPr>
          <w:p w:rsidR="00B22F88" w:rsidRPr="004D72DD" w:rsidRDefault="00B22F88" w:rsidP="00C31F62">
            <w:pPr>
              <w:pStyle w:val="Offices"/>
              <w:tabs>
                <w:tab w:val="clear" w:pos="1440"/>
              </w:tabs>
              <w:overflowPunct w:val="0"/>
              <w:autoSpaceDE w:val="0"/>
              <w:autoSpaceDN w:val="0"/>
              <w:adjustRightInd w:val="0"/>
              <w:textAlignment w:val="baseline"/>
              <w:rPr>
                <w:sz w:val="18"/>
                <w:szCs w:val="18"/>
                <w:lang w:eastAsia="en-US"/>
              </w:rPr>
            </w:pPr>
            <w:r w:rsidRPr="004D72DD">
              <w:rPr>
                <w:sz w:val="18"/>
                <w:szCs w:val="18"/>
              </w:rPr>
              <w:t>Center Joint Consolidated School District No. 26</w:t>
            </w:r>
          </w:p>
        </w:tc>
        <w:tc>
          <w:tcPr>
            <w:tcW w:w="3383" w:type="dxa"/>
            <w:gridSpan w:val="2"/>
            <w:shd w:val="clear" w:color="auto" w:fill="auto"/>
            <w:tcMar>
              <w:bottom w:w="58" w:type="dxa"/>
            </w:tcMar>
          </w:tcPr>
          <w:p w:rsidR="00B22F88" w:rsidRPr="004D72DD" w:rsidRDefault="00B22F88" w:rsidP="00C31F62">
            <w:pPr>
              <w:jc w:val="left"/>
              <w:rPr>
                <w:sz w:val="18"/>
                <w:szCs w:val="18"/>
              </w:rPr>
            </w:pPr>
            <w:r w:rsidRPr="004D72DD">
              <w:rPr>
                <w:sz w:val="18"/>
                <w:szCs w:val="18"/>
              </w:rPr>
              <w:t>K</w:t>
            </w:r>
            <w:r w:rsidRPr="004D72DD">
              <w:rPr>
                <w:sz w:val="18"/>
                <w:szCs w:val="18"/>
              </w:rPr>
              <w:noBreakHyphen/>
              <w:t>12 school</w:t>
            </w:r>
          </w:p>
          <w:p w:rsidR="00B22F88" w:rsidRPr="004D72DD" w:rsidRDefault="00B22F88" w:rsidP="00C31F62">
            <w:pPr>
              <w:jc w:val="left"/>
              <w:rPr>
                <w:sz w:val="18"/>
                <w:szCs w:val="18"/>
              </w:rPr>
            </w:pPr>
            <w:r w:rsidRPr="004D72DD">
              <w:rPr>
                <w:sz w:val="18"/>
                <w:szCs w:val="18"/>
              </w:rPr>
              <w:t>(105,000 sq. ft. w/ 60 classrooms)</w:t>
            </w:r>
            <w:r w:rsidRPr="004D72DD">
              <w:rPr>
                <w:sz w:val="18"/>
                <w:szCs w:val="18"/>
                <w:vertAlign w:val="superscript"/>
              </w:rPr>
              <w:t>2</w:t>
            </w:r>
          </w:p>
        </w:tc>
        <w:tc>
          <w:tcPr>
            <w:tcW w:w="3296" w:type="dxa"/>
            <w:shd w:val="clear" w:color="auto" w:fill="auto"/>
            <w:tcMar>
              <w:bottom w:w="58" w:type="dxa"/>
            </w:tcMar>
          </w:tcPr>
          <w:p w:rsidR="00B22F88" w:rsidRPr="004D72DD" w:rsidRDefault="00B22F88" w:rsidP="00C31F62">
            <w:pPr>
              <w:jc w:val="left"/>
              <w:rPr>
                <w:sz w:val="18"/>
                <w:szCs w:val="18"/>
              </w:rPr>
            </w:pPr>
            <w:r w:rsidRPr="004D72DD">
              <w:rPr>
                <w:sz w:val="18"/>
                <w:szCs w:val="18"/>
              </w:rPr>
              <w:t>14.3-acre parcel of land valued at $39,341</w:t>
            </w:r>
          </w:p>
        </w:tc>
      </w:tr>
      <w:tr w:rsidR="00B22F88" w:rsidRPr="004D72DD" w:rsidTr="003E21D9">
        <w:trPr>
          <w:jc w:val="center"/>
        </w:trPr>
        <w:tc>
          <w:tcPr>
            <w:tcW w:w="3311" w:type="dxa"/>
            <w:shd w:val="clear" w:color="auto" w:fill="auto"/>
            <w:tcMar>
              <w:bottom w:w="58" w:type="dxa"/>
            </w:tcMar>
          </w:tcPr>
          <w:p w:rsidR="00B22F88" w:rsidRPr="004D72DD" w:rsidRDefault="00B22F88" w:rsidP="00C31F62">
            <w:pPr>
              <w:jc w:val="left"/>
              <w:rPr>
                <w:sz w:val="18"/>
                <w:szCs w:val="18"/>
              </w:rPr>
            </w:pPr>
            <w:r w:rsidRPr="004D72DD">
              <w:rPr>
                <w:sz w:val="18"/>
                <w:szCs w:val="18"/>
              </w:rPr>
              <w:t>Holly School District RE-3</w:t>
            </w:r>
          </w:p>
        </w:tc>
        <w:tc>
          <w:tcPr>
            <w:tcW w:w="3383" w:type="dxa"/>
            <w:gridSpan w:val="2"/>
            <w:shd w:val="clear" w:color="auto" w:fill="auto"/>
            <w:tcMar>
              <w:bottom w:w="58" w:type="dxa"/>
            </w:tcMar>
          </w:tcPr>
          <w:p w:rsidR="00B22F88" w:rsidRPr="004D72DD" w:rsidRDefault="00B22F88" w:rsidP="00C31F62">
            <w:pPr>
              <w:pStyle w:val="BodyText"/>
              <w:keepNext/>
              <w:keepLines/>
              <w:spacing w:after="0"/>
              <w:ind w:right="-208"/>
              <w:jc w:val="left"/>
              <w:rPr>
                <w:sz w:val="18"/>
                <w:szCs w:val="18"/>
              </w:rPr>
            </w:pPr>
            <w:r w:rsidRPr="004D72DD">
              <w:rPr>
                <w:sz w:val="18"/>
                <w:szCs w:val="18"/>
              </w:rPr>
              <w:t>PK</w:t>
            </w:r>
            <w:r w:rsidRPr="004D72DD">
              <w:rPr>
                <w:sz w:val="18"/>
                <w:szCs w:val="18"/>
              </w:rPr>
              <w:noBreakHyphen/>
              <w:t>12 school</w:t>
            </w:r>
          </w:p>
          <w:p w:rsidR="00B22F88" w:rsidRPr="004D72DD" w:rsidRDefault="00B22F88" w:rsidP="00C31F62">
            <w:pPr>
              <w:pStyle w:val="BodyText"/>
              <w:keepNext/>
              <w:keepLines/>
              <w:spacing w:after="0"/>
              <w:ind w:right="-208"/>
              <w:jc w:val="left"/>
              <w:rPr>
                <w:sz w:val="18"/>
                <w:szCs w:val="18"/>
              </w:rPr>
            </w:pPr>
            <w:r w:rsidRPr="004D72DD">
              <w:rPr>
                <w:sz w:val="18"/>
                <w:szCs w:val="18"/>
              </w:rPr>
              <w:t>(73,631 sq. ft. w/ 42 classrooms)</w:t>
            </w:r>
            <w:r w:rsidRPr="004D72DD">
              <w:rPr>
                <w:sz w:val="18"/>
                <w:szCs w:val="18"/>
                <w:vertAlign w:val="superscript"/>
              </w:rPr>
              <w:t>2</w:t>
            </w:r>
          </w:p>
        </w:tc>
        <w:tc>
          <w:tcPr>
            <w:tcW w:w="3296" w:type="dxa"/>
            <w:shd w:val="clear" w:color="auto" w:fill="auto"/>
            <w:tcMar>
              <w:bottom w:w="58" w:type="dxa"/>
            </w:tcMar>
          </w:tcPr>
          <w:p w:rsidR="00B22F88" w:rsidRPr="004D72DD" w:rsidRDefault="00B22F88" w:rsidP="00C31F62">
            <w:pPr>
              <w:jc w:val="left"/>
              <w:rPr>
                <w:sz w:val="18"/>
                <w:szCs w:val="18"/>
              </w:rPr>
            </w:pPr>
            <w:r w:rsidRPr="004D72DD">
              <w:rPr>
                <w:sz w:val="18"/>
                <w:szCs w:val="18"/>
              </w:rPr>
              <w:t>23.0-acre parcel of land valued at $51,354</w:t>
            </w:r>
          </w:p>
        </w:tc>
      </w:tr>
      <w:tr w:rsidR="00B22F88" w:rsidRPr="004D72DD" w:rsidTr="003E21D9">
        <w:trPr>
          <w:jc w:val="center"/>
        </w:trPr>
        <w:tc>
          <w:tcPr>
            <w:tcW w:w="3311" w:type="dxa"/>
            <w:shd w:val="clear" w:color="auto" w:fill="auto"/>
            <w:tcMar>
              <w:bottom w:w="58" w:type="dxa"/>
            </w:tcMar>
          </w:tcPr>
          <w:p w:rsidR="00B22F88" w:rsidRPr="004D72DD" w:rsidRDefault="00B22F88" w:rsidP="00C31F62">
            <w:pPr>
              <w:jc w:val="left"/>
              <w:rPr>
                <w:sz w:val="18"/>
                <w:szCs w:val="18"/>
              </w:rPr>
            </w:pPr>
            <w:r w:rsidRPr="004D72DD">
              <w:rPr>
                <w:sz w:val="18"/>
                <w:szCs w:val="18"/>
              </w:rPr>
              <w:t>Lake George Charter School</w:t>
            </w:r>
          </w:p>
        </w:tc>
        <w:tc>
          <w:tcPr>
            <w:tcW w:w="3383" w:type="dxa"/>
            <w:gridSpan w:val="2"/>
            <w:shd w:val="clear" w:color="auto" w:fill="auto"/>
            <w:tcMar>
              <w:bottom w:w="58" w:type="dxa"/>
            </w:tcMar>
          </w:tcPr>
          <w:p w:rsidR="00B22F88" w:rsidRPr="004D72DD" w:rsidRDefault="00B22F88" w:rsidP="00C31F62">
            <w:pPr>
              <w:pStyle w:val="BodyText"/>
              <w:keepNext/>
              <w:keepLines/>
              <w:spacing w:after="0"/>
              <w:ind w:right="-208"/>
              <w:jc w:val="left"/>
              <w:rPr>
                <w:sz w:val="18"/>
                <w:szCs w:val="18"/>
              </w:rPr>
            </w:pPr>
            <w:r w:rsidRPr="004D72DD">
              <w:rPr>
                <w:sz w:val="18"/>
                <w:szCs w:val="18"/>
              </w:rPr>
              <w:t>PK-6 school</w:t>
            </w:r>
          </w:p>
          <w:p w:rsidR="00B22F88" w:rsidRPr="004D72DD" w:rsidRDefault="00B22F88" w:rsidP="00C31F62">
            <w:pPr>
              <w:pStyle w:val="BodyText"/>
              <w:keepNext/>
              <w:keepLines/>
              <w:spacing w:after="0"/>
              <w:ind w:right="-208"/>
              <w:jc w:val="left"/>
              <w:rPr>
                <w:sz w:val="18"/>
                <w:szCs w:val="18"/>
              </w:rPr>
            </w:pPr>
            <w:r w:rsidRPr="004D72DD">
              <w:rPr>
                <w:sz w:val="18"/>
                <w:szCs w:val="18"/>
              </w:rPr>
              <w:t>(21,000 sq. ft. w/ 12 classrooms)</w:t>
            </w:r>
            <w:r w:rsidRPr="004D72DD">
              <w:rPr>
                <w:sz w:val="18"/>
                <w:szCs w:val="18"/>
                <w:vertAlign w:val="superscript"/>
              </w:rPr>
              <w:t>2</w:t>
            </w:r>
          </w:p>
        </w:tc>
        <w:tc>
          <w:tcPr>
            <w:tcW w:w="3296" w:type="dxa"/>
            <w:shd w:val="clear" w:color="auto" w:fill="auto"/>
            <w:tcMar>
              <w:bottom w:w="58" w:type="dxa"/>
            </w:tcMar>
          </w:tcPr>
          <w:p w:rsidR="00B22F88" w:rsidRPr="004D72DD" w:rsidRDefault="00B22F88" w:rsidP="00C31F62">
            <w:pPr>
              <w:pStyle w:val="BodyText"/>
              <w:keepNext/>
              <w:keepLines/>
              <w:spacing w:after="0"/>
              <w:ind w:right="-208"/>
              <w:jc w:val="left"/>
              <w:rPr>
                <w:sz w:val="18"/>
                <w:szCs w:val="18"/>
              </w:rPr>
            </w:pPr>
            <w:r w:rsidRPr="004D72DD">
              <w:rPr>
                <w:sz w:val="18"/>
                <w:szCs w:val="18"/>
              </w:rPr>
              <w:t>10.0-acre parcel of land valued at $100,000</w:t>
            </w:r>
          </w:p>
        </w:tc>
      </w:tr>
      <w:tr w:rsidR="00B22F88" w:rsidRPr="004D72DD" w:rsidTr="003E21D9">
        <w:trPr>
          <w:jc w:val="center"/>
        </w:trPr>
        <w:tc>
          <w:tcPr>
            <w:tcW w:w="3311" w:type="dxa"/>
            <w:shd w:val="clear" w:color="auto" w:fill="auto"/>
            <w:tcMar>
              <w:bottom w:w="58" w:type="dxa"/>
            </w:tcMar>
          </w:tcPr>
          <w:p w:rsidR="00B22F88" w:rsidRPr="004D72DD" w:rsidRDefault="006E6DE1" w:rsidP="00C31F62">
            <w:pPr>
              <w:jc w:val="left"/>
              <w:rPr>
                <w:sz w:val="18"/>
                <w:szCs w:val="18"/>
              </w:rPr>
            </w:pPr>
            <w:r>
              <w:rPr>
                <w:sz w:val="18"/>
                <w:szCs w:val="18"/>
              </w:rPr>
              <w:t xml:space="preserve">Mapleton </w:t>
            </w:r>
            <w:r w:rsidR="00B22F88" w:rsidRPr="004D72DD">
              <w:rPr>
                <w:sz w:val="18"/>
                <w:szCs w:val="18"/>
              </w:rPr>
              <w:t>School District</w:t>
            </w:r>
          </w:p>
        </w:tc>
        <w:tc>
          <w:tcPr>
            <w:tcW w:w="3383" w:type="dxa"/>
            <w:gridSpan w:val="2"/>
            <w:shd w:val="clear" w:color="auto" w:fill="auto"/>
            <w:tcMar>
              <w:bottom w:w="58" w:type="dxa"/>
            </w:tcMar>
          </w:tcPr>
          <w:p w:rsidR="00B22F88" w:rsidRPr="004D72DD" w:rsidRDefault="00B22F88" w:rsidP="00C31F62">
            <w:pPr>
              <w:jc w:val="left"/>
              <w:rPr>
                <w:sz w:val="18"/>
                <w:szCs w:val="18"/>
              </w:rPr>
            </w:pPr>
            <w:r w:rsidRPr="004D72DD">
              <w:rPr>
                <w:sz w:val="18"/>
                <w:szCs w:val="18"/>
              </w:rPr>
              <w:t>Partial campus improvements</w:t>
            </w:r>
          </w:p>
          <w:p w:rsidR="00B22F88" w:rsidRPr="004D72DD" w:rsidRDefault="00B22F88" w:rsidP="00C31F62">
            <w:pPr>
              <w:jc w:val="left"/>
              <w:rPr>
                <w:sz w:val="18"/>
                <w:szCs w:val="18"/>
              </w:rPr>
            </w:pPr>
            <w:r w:rsidRPr="004D72DD">
              <w:rPr>
                <w:sz w:val="18"/>
                <w:szCs w:val="18"/>
              </w:rPr>
              <w:t>(404,250 sq. ft. w/ 121 classrooms affected)</w:t>
            </w:r>
            <w:r w:rsidRPr="004D72DD">
              <w:rPr>
                <w:sz w:val="18"/>
                <w:szCs w:val="18"/>
                <w:vertAlign w:val="superscript"/>
              </w:rPr>
              <w:t>2</w:t>
            </w:r>
          </w:p>
        </w:tc>
        <w:tc>
          <w:tcPr>
            <w:tcW w:w="3296" w:type="dxa"/>
            <w:shd w:val="clear" w:color="auto" w:fill="auto"/>
            <w:tcMar>
              <w:bottom w:w="58" w:type="dxa"/>
            </w:tcMar>
          </w:tcPr>
          <w:p w:rsidR="00B22F88" w:rsidRPr="004D72DD" w:rsidRDefault="00B22F88" w:rsidP="00C31F62">
            <w:pPr>
              <w:jc w:val="left"/>
              <w:rPr>
                <w:sz w:val="18"/>
                <w:szCs w:val="18"/>
              </w:rPr>
            </w:pPr>
            <w:r w:rsidRPr="004D72DD">
              <w:rPr>
                <w:sz w:val="18"/>
                <w:szCs w:val="18"/>
              </w:rPr>
              <w:t>34.8-acre parcel of land</w:t>
            </w:r>
          </w:p>
          <w:p w:rsidR="00B22F88" w:rsidRPr="004D72DD" w:rsidRDefault="00B22F88" w:rsidP="00C31F62">
            <w:pPr>
              <w:jc w:val="left"/>
              <w:rPr>
                <w:sz w:val="18"/>
                <w:szCs w:val="18"/>
              </w:rPr>
            </w:pPr>
            <w:r w:rsidRPr="004D72DD">
              <w:rPr>
                <w:sz w:val="18"/>
                <w:szCs w:val="18"/>
              </w:rPr>
              <w:t>valued at $695,000</w:t>
            </w:r>
          </w:p>
        </w:tc>
      </w:tr>
      <w:tr w:rsidR="00B22F88" w:rsidRPr="004D72DD" w:rsidTr="003E21D9">
        <w:trPr>
          <w:jc w:val="center"/>
        </w:trPr>
        <w:tc>
          <w:tcPr>
            <w:tcW w:w="3311" w:type="dxa"/>
            <w:shd w:val="clear" w:color="auto" w:fill="auto"/>
            <w:tcMar>
              <w:bottom w:w="58" w:type="dxa"/>
            </w:tcMar>
          </w:tcPr>
          <w:p w:rsidR="00B22F88" w:rsidRPr="004D72DD" w:rsidRDefault="00B22F88" w:rsidP="00C31F62">
            <w:pPr>
              <w:jc w:val="left"/>
              <w:rPr>
                <w:sz w:val="18"/>
                <w:szCs w:val="18"/>
              </w:rPr>
            </w:pPr>
            <w:r w:rsidRPr="004D72DD">
              <w:rPr>
                <w:sz w:val="18"/>
                <w:szCs w:val="18"/>
              </w:rPr>
              <w:t>Monte Vista Consolidated School District No. 8</w:t>
            </w:r>
          </w:p>
        </w:tc>
        <w:tc>
          <w:tcPr>
            <w:tcW w:w="3383" w:type="dxa"/>
            <w:gridSpan w:val="2"/>
            <w:shd w:val="clear" w:color="auto" w:fill="auto"/>
            <w:tcMar>
              <w:bottom w:w="58" w:type="dxa"/>
            </w:tcMar>
          </w:tcPr>
          <w:p w:rsidR="00B22F88" w:rsidRPr="004D72DD" w:rsidRDefault="00B22F88" w:rsidP="00C31F62">
            <w:pPr>
              <w:pStyle w:val="BodyText"/>
              <w:keepNext/>
              <w:keepLines/>
              <w:spacing w:after="0"/>
              <w:ind w:right="-208"/>
              <w:jc w:val="left"/>
              <w:rPr>
                <w:sz w:val="18"/>
                <w:szCs w:val="18"/>
              </w:rPr>
            </w:pPr>
            <w:r w:rsidRPr="004D72DD">
              <w:rPr>
                <w:sz w:val="18"/>
                <w:szCs w:val="18"/>
              </w:rPr>
              <w:t>High school and elementary school</w:t>
            </w:r>
          </w:p>
          <w:p w:rsidR="00B22F88" w:rsidRPr="004D72DD" w:rsidRDefault="00B22F88" w:rsidP="00C31F62">
            <w:pPr>
              <w:pStyle w:val="BodyText"/>
              <w:keepNext/>
              <w:keepLines/>
              <w:spacing w:after="0"/>
              <w:ind w:right="-208"/>
              <w:jc w:val="left"/>
              <w:rPr>
                <w:sz w:val="18"/>
                <w:szCs w:val="18"/>
              </w:rPr>
            </w:pPr>
            <w:r w:rsidRPr="004D72DD">
              <w:rPr>
                <w:sz w:val="18"/>
                <w:szCs w:val="18"/>
              </w:rPr>
              <w:t>(128,531 sq. ft. w/ 56 classrooms)</w:t>
            </w:r>
            <w:r w:rsidRPr="004D72DD">
              <w:rPr>
                <w:sz w:val="18"/>
                <w:szCs w:val="18"/>
                <w:vertAlign w:val="superscript"/>
              </w:rPr>
              <w:t>2</w:t>
            </w:r>
          </w:p>
        </w:tc>
        <w:tc>
          <w:tcPr>
            <w:tcW w:w="3296" w:type="dxa"/>
            <w:shd w:val="clear" w:color="auto" w:fill="auto"/>
            <w:tcMar>
              <w:bottom w:w="58" w:type="dxa"/>
            </w:tcMar>
          </w:tcPr>
          <w:p w:rsidR="00B22F88" w:rsidRPr="004D72DD" w:rsidRDefault="00B22F88" w:rsidP="00C31F62">
            <w:pPr>
              <w:jc w:val="left"/>
              <w:rPr>
                <w:sz w:val="18"/>
                <w:szCs w:val="18"/>
              </w:rPr>
            </w:pPr>
            <w:r w:rsidRPr="004D72DD">
              <w:rPr>
                <w:sz w:val="18"/>
                <w:szCs w:val="18"/>
              </w:rPr>
              <w:t>8.8-acre parcel of land</w:t>
            </w:r>
          </w:p>
          <w:p w:rsidR="00B22F88" w:rsidRPr="004D72DD" w:rsidRDefault="00B22F88" w:rsidP="00C31F62">
            <w:pPr>
              <w:pStyle w:val="BodyText"/>
              <w:keepNext/>
              <w:keepLines/>
              <w:spacing w:after="0"/>
              <w:ind w:right="-208"/>
              <w:jc w:val="left"/>
              <w:rPr>
                <w:sz w:val="18"/>
                <w:szCs w:val="18"/>
              </w:rPr>
            </w:pPr>
            <w:r w:rsidRPr="004D72DD">
              <w:rPr>
                <w:sz w:val="18"/>
                <w:szCs w:val="18"/>
              </w:rPr>
              <w:t>valued at $504,733</w:t>
            </w:r>
          </w:p>
        </w:tc>
      </w:tr>
      <w:tr w:rsidR="00B22F88" w:rsidRPr="004D72DD" w:rsidTr="003E21D9">
        <w:trPr>
          <w:jc w:val="center"/>
        </w:trPr>
        <w:tc>
          <w:tcPr>
            <w:tcW w:w="3311" w:type="dxa"/>
            <w:shd w:val="clear" w:color="auto" w:fill="auto"/>
            <w:tcMar>
              <w:bottom w:w="58" w:type="dxa"/>
            </w:tcMar>
          </w:tcPr>
          <w:p w:rsidR="00B22F88" w:rsidRPr="004D72DD" w:rsidRDefault="00B22F88" w:rsidP="00C31F62">
            <w:pPr>
              <w:jc w:val="left"/>
              <w:rPr>
                <w:sz w:val="18"/>
                <w:szCs w:val="18"/>
              </w:rPr>
            </w:pPr>
            <w:r w:rsidRPr="004D72DD">
              <w:rPr>
                <w:sz w:val="18"/>
                <w:szCs w:val="18"/>
              </w:rPr>
              <w:t>North Routt Community Charter School</w:t>
            </w:r>
          </w:p>
        </w:tc>
        <w:tc>
          <w:tcPr>
            <w:tcW w:w="3383" w:type="dxa"/>
            <w:gridSpan w:val="2"/>
            <w:shd w:val="clear" w:color="auto" w:fill="auto"/>
            <w:tcMar>
              <w:bottom w:w="58" w:type="dxa"/>
            </w:tcMar>
          </w:tcPr>
          <w:p w:rsidR="00B22F88" w:rsidRPr="004D72DD" w:rsidRDefault="00B22F88" w:rsidP="00C31F62">
            <w:pPr>
              <w:pStyle w:val="BodyText"/>
              <w:keepNext/>
              <w:keepLines/>
              <w:spacing w:after="0"/>
              <w:ind w:right="-208"/>
              <w:jc w:val="left"/>
              <w:rPr>
                <w:sz w:val="18"/>
                <w:szCs w:val="18"/>
              </w:rPr>
            </w:pPr>
            <w:r w:rsidRPr="004D72DD">
              <w:rPr>
                <w:sz w:val="18"/>
                <w:szCs w:val="18"/>
              </w:rPr>
              <w:t>K-8 school</w:t>
            </w:r>
          </w:p>
          <w:p w:rsidR="00B22F88" w:rsidRPr="004D72DD" w:rsidRDefault="00B22F88" w:rsidP="00C31F62">
            <w:pPr>
              <w:pStyle w:val="BodyText"/>
              <w:keepNext/>
              <w:keepLines/>
              <w:spacing w:after="0"/>
              <w:ind w:right="-208"/>
              <w:jc w:val="left"/>
              <w:rPr>
                <w:sz w:val="18"/>
                <w:szCs w:val="18"/>
              </w:rPr>
            </w:pPr>
            <w:r w:rsidRPr="004D72DD">
              <w:rPr>
                <w:sz w:val="18"/>
                <w:szCs w:val="18"/>
              </w:rPr>
              <w:t>(12,241 sq. ft. w/ 6 classrooms)</w:t>
            </w:r>
            <w:r w:rsidRPr="004D72DD">
              <w:rPr>
                <w:sz w:val="18"/>
                <w:szCs w:val="18"/>
                <w:vertAlign w:val="superscript"/>
              </w:rPr>
              <w:t>2,3</w:t>
            </w:r>
          </w:p>
        </w:tc>
        <w:tc>
          <w:tcPr>
            <w:tcW w:w="3296" w:type="dxa"/>
            <w:shd w:val="clear" w:color="auto" w:fill="auto"/>
            <w:tcMar>
              <w:bottom w:w="58" w:type="dxa"/>
            </w:tcMar>
          </w:tcPr>
          <w:p w:rsidR="00B22F88" w:rsidRPr="004D72DD" w:rsidRDefault="00B22F88" w:rsidP="00882957">
            <w:pPr>
              <w:pStyle w:val="BodyText"/>
              <w:keepNext/>
              <w:keepLines/>
              <w:spacing w:after="0"/>
              <w:ind w:right="-208"/>
              <w:jc w:val="left"/>
              <w:rPr>
                <w:sz w:val="18"/>
                <w:szCs w:val="18"/>
                <w:vertAlign w:val="subscript"/>
              </w:rPr>
            </w:pPr>
            <w:r w:rsidRPr="004D72DD">
              <w:rPr>
                <w:sz w:val="18"/>
                <w:szCs w:val="18"/>
              </w:rPr>
              <w:t>8.0-acre parcel of land</w:t>
            </w:r>
            <w:r w:rsidRPr="004D72DD">
              <w:rPr>
                <w:sz w:val="18"/>
                <w:szCs w:val="18"/>
              </w:rPr>
              <w:br/>
              <w:t>valued at $60,000</w:t>
            </w:r>
            <w:r w:rsidR="00882957">
              <w:rPr>
                <w:sz w:val="18"/>
                <w:szCs w:val="18"/>
                <w:vertAlign w:val="superscript"/>
              </w:rPr>
              <w:t>3</w:t>
            </w:r>
          </w:p>
        </w:tc>
      </w:tr>
      <w:tr w:rsidR="00B22F88" w:rsidRPr="004D72DD" w:rsidTr="003E21D9">
        <w:trPr>
          <w:jc w:val="center"/>
        </w:trPr>
        <w:tc>
          <w:tcPr>
            <w:tcW w:w="3311" w:type="dxa"/>
            <w:shd w:val="clear" w:color="auto" w:fill="auto"/>
            <w:tcMar>
              <w:bottom w:w="58" w:type="dxa"/>
            </w:tcMar>
          </w:tcPr>
          <w:p w:rsidR="00B22F88" w:rsidRPr="004D72DD" w:rsidRDefault="00B22F88" w:rsidP="00C31F62">
            <w:pPr>
              <w:keepNext/>
              <w:jc w:val="left"/>
              <w:rPr>
                <w:sz w:val="18"/>
                <w:szCs w:val="18"/>
              </w:rPr>
            </w:pPr>
            <w:r w:rsidRPr="004D72DD">
              <w:rPr>
                <w:sz w:val="18"/>
                <w:szCs w:val="18"/>
              </w:rPr>
              <w:t>Salida School District R-32-J</w:t>
            </w:r>
          </w:p>
        </w:tc>
        <w:tc>
          <w:tcPr>
            <w:tcW w:w="3383" w:type="dxa"/>
            <w:gridSpan w:val="2"/>
            <w:shd w:val="clear" w:color="auto" w:fill="auto"/>
            <w:tcMar>
              <w:bottom w:w="58" w:type="dxa"/>
            </w:tcMar>
          </w:tcPr>
          <w:p w:rsidR="00B22F88" w:rsidRPr="004D72DD" w:rsidRDefault="00B22F88" w:rsidP="00C31F62">
            <w:pPr>
              <w:pStyle w:val="BodyText"/>
              <w:keepNext/>
              <w:keepLines/>
              <w:spacing w:after="0"/>
              <w:ind w:right="-202"/>
              <w:jc w:val="left"/>
              <w:rPr>
                <w:sz w:val="18"/>
                <w:szCs w:val="18"/>
              </w:rPr>
            </w:pPr>
            <w:r w:rsidRPr="004D72DD">
              <w:rPr>
                <w:sz w:val="18"/>
                <w:szCs w:val="18"/>
              </w:rPr>
              <w:t>High school</w:t>
            </w:r>
          </w:p>
          <w:p w:rsidR="00B22F88" w:rsidRPr="004D72DD" w:rsidRDefault="00B22F88" w:rsidP="00C31F62">
            <w:pPr>
              <w:pStyle w:val="BodyText"/>
              <w:keepNext/>
              <w:keepLines/>
              <w:spacing w:after="0"/>
              <w:ind w:right="-202"/>
              <w:jc w:val="left"/>
              <w:rPr>
                <w:sz w:val="18"/>
                <w:szCs w:val="18"/>
              </w:rPr>
            </w:pPr>
            <w:r w:rsidRPr="004D72DD">
              <w:rPr>
                <w:sz w:val="18"/>
                <w:szCs w:val="18"/>
              </w:rPr>
              <w:t>(98,190 sq. ft. w/22 classrooms)</w:t>
            </w:r>
            <w:r w:rsidRPr="004D72DD">
              <w:rPr>
                <w:sz w:val="18"/>
                <w:szCs w:val="18"/>
                <w:vertAlign w:val="superscript"/>
              </w:rPr>
              <w:t>2</w:t>
            </w:r>
          </w:p>
        </w:tc>
        <w:tc>
          <w:tcPr>
            <w:tcW w:w="3296" w:type="dxa"/>
            <w:shd w:val="clear" w:color="auto" w:fill="auto"/>
            <w:tcMar>
              <w:bottom w:w="58" w:type="dxa"/>
            </w:tcMar>
          </w:tcPr>
          <w:p w:rsidR="00B22F88" w:rsidRPr="004D72DD" w:rsidRDefault="00B22F88" w:rsidP="00C31F62">
            <w:pPr>
              <w:jc w:val="left"/>
              <w:rPr>
                <w:sz w:val="18"/>
                <w:szCs w:val="18"/>
              </w:rPr>
            </w:pPr>
            <w:r w:rsidRPr="004D72DD">
              <w:rPr>
                <w:sz w:val="18"/>
                <w:szCs w:val="18"/>
              </w:rPr>
              <w:t>14.5-acre parcel of land</w:t>
            </w:r>
          </w:p>
          <w:p w:rsidR="00B22F88" w:rsidRPr="004D72DD" w:rsidRDefault="00B22F88" w:rsidP="00C31F62">
            <w:pPr>
              <w:pStyle w:val="BodyText"/>
              <w:keepNext/>
              <w:keepLines/>
              <w:spacing w:after="0"/>
              <w:ind w:right="-208"/>
              <w:jc w:val="left"/>
              <w:rPr>
                <w:sz w:val="18"/>
                <w:szCs w:val="18"/>
              </w:rPr>
            </w:pPr>
            <w:r w:rsidRPr="004D72DD">
              <w:rPr>
                <w:sz w:val="18"/>
                <w:szCs w:val="18"/>
              </w:rPr>
              <w:t>valued at $453,370</w:t>
            </w:r>
          </w:p>
        </w:tc>
      </w:tr>
      <w:tr w:rsidR="00B22F88" w:rsidRPr="004D72DD" w:rsidTr="003E21D9">
        <w:trPr>
          <w:jc w:val="center"/>
        </w:trPr>
        <w:tc>
          <w:tcPr>
            <w:tcW w:w="3311" w:type="dxa"/>
            <w:tcBorders>
              <w:bottom w:val="single" w:sz="4" w:space="0" w:color="auto"/>
            </w:tcBorders>
            <w:shd w:val="clear" w:color="auto" w:fill="auto"/>
            <w:tcMar>
              <w:bottom w:w="58" w:type="dxa"/>
            </w:tcMar>
          </w:tcPr>
          <w:p w:rsidR="00B22F88" w:rsidRPr="004D72DD" w:rsidRDefault="00B22F88" w:rsidP="00C31F62">
            <w:pPr>
              <w:keepLines/>
              <w:jc w:val="left"/>
              <w:rPr>
                <w:sz w:val="18"/>
                <w:szCs w:val="18"/>
              </w:rPr>
            </w:pPr>
            <w:r w:rsidRPr="004D72DD">
              <w:rPr>
                <w:sz w:val="18"/>
                <w:szCs w:val="18"/>
              </w:rPr>
              <w:br/>
              <w:t>Vista Charter School</w:t>
            </w:r>
          </w:p>
        </w:tc>
        <w:tc>
          <w:tcPr>
            <w:tcW w:w="3383" w:type="dxa"/>
            <w:gridSpan w:val="2"/>
            <w:tcBorders>
              <w:bottom w:val="single" w:sz="4" w:space="0" w:color="auto"/>
            </w:tcBorders>
            <w:shd w:val="clear" w:color="auto" w:fill="auto"/>
            <w:tcMar>
              <w:bottom w:w="58" w:type="dxa"/>
            </w:tcMar>
          </w:tcPr>
          <w:p w:rsidR="00B22F88" w:rsidRPr="004D72DD" w:rsidRDefault="00B22F88" w:rsidP="00C31F62">
            <w:pPr>
              <w:pStyle w:val="BodyText"/>
              <w:keepNext/>
              <w:keepLines/>
              <w:spacing w:after="0"/>
              <w:ind w:right="-208"/>
              <w:jc w:val="left"/>
              <w:rPr>
                <w:sz w:val="18"/>
                <w:szCs w:val="18"/>
              </w:rPr>
            </w:pPr>
            <w:r w:rsidRPr="004D72DD">
              <w:rPr>
                <w:sz w:val="18"/>
                <w:szCs w:val="18"/>
              </w:rPr>
              <w:t>Grades 6-8 school</w:t>
            </w:r>
          </w:p>
          <w:p w:rsidR="00B22F88" w:rsidRPr="004D72DD" w:rsidRDefault="00B22F88" w:rsidP="00C31F62">
            <w:pPr>
              <w:pStyle w:val="BodyText"/>
              <w:keepNext/>
              <w:keepLines/>
              <w:spacing w:after="0"/>
              <w:ind w:right="-208"/>
              <w:jc w:val="left"/>
              <w:rPr>
                <w:sz w:val="18"/>
                <w:szCs w:val="18"/>
              </w:rPr>
            </w:pPr>
            <w:r w:rsidRPr="004D72DD">
              <w:rPr>
                <w:sz w:val="18"/>
                <w:szCs w:val="18"/>
              </w:rPr>
              <w:t>(16,835 sq. ft. w/ 9 classrooms)</w:t>
            </w:r>
            <w:r w:rsidRPr="004D72DD">
              <w:rPr>
                <w:sz w:val="18"/>
                <w:szCs w:val="18"/>
                <w:vertAlign w:val="superscript"/>
              </w:rPr>
              <w:t>2</w:t>
            </w:r>
          </w:p>
        </w:tc>
        <w:tc>
          <w:tcPr>
            <w:tcW w:w="3296" w:type="dxa"/>
            <w:tcBorders>
              <w:bottom w:val="single" w:sz="4" w:space="0" w:color="auto"/>
            </w:tcBorders>
            <w:shd w:val="clear" w:color="auto" w:fill="auto"/>
            <w:tcMar>
              <w:bottom w:w="58" w:type="dxa"/>
            </w:tcMar>
          </w:tcPr>
          <w:p w:rsidR="00B22F88" w:rsidRPr="004D72DD" w:rsidRDefault="00B22F88" w:rsidP="00C31F62">
            <w:pPr>
              <w:pStyle w:val="BodyText"/>
              <w:keepNext/>
              <w:keepLines/>
              <w:spacing w:after="0"/>
              <w:ind w:right="-208"/>
              <w:jc w:val="left"/>
              <w:rPr>
                <w:sz w:val="18"/>
                <w:szCs w:val="18"/>
              </w:rPr>
            </w:pPr>
            <w:r w:rsidRPr="004D72DD">
              <w:rPr>
                <w:sz w:val="18"/>
                <w:szCs w:val="18"/>
              </w:rPr>
              <w:t>2.3-acre parcel of land valued at $595,000</w:t>
            </w:r>
          </w:p>
        </w:tc>
      </w:tr>
      <w:tr w:rsidR="00B22F88" w:rsidRPr="004D72DD" w:rsidTr="003E21D9">
        <w:trPr>
          <w:jc w:val="center"/>
        </w:trPr>
        <w:tc>
          <w:tcPr>
            <w:tcW w:w="9990" w:type="dxa"/>
            <w:gridSpan w:val="4"/>
            <w:shd w:val="clear" w:color="auto" w:fill="auto"/>
            <w:tcMar>
              <w:bottom w:w="58" w:type="dxa"/>
            </w:tcMar>
          </w:tcPr>
          <w:p w:rsidR="00B22F88" w:rsidRPr="004D72DD" w:rsidRDefault="00B22F88" w:rsidP="00C31F62">
            <w:pPr>
              <w:keepNext/>
              <w:spacing w:before="80" w:after="80"/>
              <w:jc w:val="left"/>
              <w:rPr>
                <w:sz w:val="18"/>
                <w:szCs w:val="18"/>
              </w:rPr>
            </w:pPr>
            <w:r w:rsidRPr="004D72DD">
              <w:rPr>
                <w:b/>
                <w:sz w:val="18"/>
                <w:szCs w:val="18"/>
              </w:rPr>
              <w:t xml:space="preserve">Series 2011G Certificates </w:t>
            </w:r>
            <w:r w:rsidRPr="004D72DD">
              <w:rPr>
                <w:i/>
                <w:sz w:val="18"/>
                <w:szCs w:val="18"/>
              </w:rPr>
              <w:t>(The Series 2011G Certificates were refunded and defeased by the Series 2017K Certificates)</w:t>
            </w:r>
          </w:p>
        </w:tc>
      </w:tr>
      <w:tr w:rsidR="00B22F88" w:rsidRPr="004D72DD" w:rsidTr="003E21D9">
        <w:trPr>
          <w:jc w:val="center"/>
        </w:trPr>
        <w:tc>
          <w:tcPr>
            <w:tcW w:w="3311" w:type="dxa"/>
            <w:shd w:val="clear" w:color="auto" w:fill="auto"/>
            <w:tcMar>
              <w:bottom w:w="58" w:type="dxa"/>
            </w:tcMar>
          </w:tcPr>
          <w:p w:rsidR="00B22F88" w:rsidRPr="004D72DD" w:rsidRDefault="00B22F88" w:rsidP="00C31F62">
            <w:pPr>
              <w:spacing w:after="60"/>
              <w:jc w:val="left"/>
              <w:rPr>
                <w:sz w:val="18"/>
              </w:rPr>
            </w:pPr>
            <w:r w:rsidRPr="004D72DD">
              <w:rPr>
                <w:sz w:val="18"/>
              </w:rPr>
              <w:t xml:space="preserve">Big Sandy School District </w:t>
            </w:r>
          </w:p>
        </w:tc>
        <w:tc>
          <w:tcPr>
            <w:tcW w:w="3383" w:type="dxa"/>
            <w:gridSpan w:val="2"/>
            <w:shd w:val="clear" w:color="auto" w:fill="auto"/>
            <w:tcMar>
              <w:bottom w:w="58" w:type="dxa"/>
            </w:tcMar>
          </w:tcPr>
          <w:p w:rsidR="00B22F88" w:rsidRPr="004D72DD" w:rsidRDefault="00B22F88" w:rsidP="00C31F62">
            <w:pPr>
              <w:jc w:val="left"/>
              <w:rPr>
                <w:sz w:val="18"/>
              </w:rPr>
            </w:pPr>
            <w:r w:rsidRPr="004D72DD">
              <w:rPr>
                <w:sz w:val="18"/>
              </w:rPr>
              <w:t>New PK</w:t>
            </w:r>
            <w:r w:rsidRPr="004D72DD">
              <w:rPr>
                <w:sz w:val="18"/>
              </w:rPr>
              <w:noBreakHyphen/>
              <w:t>12 school</w:t>
            </w:r>
          </w:p>
          <w:p w:rsidR="00B22F88" w:rsidRPr="004D72DD" w:rsidRDefault="00B22F88" w:rsidP="00C31F62">
            <w:pPr>
              <w:jc w:val="left"/>
              <w:rPr>
                <w:sz w:val="18"/>
              </w:rPr>
            </w:pPr>
            <w:r w:rsidRPr="004D72DD">
              <w:rPr>
                <w:sz w:val="18"/>
              </w:rPr>
              <w:t>(83,412 sq. ft. w/ 34 classrooms)</w:t>
            </w:r>
            <w:r w:rsidRPr="004D72DD">
              <w:rPr>
                <w:sz w:val="18"/>
                <w:vertAlign w:val="superscript"/>
              </w:rPr>
              <w:t>2</w:t>
            </w:r>
          </w:p>
        </w:tc>
        <w:tc>
          <w:tcPr>
            <w:tcW w:w="3296" w:type="dxa"/>
            <w:shd w:val="clear" w:color="auto" w:fill="auto"/>
            <w:tcMar>
              <w:bottom w:w="58" w:type="dxa"/>
            </w:tcMar>
          </w:tcPr>
          <w:p w:rsidR="00B22F88" w:rsidRPr="004D72DD" w:rsidRDefault="00B22F88" w:rsidP="00C31F62">
            <w:pPr>
              <w:jc w:val="left"/>
              <w:rPr>
                <w:sz w:val="18"/>
              </w:rPr>
            </w:pPr>
            <w:r w:rsidRPr="004D72DD">
              <w:rPr>
                <w:sz w:val="18"/>
              </w:rPr>
              <w:t>33.9-acre parcel of land valued at $55,000</w:t>
            </w:r>
          </w:p>
        </w:tc>
      </w:tr>
      <w:tr w:rsidR="00B22F88" w:rsidRPr="004D72DD" w:rsidTr="003E21D9">
        <w:trPr>
          <w:jc w:val="center"/>
        </w:trPr>
        <w:tc>
          <w:tcPr>
            <w:tcW w:w="3311" w:type="dxa"/>
            <w:shd w:val="clear" w:color="auto" w:fill="auto"/>
            <w:tcMar>
              <w:bottom w:w="58" w:type="dxa"/>
            </w:tcMar>
          </w:tcPr>
          <w:p w:rsidR="00B22F88" w:rsidRPr="004D72DD" w:rsidRDefault="00B22F88" w:rsidP="00C31F62">
            <w:pPr>
              <w:spacing w:after="60"/>
              <w:jc w:val="left"/>
              <w:rPr>
                <w:sz w:val="18"/>
              </w:rPr>
            </w:pPr>
            <w:r w:rsidRPr="004D72DD">
              <w:rPr>
                <w:sz w:val="18"/>
              </w:rPr>
              <w:t>Eagle County Charter Academy</w:t>
            </w:r>
          </w:p>
        </w:tc>
        <w:tc>
          <w:tcPr>
            <w:tcW w:w="3383" w:type="dxa"/>
            <w:gridSpan w:val="2"/>
            <w:shd w:val="clear" w:color="auto" w:fill="auto"/>
            <w:tcMar>
              <w:bottom w:w="58" w:type="dxa"/>
            </w:tcMar>
          </w:tcPr>
          <w:p w:rsidR="00B22F88" w:rsidRPr="004D72DD" w:rsidRDefault="00B22F88" w:rsidP="00C31F62">
            <w:pPr>
              <w:jc w:val="left"/>
              <w:rPr>
                <w:sz w:val="18"/>
              </w:rPr>
            </w:pPr>
            <w:r w:rsidRPr="004D72DD">
              <w:rPr>
                <w:sz w:val="18"/>
              </w:rPr>
              <w:t>K-8 school</w:t>
            </w:r>
          </w:p>
          <w:p w:rsidR="00B22F88" w:rsidRPr="004D72DD" w:rsidRDefault="00B22F88" w:rsidP="00C31F62">
            <w:pPr>
              <w:jc w:val="left"/>
              <w:rPr>
                <w:sz w:val="18"/>
              </w:rPr>
            </w:pPr>
            <w:r w:rsidRPr="004D72DD">
              <w:rPr>
                <w:sz w:val="18"/>
              </w:rPr>
              <w:t>(45,000 sq. ft. w/ 26 classrooms)</w:t>
            </w:r>
            <w:r w:rsidRPr="004D72DD">
              <w:rPr>
                <w:sz w:val="18"/>
                <w:vertAlign w:val="superscript"/>
              </w:rPr>
              <w:t>2</w:t>
            </w:r>
          </w:p>
        </w:tc>
        <w:tc>
          <w:tcPr>
            <w:tcW w:w="3296" w:type="dxa"/>
            <w:shd w:val="clear" w:color="auto" w:fill="auto"/>
            <w:tcMar>
              <w:bottom w:w="58" w:type="dxa"/>
            </w:tcMar>
          </w:tcPr>
          <w:p w:rsidR="00B22F88" w:rsidRPr="004D72DD" w:rsidRDefault="00B22F88" w:rsidP="00C31F62">
            <w:pPr>
              <w:jc w:val="left"/>
              <w:rPr>
                <w:sz w:val="18"/>
              </w:rPr>
            </w:pPr>
            <w:r w:rsidRPr="004D72DD">
              <w:rPr>
                <w:sz w:val="18"/>
              </w:rPr>
              <w:t>6.001-acre parcel of land valued at $304,550</w:t>
            </w:r>
          </w:p>
        </w:tc>
      </w:tr>
      <w:tr w:rsidR="00B22F88" w:rsidRPr="004D72DD" w:rsidTr="003E21D9">
        <w:trPr>
          <w:jc w:val="center"/>
        </w:trPr>
        <w:tc>
          <w:tcPr>
            <w:tcW w:w="3311" w:type="dxa"/>
            <w:shd w:val="clear" w:color="auto" w:fill="auto"/>
            <w:tcMar>
              <w:bottom w:w="58" w:type="dxa"/>
            </w:tcMar>
          </w:tcPr>
          <w:p w:rsidR="00B22F88" w:rsidRPr="004D72DD" w:rsidRDefault="00B22F88" w:rsidP="00C31F62">
            <w:pPr>
              <w:spacing w:after="60"/>
              <w:jc w:val="left"/>
              <w:rPr>
                <w:sz w:val="18"/>
              </w:rPr>
            </w:pPr>
            <w:r w:rsidRPr="004D72DD">
              <w:rPr>
                <w:sz w:val="18"/>
              </w:rPr>
              <w:t>Ellicott School District</w:t>
            </w:r>
          </w:p>
        </w:tc>
        <w:tc>
          <w:tcPr>
            <w:tcW w:w="3383" w:type="dxa"/>
            <w:gridSpan w:val="2"/>
            <w:shd w:val="clear" w:color="auto" w:fill="auto"/>
            <w:tcMar>
              <w:bottom w:w="58" w:type="dxa"/>
            </w:tcMar>
          </w:tcPr>
          <w:p w:rsidR="00B22F88" w:rsidRPr="004D72DD" w:rsidRDefault="00B22F88" w:rsidP="00C31F62">
            <w:pPr>
              <w:pStyle w:val="BodyText"/>
              <w:keepNext/>
              <w:keepLines/>
              <w:spacing w:after="0"/>
              <w:ind w:right="-208"/>
              <w:jc w:val="left"/>
              <w:rPr>
                <w:sz w:val="18"/>
              </w:rPr>
            </w:pPr>
            <w:r w:rsidRPr="004D72DD">
              <w:rPr>
                <w:sz w:val="18"/>
              </w:rPr>
              <w:t>Middle school</w:t>
            </w:r>
          </w:p>
          <w:p w:rsidR="00B22F88" w:rsidRPr="004D72DD" w:rsidRDefault="00B22F88" w:rsidP="00C31F62">
            <w:pPr>
              <w:pStyle w:val="BodyText"/>
              <w:keepNext/>
              <w:keepLines/>
              <w:spacing w:after="0"/>
              <w:ind w:right="-208"/>
              <w:jc w:val="left"/>
              <w:rPr>
                <w:sz w:val="18"/>
              </w:rPr>
            </w:pPr>
            <w:r w:rsidRPr="004D72DD">
              <w:rPr>
                <w:sz w:val="18"/>
              </w:rPr>
              <w:t>(74,466 sq. ft. w/ 27 classrooms)</w:t>
            </w:r>
            <w:r w:rsidRPr="004D72DD">
              <w:rPr>
                <w:sz w:val="18"/>
                <w:szCs w:val="18"/>
                <w:vertAlign w:val="superscript"/>
              </w:rPr>
              <w:t>2</w:t>
            </w:r>
          </w:p>
        </w:tc>
        <w:tc>
          <w:tcPr>
            <w:tcW w:w="3296" w:type="dxa"/>
            <w:shd w:val="clear" w:color="auto" w:fill="auto"/>
            <w:tcMar>
              <w:bottom w:w="58" w:type="dxa"/>
            </w:tcMar>
          </w:tcPr>
          <w:p w:rsidR="00B22F88" w:rsidRPr="004D72DD" w:rsidRDefault="00B22F88" w:rsidP="00C31F62">
            <w:pPr>
              <w:pStyle w:val="BodyText"/>
              <w:keepNext/>
              <w:keepLines/>
              <w:spacing w:after="0"/>
              <w:ind w:right="-208"/>
              <w:jc w:val="left"/>
              <w:rPr>
                <w:sz w:val="18"/>
              </w:rPr>
            </w:pPr>
            <w:r w:rsidRPr="004D72DD">
              <w:rPr>
                <w:sz w:val="18"/>
              </w:rPr>
              <w:t>8.61-acre parcel of land valued at $10,501</w:t>
            </w:r>
          </w:p>
        </w:tc>
      </w:tr>
      <w:tr w:rsidR="00B22F88" w:rsidRPr="004D72DD" w:rsidTr="003E21D9">
        <w:trPr>
          <w:jc w:val="center"/>
        </w:trPr>
        <w:tc>
          <w:tcPr>
            <w:tcW w:w="3311" w:type="dxa"/>
            <w:shd w:val="clear" w:color="auto" w:fill="auto"/>
            <w:tcMar>
              <w:bottom w:w="58" w:type="dxa"/>
            </w:tcMar>
          </w:tcPr>
          <w:p w:rsidR="00B22F88" w:rsidRPr="004D72DD" w:rsidRDefault="00B22F88" w:rsidP="00C31F62">
            <w:pPr>
              <w:spacing w:after="60"/>
              <w:jc w:val="left"/>
              <w:rPr>
                <w:sz w:val="18"/>
              </w:rPr>
            </w:pPr>
            <w:r w:rsidRPr="004D72DD">
              <w:rPr>
                <w:sz w:val="18"/>
              </w:rPr>
              <w:t xml:space="preserve">Englewood School District </w:t>
            </w:r>
          </w:p>
        </w:tc>
        <w:tc>
          <w:tcPr>
            <w:tcW w:w="3383" w:type="dxa"/>
            <w:gridSpan w:val="2"/>
            <w:shd w:val="clear" w:color="auto" w:fill="auto"/>
            <w:tcMar>
              <w:bottom w:w="58" w:type="dxa"/>
            </w:tcMar>
          </w:tcPr>
          <w:p w:rsidR="00B22F88" w:rsidRPr="004D72DD" w:rsidRDefault="00B22F88" w:rsidP="00C31F62">
            <w:pPr>
              <w:pStyle w:val="BodyText"/>
              <w:keepNext/>
              <w:keepLines/>
              <w:spacing w:after="0"/>
              <w:ind w:right="-208"/>
              <w:jc w:val="left"/>
              <w:rPr>
                <w:sz w:val="18"/>
              </w:rPr>
            </w:pPr>
            <w:r w:rsidRPr="004D72DD">
              <w:rPr>
                <w:sz w:val="18"/>
              </w:rPr>
              <w:t>High school</w:t>
            </w:r>
          </w:p>
          <w:p w:rsidR="00B22F88" w:rsidRPr="004D72DD" w:rsidRDefault="00B22F88" w:rsidP="00C31F62">
            <w:pPr>
              <w:pStyle w:val="BodyText"/>
              <w:keepNext/>
              <w:keepLines/>
              <w:spacing w:after="0"/>
              <w:ind w:right="-208"/>
              <w:jc w:val="left"/>
              <w:rPr>
                <w:sz w:val="18"/>
              </w:rPr>
            </w:pPr>
            <w:r w:rsidRPr="004D72DD">
              <w:rPr>
                <w:sz w:val="18"/>
              </w:rPr>
              <w:t>(97,800 sq. ft. w/ 30 classrooms)</w:t>
            </w:r>
            <w:r w:rsidRPr="004D72DD">
              <w:rPr>
                <w:sz w:val="18"/>
                <w:szCs w:val="18"/>
                <w:vertAlign w:val="superscript"/>
              </w:rPr>
              <w:t>2</w:t>
            </w:r>
          </w:p>
        </w:tc>
        <w:tc>
          <w:tcPr>
            <w:tcW w:w="3296" w:type="dxa"/>
            <w:shd w:val="clear" w:color="auto" w:fill="auto"/>
            <w:tcMar>
              <w:bottom w:w="58" w:type="dxa"/>
            </w:tcMar>
          </w:tcPr>
          <w:p w:rsidR="00B22F88" w:rsidRPr="004D72DD" w:rsidRDefault="00B22F88" w:rsidP="00C31F62">
            <w:pPr>
              <w:jc w:val="left"/>
              <w:rPr>
                <w:sz w:val="18"/>
              </w:rPr>
            </w:pPr>
            <w:r w:rsidRPr="004D72DD">
              <w:rPr>
                <w:sz w:val="18"/>
              </w:rPr>
              <w:t>12.68-acre parcel of land valued at $1,601,788</w:t>
            </w:r>
          </w:p>
        </w:tc>
      </w:tr>
      <w:tr w:rsidR="00B22F88" w:rsidRPr="004D72DD" w:rsidTr="003E21D9">
        <w:trPr>
          <w:jc w:val="center"/>
        </w:trPr>
        <w:tc>
          <w:tcPr>
            <w:tcW w:w="3311" w:type="dxa"/>
            <w:shd w:val="clear" w:color="auto" w:fill="auto"/>
            <w:tcMar>
              <w:bottom w:w="58" w:type="dxa"/>
            </w:tcMar>
          </w:tcPr>
          <w:p w:rsidR="00B22F88" w:rsidRPr="004D72DD" w:rsidRDefault="00B22F88" w:rsidP="00C31F62">
            <w:pPr>
              <w:spacing w:after="60"/>
              <w:jc w:val="left"/>
              <w:rPr>
                <w:sz w:val="18"/>
              </w:rPr>
            </w:pPr>
            <w:r w:rsidRPr="004D72DD">
              <w:rPr>
                <w:sz w:val="18"/>
              </w:rPr>
              <w:t>Horizons School</w:t>
            </w:r>
          </w:p>
        </w:tc>
        <w:tc>
          <w:tcPr>
            <w:tcW w:w="3383" w:type="dxa"/>
            <w:gridSpan w:val="2"/>
            <w:shd w:val="clear" w:color="auto" w:fill="auto"/>
            <w:tcMar>
              <w:bottom w:w="58" w:type="dxa"/>
            </w:tcMar>
          </w:tcPr>
          <w:p w:rsidR="00B22F88" w:rsidRPr="004D72DD" w:rsidRDefault="00B22F88" w:rsidP="00C31F62">
            <w:pPr>
              <w:jc w:val="left"/>
              <w:rPr>
                <w:sz w:val="18"/>
              </w:rPr>
            </w:pPr>
            <w:r w:rsidRPr="004D72DD">
              <w:rPr>
                <w:sz w:val="18"/>
              </w:rPr>
              <w:t>K-8 charter school addition</w:t>
            </w:r>
          </w:p>
          <w:p w:rsidR="00B22F88" w:rsidRPr="004D72DD" w:rsidRDefault="00B22F88" w:rsidP="00C31F62">
            <w:pPr>
              <w:jc w:val="left"/>
              <w:rPr>
                <w:sz w:val="18"/>
              </w:rPr>
            </w:pPr>
            <w:r w:rsidRPr="004D72DD">
              <w:rPr>
                <w:sz w:val="18"/>
              </w:rPr>
              <w:t>(37,725 sq. ft. w/ 10 classrooms)</w:t>
            </w:r>
            <w:r w:rsidRPr="004D72DD">
              <w:rPr>
                <w:sz w:val="18"/>
                <w:vertAlign w:val="superscript"/>
              </w:rPr>
              <w:t>2,3</w:t>
            </w:r>
          </w:p>
        </w:tc>
        <w:tc>
          <w:tcPr>
            <w:tcW w:w="3296" w:type="dxa"/>
            <w:shd w:val="clear" w:color="auto" w:fill="auto"/>
            <w:tcMar>
              <w:bottom w:w="58" w:type="dxa"/>
            </w:tcMar>
          </w:tcPr>
          <w:p w:rsidR="00B22F88" w:rsidRPr="004D72DD" w:rsidRDefault="00B22F88" w:rsidP="00C31F62">
            <w:pPr>
              <w:jc w:val="left"/>
              <w:rPr>
                <w:sz w:val="18"/>
              </w:rPr>
            </w:pPr>
            <w:r w:rsidRPr="004D72DD">
              <w:rPr>
                <w:sz w:val="18"/>
              </w:rPr>
              <w:t>1.045-acre parcel of land valued at $133,266</w:t>
            </w:r>
          </w:p>
        </w:tc>
      </w:tr>
      <w:tr w:rsidR="00B22F88" w:rsidRPr="004D72DD" w:rsidTr="003E21D9">
        <w:trPr>
          <w:jc w:val="center"/>
        </w:trPr>
        <w:tc>
          <w:tcPr>
            <w:tcW w:w="3311" w:type="dxa"/>
            <w:shd w:val="clear" w:color="auto" w:fill="auto"/>
            <w:tcMar>
              <w:bottom w:w="58" w:type="dxa"/>
            </w:tcMar>
          </w:tcPr>
          <w:p w:rsidR="00B22F88" w:rsidRPr="004D72DD" w:rsidRDefault="00B22F88" w:rsidP="00C31F62">
            <w:pPr>
              <w:spacing w:after="60"/>
              <w:jc w:val="left"/>
              <w:rPr>
                <w:sz w:val="18"/>
              </w:rPr>
            </w:pPr>
            <w:r w:rsidRPr="004D72DD">
              <w:rPr>
                <w:sz w:val="18"/>
              </w:rPr>
              <w:t>Idalia School District</w:t>
            </w:r>
          </w:p>
        </w:tc>
        <w:tc>
          <w:tcPr>
            <w:tcW w:w="3383" w:type="dxa"/>
            <w:gridSpan w:val="2"/>
            <w:shd w:val="clear" w:color="auto" w:fill="auto"/>
            <w:tcMar>
              <w:bottom w:w="58" w:type="dxa"/>
            </w:tcMar>
          </w:tcPr>
          <w:p w:rsidR="00B22F88" w:rsidRPr="004D72DD" w:rsidRDefault="00B22F88" w:rsidP="00C31F62">
            <w:pPr>
              <w:jc w:val="left"/>
              <w:rPr>
                <w:sz w:val="18"/>
              </w:rPr>
            </w:pPr>
            <w:r w:rsidRPr="004D72DD">
              <w:rPr>
                <w:sz w:val="18"/>
              </w:rPr>
              <w:t>PK</w:t>
            </w:r>
            <w:r w:rsidRPr="004D72DD">
              <w:rPr>
                <w:sz w:val="18"/>
              </w:rPr>
              <w:noBreakHyphen/>
              <w:t>12 gym</w:t>
            </w:r>
            <w:r w:rsidRPr="004D72DD">
              <w:rPr>
                <w:sz w:val="18"/>
                <w:vertAlign w:val="superscript"/>
              </w:rPr>
              <w:t>2,3</w:t>
            </w:r>
          </w:p>
        </w:tc>
        <w:tc>
          <w:tcPr>
            <w:tcW w:w="3296" w:type="dxa"/>
            <w:shd w:val="clear" w:color="auto" w:fill="auto"/>
            <w:tcMar>
              <w:bottom w:w="58" w:type="dxa"/>
            </w:tcMar>
          </w:tcPr>
          <w:p w:rsidR="00B22F88" w:rsidRPr="004D72DD" w:rsidRDefault="00B22F88" w:rsidP="00C31F62">
            <w:pPr>
              <w:jc w:val="left"/>
              <w:rPr>
                <w:sz w:val="18"/>
              </w:rPr>
            </w:pPr>
            <w:r w:rsidRPr="004D72DD">
              <w:rPr>
                <w:sz w:val="18"/>
              </w:rPr>
              <w:t>1.91-acre parcel of land valued at $291</w:t>
            </w:r>
          </w:p>
        </w:tc>
      </w:tr>
      <w:tr w:rsidR="00B22F88" w:rsidRPr="004D72DD" w:rsidTr="003E21D9">
        <w:trPr>
          <w:jc w:val="center"/>
        </w:trPr>
        <w:tc>
          <w:tcPr>
            <w:tcW w:w="3311" w:type="dxa"/>
            <w:shd w:val="clear" w:color="auto" w:fill="auto"/>
            <w:tcMar>
              <w:bottom w:w="58" w:type="dxa"/>
            </w:tcMar>
          </w:tcPr>
          <w:p w:rsidR="00B22F88" w:rsidRPr="004D72DD" w:rsidRDefault="00B22F88" w:rsidP="00C31F62">
            <w:pPr>
              <w:spacing w:after="60"/>
              <w:jc w:val="left"/>
              <w:rPr>
                <w:sz w:val="18"/>
              </w:rPr>
            </w:pPr>
            <w:r w:rsidRPr="004D72DD">
              <w:rPr>
                <w:sz w:val="18"/>
              </w:rPr>
              <w:t>Ignacio School District</w:t>
            </w:r>
          </w:p>
        </w:tc>
        <w:tc>
          <w:tcPr>
            <w:tcW w:w="3383" w:type="dxa"/>
            <w:gridSpan w:val="2"/>
            <w:shd w:val="clear" w:color="auto" w:fill="auto"/>
            <w:tcMar>
              <w:bottom w:w="58" w:type="dxa"/>
            </w:tcMar>
          </w:tcPr>
          <w:p w:rsidR="00B22F88" w:rsidRPr="004D72DD" w:rsidRDefault="00B22F88" w:rsidP="00C31F62">
            <w:pPr>
              <w:jc w:val="left"/>
              <w:rPr>
                <w:sz w:val="18"/>
              </w:rPr>
            </w:pPr>
            <w:r w:rsidRPr="004D72DD">
              <w:rPr>
                <w:sz w:val="18"/>
              </w:rPr>
              <w:t>Cafeteria, stage and kitchen addition</w:t>
            </w:r>
            <w:r w:rsidRPr="004D72DD">
              <w:rPr>
                <w:sz w:val="18"/>
                <w:szCs w:val="18"/>
                <w:vertAlign w:val="superscript"/>
              </w:rPr>
              <w:t>2</w:t>
            </w:r>
          </w:p>
        </w:tc>
        <w:tc>
          <w:tcPr>
            <w:tcW w:w="3296" w:type="dxa"/>
            <w:shd w:val="clear" w:color="auto" w:fill="auto"/>
            <w:tcMar>
              <w:bottom w:w="58" w:type="dxa"/>
            </w:tcMar>
          </w:tcPr>
          <w:p w:rsidR="00B22F88" w:rsidRPr="004D72DD" w:rsidRDefault="00B22F88" w:rsidP="00C31F62">
            <w:pPr>
              <w:jc w:val="left"/>
              <w:rPr>
                <w:sz w:val="18"/>
              </w:rPr>
            </w:pPr>
            <w:r w:rsidRPr="004D72DD">
              <w:rPr>
                <w:sz w:val="18"/>
              </w:rPr>
              <w:t>0.484-acre parcel of land valued at $21,054</w:t>
            </w:r>
          </w:p>
        </w:tc>
      </w:tr>
      <w:tr w:rsidR="00B22F88" w:rsidRPr="004D72DD" w:rsidTr="003E21D9">
        <w:trPr>
          <w:jc w:val="center"/>
        </w:trPr>
        <w:tc>
          <w:tcPr>
            <w:tcW w:w="3311" w:type="dxa"/>
            <w:shd w:val="clear" w:color="auto" w:fill="auto"/>
            <w:tcMar>
              <w:bottom w:w="58" w:type="dxa"/>
            </w:tcMar>
          </w:tcPr>
          <w:p w:rsidR="00B22F88" w:rsidRPr="004D72DD" w:rsidRDefault="00B22F88" w:rsidP="00C31F62">
            <w:pPr>
              <w:spacing w:after="60"/>
              <w:jc w:val="left"/>
              <w:rPr>
                <w:sz w:val="18"/>
              </w:rPr>
            </w:pPr>
            <w:r w:rsidRPr="004D72DD">
              <w:rPr>
                <w:sz w:val="18"/>
              </w:rPr>
              <w:t xml:space="preserve">Prairie School District </w:t>
            </w:r>
          </w:p>
        </w:tc>
        <w:tc>
          <w:tcPr>
            <w:tcW w:w="3383" w:type="dxa"/>
            <w:gridSpan w:val="2"/>
            <w:shd w:val="clear" w:color="auto" w:fill="auto"/>
            <w:tcMar>
              <w:bottom w:w="58" w:type="dxa"/>
            </w:tcMar>
          </w:tcPr>
          <w:p w:rsidR="00B22F88" w:rsidRPr="004D72DD" w:rsidRDefault="00B22F88" w:rsidP="00C31F62">
            <w:pPr>
              <w:pStyle w:val="BodyText"/>
              <w:keepNext/>
              <w:keepLines/>
              <w:spacing w:after="0"/>
              <w:ind w:right="-208"/>
              <w:jc w:val="left"/>
              <w:rPr>
                <w:sz w:val="18"/>
              </w:rPr>
            </w:pPr>
            <w:r w:rsidRPr="004D72DD">
              <w:rPr>
                <w:sz w:val="18"/>
              </w:rPr>
              <w:t>PK</w:t>
            </w:r>
            <w:r w:rsidRPr="004D72DD">
              <w:rPr>
                <w:sz w:val="18"/>
              </w:rPr>
              <w:noBreakHyphen/>
              <w:t>12 school</w:t>
            </w:r>
          </w:p>
          <w:p w:rsidR="00B22F88" w:rsidRPr="004D72DD" w:rsidRDefault="00B22F88" w:rsidP="00C31F62">
            <w:pPr>
              <w:pStyle w:val="BodyText"/>
              <w:keepNext/>
              <w:keepLines/>
              <w:spacing w:after="0"/>
              <w:ind w:right="-208"/>
              <w:jc w:val="left"/>
              <w:rPr>
                <w:sz w:val="18"/>
              </w:rPr>
            </w:pPr>
            <w:r w:rsidRPr="004D72DD">
              <w:rPr>
                <w:sz w:val="18"/>
              </w:rPr>
              <w:t>(57,764 sq. ft. w/ 20 classrooms)</w:t>
            </w:r>
            <w:r w:rsidRPr="004D72DD">
              <w:rPr>
                <w:sz w:val="18"/>
                <w:vertAlign w:val="superscript"/>
              </w:rPr>
              <w:t>2,3</w:t>
            </w:r>
          </w:p>
        </w:tc>
        <w:tc>
          <w:tcPr>
            <w:tcW w:w="3296" w:type="dxa"/>
            <w:shd w:val="clear" w:color="auto" w:fill="auto"/>
            <w:tcMar>
              <w:bottom w:w="58" w:type="dxa"/>
            </w:tcMar>
          </w:tcPr>
          <w:p w:rsidR="00B22F88" w:rsidRPr="004D72DD" w:rsidRDefault="00B22F88" w:rsidP="00C31F62">
            <w:pPr>
              <w:pStyle w:val="BodyText"/>
              <w:keepNext/>
              <w:keepLines/>
              <w:spacing w:after="0"/>
              <w:ind w:right="-208"/>
              <w:jc w:val="left"/>
              <w:rPr>
                <w:sz w:val="18"/>
              </w:rPr>
            </w:pPr>
            <w:r w:rsidRPr="004D72DD">
              <w:rPr>
                <w:sz w:val="18"/>
              </w:rPr>
              <w:t>24.394-acre parcel of land valued at $2,486</w:t>
            </w:r>
          </w:p>
        </w:tc>
      </w:tr>
      <w:tr w:rsidR="00B22F88" w:rsidRPr="004D72DD" w:rsidTr="003E21D9">
        <w:trPr>
          <w:jc w:val="center"/>
        </w:trPr>
        <w:tc>
          <w:tcPr>
            <w:tcW w:w="3311" w:type="dxa"/>
            <w:tcBorders>
              <w:bottom w:val="single" w:sz="4" w:space="0" w:color="auto"/>
            </w:tcBorders>
            <w:shd w:val="clear" w:color="auto" w:fill="auto"/>
            <w:tcMar>
              <w:bottom w:w="58" w:type="dxa"/>
            </w:tcMar>
          </w:tcPr>
          <w:p w:rsidR="00B22F88" w:rsidRPr="004D72DD" w:rsidRDefault="00B22F88" w:rsidP="00C31F62">
            <w:pPr>
              <w:spacing w:after="60"/>
              <w:jc w:val="left"/>
              <w:rPr>
                <w:sz w:val="18"/>
              </w:rPr>
            </w:pPr>
            <w:r w:rsidRPr="004D72DD">
              <w:rPr>
                <w:sz w:val="18"/>
              </w:rPr>
              <w:t xml:space="preserve">Sanford School District </w:t>
            </w:r>
          </w:p>
        </w:tc>
        <w:tc>
          <w:tcPr>
            <w:tcW w:w="3383" w:type="dxa"/>
            <w:gridSpan w:val="2"/>
            <w:tcBorders>
              <w:bottom w:val="single" w:sz="4" w:space="0" w:color="auto"/>
            </w:tcBorders>
            <w:shd w:val="clear" w:color="auto" w:fill="auto"/>
            <w:tcMar>
              <w:bottom w:w="58" w:type="dxa"/>
            </w:tcMar>
          </w:tcPr>
          <w:p w:rsidR="00B22F88" w:rsidRPr="004D72DD" w:rsidRDefault="00B22F88" w:rsidP="00C31F62">
            <w:pPr>
              <w:pStyle w:val="BodyText"/>
              <w:keepNext/>
              <w:keepLines/>
              <w:spacing w:after="0"/>
              <w:ind w:right="-208"/>
              <w:jc w:val="left"/>
              <w:rPr>
                <w:sz w:val="18"/>
              </w:rPr>
            </w:pPr>
            <w:r w:rsidRPr="004D72DD">
              <w:rPr>
                <w:sz w:val="18"/>
              </w:rPr>
              <w:t>Bus barn and building</w:t>
            </w:r>
            <w:r w:rsidRPr="004D72DD">
              <w:rPr>
                <w:sz w:val="18"/>
                <w:vertAlign w:val="superscript"/>
              </w:rPr>
              <w:t>2</w:t>
            </w:r>
          </w:p>
        </w:tc>
        <w:tc>
          <w:tcPr>
            <w:tcW w:w="3296" w:type="dxa"/>
            <w:tcBorders>
              <w:bottom w:val="single" w:sz="4" w:space="0" w:color="auto"/>
            </w:tcBorders>
            <w:shd w:val="clear" w:color="auto" w:fill="auto"/>
            <w:tcMar>
              <w:bottom w:w="58" w:type="dxa"/>
            </w:tcMar>
          </w:tcPr>
          <w:p w:rsidR="00B22F88" w:rsidRPr="004D72DD" w:rsidRDefault="00B22F88" w:rsidP="00C31F62">
            <w:pPr>
              <w:pStyle w:val="BodyText"/>
              <w:keepNext/>
              <w:keepLines/>
              <w:spacing w:after="0"/>
              <w:ind w:right="-208"/>
              <w:jc w:val="left"/>
              <w:rPr>
                <w:sz w:val="18"/>
              </w:rPr>
            </w:pPr>
            <w:r w:rsidRPr="004D72DD">
              <w:rPr>
                <w:sz w:val="18"/>
              </w:rPr>
              <w:t xml:space="preserve">2.685-acre parcel of land valued </w:t>
            </w:r>
            <w:r w:rsidRPr="004D72DD">
              <w:rPr>
                <w:sz w:val="18"/>
              </w:rPr>
              <w:br/>
              <w:t>at $2,658</w:t>
            </w:r>
          </w:p>
        </w:tc>
      </w:tr>
      <w:tr w:rsidR="00B22F88" w:rsidRPr="004D72DD" w:rsidTr="003E21D9">
        <w:trPr>
          <w:jc w:val="center"/>
        </w:trPr>
        <w:tc>
          <w:tcPr>
            <w:tcW w:w="9990" w:type="dxa"/>
            <w:gridSpan w:val="4"/>
            <w:tcBorders>
              <w:top w:val="single" w:sz="4" w:space="0" w:color="auto"/>
            </w:tcBorders>
            <w:shd w:val="clear" w:color="auto" w:fill="auto"/>
            <w:tcMar>
              <w:bottom w:w="58" w:type="dxa"/>
            </w:tcMar>
          </w:tcPr>
          <w:p w:rsidR="00B22F88" w:rsidRPr="005C6FA1" w:rsidRDefault="00B22F88" w:rsidP="00C31F62">
            <w:pPr>
              <w:keepNext/>
              <w:spacing w:before="80" w:after="80"/>
              <w:jc w:val="left"/>
              <w:rPr>
                <w:i/>
                <w:sz w:val="16"/>
                <w:szCs w:val="18"/>
              </w:rPr>
            </w:pPr>
            <w:r w:rsidRPr="004D72DD">
              <w:rPr>
                <w:b/>
                <w:sz w:val="18"/>
                <w:szCs w:val="18"/>
              </w:rPr>
              <w:t>Series 2012H Certificates</w:t>
            </w:r>
            <w:r w:rsidR="005C6FA1">
              <w:rPr>
                <w:b/>
                <w:sz w:val="18"/>
                <w:szCs w:val="18"/>
              </w:rPr>
              <w:t xml:space="preserve"> </w:t>
            </w:r>
            <w:r w:rsidR="005C6FA1">
              <w:rPr>
                <w:i/>
                <w:sz w:val="18"/>
                <w:szCs w:val="18"/>
              </w:rPr>
              <w:t>(The Series 2012H Certificates were partially refunded and defeased by the Series 2019P Certificates)</w:t>
            </w:r>
          </w:p>
        </w:tc>
      </w:tr>
      <w:tr w:rsidR="00B22F88" w:rsidRPr="004D72DD" w:rsidTr="003E21D9">
        <w:trPr>
          <w:jc w:val="center"/>
        </w:trPr>
        <w:tc>
          <w:tcPr>
            <w:tcW w:w="3311" w:type="dxa"/>
            <w:shd w:val="clear" w:color="auto" w:fill="auto"/>
            <w:tcMar>
              <w:bottom w:w="58" w:type="dxa"/>
            </w:tcMar>
          </w:tcPr>
          <w:p w:rsidR="00B22F88" w:rsidRPr="004D72DD" w:rsidRDefault="00B22F88" w:rsidP="00C31F62">
            <w:pPr>
              <w:pStyle w:val="BodyText"/>
              <w:spacing w:after="0"/>
              <w:ind w:right="92"/>
              <w:jc w:val="left"/>
              <w:rPr>
                <w:sz w:val="18"/>
              </w:rPr>
            </w:pPr>
            <w:r w:rsidRPr="004D72DD">
              <w:rPr>
                <w:sz w:val="18"/>
              </w:rPr>
              <w:t>Elbert School District No. 200</w:t>
            </w:r>
          </w:p>
        </w:tc>
        <w:tc>
          <w:tcPr>
            <w:tcW w:w="3383" w:type="dxa"/>
            <w:gridSpan w:val="2"/>
            <w:shd w:val="clear" w:color="auto" w:fill="auto"/>
            <w:tcMar>
              <w:bottom w:w="58" w:type="dxa"/>
            </w:tcMar>
          </w:tcPr>
          <w:p w:rsidR="00B22F88" w:rsidRPr="004D72DD" w:rsidRDefault="00B22F88" w:rsidP="00C31F62">
            <w:pPr>
              <w:pStyle w:val="BodyText"/>
              <w:spacing w:after="0"/>
              <w:ind w:right="-208"/>
              <w:jc w:val="left"/>
              <w:rPr>
                <w:sz w:val="18"/>
              </w:rPr>
            </w:pPr>
            <w:r w:rsidRPr="004D72DD">
              <w:rPr>
                <w:sz w:val="18"/>
              </w:rPr>
              <w:t>PK</w:t>
            </w:r>
            <w:r w:rsidRPr="004D72DD">
              <w:rPr>
                <w:sz w:val="18"/>
              </w:rPr>
              <w:noBreakHyphen/>
              <w:t>12 school</w:t>
            </w:r>
          </w:p>
          <w:p w:rsidR="00B22F88" w:rsidRPr="004D72DD" w:rsidRDefault="00B22F88" w:rsidP="00C31F62">
            <w:pPr>
              <w:pStyle w:val="BodyText"/>
              <w:spacing w:after="0"/>
              <w:ind w:right="-208"/>
              <w:jc w:val="left"/>
              <w:rPr>
                <w:sz w:val="18"/>
              </w:rPr>
            </w:pPr>
            <w:r w:rsidRPr="004D72DD">
              <w:rPr>
                <w:sz w:val="18"/>
              </w:rPr>
              <w:t>73,869 sq. ft. w/ 25 classrooms</w:t>
            </w:r>
            <w:r w:rsidRPr="004D72DD">
              <w:rPr>
                <w:sz w:val="18"/>
                <w:szCs w:val="18"/>
                <w:vertAlign w:val="superscript"/>
              </w:rPr>
              <w:t>2</w:t>
            </w:r>
          </w:p>
        </w:tc>
        <w:tc>
          <w:tcPr>
            <w:tcW w:w="3296" w:type="dxa"/>
            <w:shd w:val="clear" w:color="auto" w:fill="auto"/>
            <w:tcMar>
              <w:bottom w:w="58" w:type="dxa"/>
            </w:tcMar>
          </w:tcPr>
          <w:p w:rsidR="00B22F88" w:rsidRPr="004D72DD" w:rsidRDefault="00B22F88" w:rsidP="00C31F62">
            <w:pPr>
              <w:jc w:val="left"/>
              <w:rPr>
                <w:sz w:val="18"/>
                <w:szCs w:val="18"/>
              </w:rPr>
            </w:pPr>
            <w:r w:rsidRPr="004D72DD">
              <w:rPr>
                <w:sz w:val="18"/>
                <w:szCs w:val="18"/>
              </w:rPr>
              <w:t>10.1-acre parcel of land valued at $46,739</w:t>
            </w:r>
          </w:p>
        </w:tc>
      </w:tr>
      <w:tr w:rsidR="00B22F88" w:rsidRPr="004D72DD" w:rsidTr="003E21D9">
        <w:trPr>
          <w:jc w:val="center"/>
        </w:trPr>
        <w:tc>
          <w:tcPr>
            <w:tcW w:w="3311" w:type="dxa"/>
            <w:shd w:val="clear" w:color="auto" w:fill="auto"/>
            <w:tcMar>
              <w:bottom w:w="58" w:type="dxa"/>
            </w:tcMar>
          </w:tcPr>
          <w:p w:rsidR="00B22F88" w:rsidRPr="004D72DD" w:rsidRDefault="00B22F88" w:rsidP="00C31F62">
            <w:pPr>
              <w:pStyle w:val="BodyText"/>
              <w:spacing w:after="0"/>
              <w:ind w:right="92"/>
              <w:jc w:val="left"/>
              <w:rPr>
                <w:sz w:val="18"/>
              </w:rPr>
            </w:pPr>
            <w:r w:rsidRPr="004D72DD">
              <w:rPr>
                <w:sz w:val="18"/>
              </w:rPr>
              <w:t>Genoa-Hugo School District No. C-113</w:t>
            </w:r>
          </w:p>
        </w:tc>
        <w:tc>
          <w:tcPr>
            <w:tcW w:w="3383" w:type="dxa"/>
            <w:gridSpan w:val="2"/>
            <w:shd w:val="clear" w:color="auto" w:fill="auto"/>
            <w:tcMar>
              <w:bottom w:w="58" w:type="dxa"/>
            </w:tcMar>
          </w:tcPr>
          <w:p w:rsidR="00B22F88" w:rsidRPr="004D72DD" w:rsidRDefault="00B22F88" w:rsidP="00C31F62">
            <w:pPr>
              <w:pStyle w:val="BodyText"/>
              <w:spacing w:after="0"/>
              <w:ind w:right="-208"/>
              <w:jc w:val="left"/>
              <w:rPr>
                <w:sz w:val="18"/>
              </w:rPr>
            </w:pPr>
            <w:r w:rsidRPr="004D72DD">
              <w:rPr>
                <w:sz w:val="18"/>
              </w:rPr>
              <w:t>South wing of PK</w:t>
            </w:r>
            <w:r w:rsidRPr="004D72DD">
              <w:rPr>
                <w:sz w:val="18"/>
              </w:rPr>
              <w:noBreakHyphen/>
              <w:t>12 school</w:t>
            </w:r>
          </w:p>
          <w:p w:rsidR="00B22F88" w:rsidRPr="004D72DD" w:rsidRDefault="00B22F88" w:rsidP="00C31F62">
            <w:pPr>
              <w:pStyle w:val="BodyText"/>
              <w:spacing w:after="0"/>
              <w:ind w:right="-208"/>
              <w:jc w:val="left"/>
              <w:rPr>
                <w:sz w:val="18"/>
              </w:rPr>
            </w:pPr>
            <w:r w:rsidRPr="004D72DD">
              <w:rPr>
                <w:sz w:val="18"/>
              </w:rPr>
              <w:t>37,902 sq. ft.</w:t>
            </w:r>
            <w:r w:rsidRPr="004D72DD">
              <w:rPr>
                <w:sz w:val="18"/>
                <w:szCs w:val="18"/>
                <w:vertAlign w:val="superscript"/>
              </w:rPr>
              <w:t>2</w:t>
            </w:r>
          </w:p>
        </w:tc>
        <w:tc>
          <w:tcPr>
            <w:tcW w:w="3296" w:type="dxa"/>
            <w:shd w:val="clear" w:color="auto" w:fill="auto"/>
            <w:tcMar>
              <w:bottom w:w="58" w:type="dxa"/>
            </w:tcMar>
          </w:tcPr>
          <w:p w:rsidR="00B22F88" w:rsidRPr="004D72DD" w:rsidRDefault="00B22F88" w:rsidP="00C31F62">
            <w:pPr>
              <w:jc w:val="left"/>
              <w:rPr>
                <w:sz w:val="18"/>
                <w:szCs w:val="18"/>
              </w:rPr>
            </w:pPr>
            <w:r w:rsidRPr="004D72DD">
              <w:rPr>
                <w:sz w:val="18"/>
                <w:szCs w:val="18"/>
              </w:rPr>
              <w:t>8.66-acre parcel of land valued at $6,381</w:t>
            </w:r>
          </w:p>
        </w:tc>
      </w:tr>
      <w:tr w:rsidR="00B22F88" w:rsidRPr="004D72DD" w:rsidTr="003E21D9">
        <w:trPr>
          <w:jc w:val="center"/>
        </w:trPr>
        <w:tc>
          <w:tcPr>
            <w:tcW w:w="3311" w:type="dxa"/>
            <w:shd w:val="clear" w:color="auto" w:fill="auto"/>
            <w:tcMar>
              <w:bottom w:w="58" w:type="dxa"/>
            </w:tcMar>
          </w:tcPr>
          <w:p w:rsidR="00B22F88" w:rsidRPr="004D72DD" w:rsidRDefault="00B22F88" w:rsidP="00C31F62">
            <w:pPr>
              <w:pStyle w:val="BodyText"/>
              <w:spacing w:after="0"/>
              <w:ind w:right="92"/>
              <w:jc w:val="left"/>
              <w:rPr>
                <w:sz w:val="18"/>
              </w:rPr>
            </w:pPr>
            <w:r w:rsidRPr="004D72DD">
              <w:rPr>
                <w:sz w:val="18"/>
              </w:rPr>
              <w:t>Greeley School District No. 6</w:t>
            </w:r>
          </w:p>
        </w:tc>
        <w:tc>
          <w:tcPr>
            <w:tcW w:w="3383" w:type="dxa"/>
            <w:gridSpan w:val="2"/>
            <w:shd w:val="clear" w:color="auto" w:fill="auto"/>
            <w:tcMar>
              <w:bottom w:w="58" w:type="dxa"/>
            </w:tcMar>
          </w:tcPr>
          <w:p w:rsidR="00B22F88" w:rsidRPr="004D72DD" w:rsidRDefault="00B22F88" w:rsidP="00C31F62">
            <w:pPr>
              <w:pStyle w:val="BodyText"/>
              <w:spacing w:after="0"/>
              <w:ind w:right="-208"/>
              <w:jc w:val="left"/>
              <w:rPr>
                <w:sz w:val="18"/>
              </w:rPr>
            </w:pPr>
            <w:r w:rsidRPr="004D72DD">
              <w:rPr>
                <w:sz w:val="18"/>
              </w:rPr>
              <w:t>Middle school</w:t>
            </w:r>
          </w:p>
          <w:p w:rsidR="00B22F88" w:rsidRPr="004D72DD" w:rsidRDefault="00B22F88" w:rsidP="00C31F62">
            <w:pPr>
              <w:pStyle w:val="BodyText"/>
              <w:spacing w:after="0"/>
              <w:ind w:right="-208"/>
              <w:jc w:val="left"/>
              <w:rPr>
                <w:sz w:val="18"/>
              </w:rPr>
            </w:pPr>
            <w:r w:rsidRPr="004D72DD">
              <w:rPr>
                <w:sz w:val="18"/>
              </w:rPr>
              <w:t>103,267 sq. ft. w/ 36 classrooms</w:t>
            </w:r>
            <w:r w:rsidRPr="004D72DD">
              <w:rPr>
                <w:sz w:val="18"/>
                <w:szCs w:val="18"/>
                <w:vertAlign w:val="superscript"/>
              </w:rPr>
              <w:t>2</w:t>
            </w:r>
          </w:p>
        </w:tc>
        <w:tc>
          <w:tcPr>
            <w:tcW w:w="3296" w:type="dxa"/>
            <w:shd w:val="clear" w:color="auto" w:fill="auto"/>
            <w:tcMar>
              <w:bottom w:w="58" w:type="dxa"/>
            </w:tcMar>
          </w:tcPr>
          <w:p w:rsidR="00B22F88" w:rsidRPr="004D72DD" w:rsidRDefault="00B22F88" w:rsidP="00C31F62">
            <w:pPr>
              <w:jc w:val="left"/>
              <w:rPr>
                <w:sz w:val="18"/>
                <w:szCs w:val="18"/>
              </w:rPr>
            </w:pPr>
            <w:r w:rsidRPr="004D72DD">
              <w:rPr>
                <w:sz w:val="18"/>
                <w:szCs w:val="18"/>
              </w:rPr>
              <w:t>20.0-acre parcel of land valued at $3,386</w:t>
            </w:r>
          </w:p>
        </w:tc>
      </w:tr>
      <w:tr w:rsidR="00B22F88" w:rsidRPr="004D72DD" w:rsidTr="003E21D9">
        <w:trPr>
          <w:jc w:val="center"/>
        </w:trPr>
        <w:tc>
          <w:tcPr>
            <w:tcW w:w="3311" w:type="dxa"/>
            <w:shd w:val="clear" w:color="auto" w:fill="auto"/>
            <w:tcMar>
              <w:bottom w:w="58" w:type="dxa"/>
            </w:tcMar>
          </w:tcPr>
          <w:p w:rsidR="00B22F88" w:rsidRPr="004D72DD" w:rsidRDefault="00B22F88" w:rsidP="00C31F62">
            <w:pPr>
              <w:pStyle w:val="BodyText"/>
              <w:spacing w:after="0"/>
              <w:ind w:right="92"/>
              <w:jc w:val="left"/>
              <w:rPr>
                <w:sz w:val="18"/>
              </w:rPr>
            </w:pPr>
            <w:r w:rsidRPr="004D72DD">
              <w:rPr>
                <w:sz w:val="18"/>
              </w:rPr>
              <w:t>Hi-Plains School District No. R-23</w:t>
            </w:r>
          </w:p>
        </w:tc>
        <w:tc>
          <w:tcPr>
            <w:tcW w:w="3383" w:type="dxa"/>
            <w:gridSpan w:val="2"/>
            <w:shd w:val="clear" w:color="auto" w:fill="auto"/>
            <w:tcMar>
              <w:bottom w:w="58" w:type="dxa"/>
            </w:tcMar>
          </w:tcPr>
          <w:p w:rsidR="00B22F88" w:rsidRPr="004D72DD" w:rsidRDefault="00B22F88" w:rsidP="00C31F62">
            <w:pPr>
              <w:pStyle w:val="BodyText"/>
              <w:spacing w:after="0"/>
              <w:ind w:right="-208"/>
              <w:jc w:val="left"/>
              <w:rPr>
                <w:sz w:val="18"/>
              </w:rPr>
            </w:pPr>
            <w:r w:rsidRPr="004D72DD">
              <w:rPr>
                <w:sz w:val="18"/>
              </w:rPr>
              <w:t>PK</w:t>
            </w:r>
            <w:r w:rsidRPr="004D72DD">
              <w:rPr>
                <w:sz w:val="18"/>
              </w:rPr>
              <w:noBreakHyphen/>
              <w:t>12 school</w:t>
            </w:r>
          </w:p>
          <w:p w:rsidR="00B22F88" w:rsidRPr="004D72DD" w:rsidRDefault="00B22F88" w:rsidP="00C31F62">
            <w:pPr>
              <w:pStyle w:val="BodyText"/>
              <w:spacing w:after="0"/>
              <w:ind w:right="-208"/>
              <w:jc w:val="left"/>
              <w:rPr>
                <w:sz w:val="18"/>
              </w:rPr>
            </w:pPr>
            <w:r w:rsidRPr="004D72DD">
              <w:rPr>
                <w:sz w:val="18"/>
              </w:rPr>
              <w:t>51, 268 sq. ft. w/ 20 classrooms</w:t>
            </w:r>
            <w:r w:rsidRPr="004D72DD">
              <w:rPr>
                <w:sz w:val="18"/>
                <w:szCs w:val="18"/>
                <w:vertAlign w:val="superscript"/>
              </w:rPr>
              <w:t>2</w:t>
            </w:r>
          </w:p>
        </w:tc>
        <w:tc>
          <w:tcPr>
            <w:tcW w:w="3296" w:type="dxa"/>
            <w:shd w:val="clear" w:color="auto" w:fill="auto"/>
            <w:tcMar>
              <w:bottom w:w="58" w:type="dxa"/>
            </w:tcMar>
          </w:tcPr>
          <w:p w:rsidR="00B22F88" w:rsidRPr="004D72DD" w:rsidRDefault="00B22F88" w:rsidP="00C31F62">
            <w:pPr>
              <w:jc w:val="left"/>
              <w:rPr>
                <w:sz w:val="18"/>
                <w:szCs w:val="18"/>
              </w:rPr>
            </w:pPr>
            <w:r w:rsidRPr="004D72DD">
              <w:rPr>
                <w:sz w:val="18"/>
                <w:szCs w:val="18"/>
              </w:rPr>
              <w:t>40-acre parcel of land valued at $34,000</w:t>
            </w:r>
          </w:p>
        </w:tc>
      </w:tr>
      <w:tr w:rsidR="00B22F88" w:rsidRPr="004D72DD" w:rsidTr="003E21D9">
        <w:trPr>
          <w:jc w:val="center"/>
        </w:trPr>
        <w:tc>
          <w:tcPr>
            <w:tcW w:w="3311" w:type="dxa"/>
            <w:shd w:val="clear" w:color="auto" w:fill="auto"/>
            <w:tcMar>
              <w:bottom w:w="58" w:type="dxa"/>
            </w:tcMar>
          </w:tcPr>
          <w:p w:rsidR="00B22F88" w:rsidRPr="004D72DD" w:rsidRDefault="00B22F88" w:rsidP="00C31F62">
            <w:pPr>
              <w:pStyle w:val="BodyText"/>
              <w:spacing w:after="0"/>
              <w:ind w:right="86"/>
              <w:jc w:val="left"/>
              <w:rPr>
                <w:sz w:val="18"/>
              </w:rPr>
            </w:pPr>
            <w:r w:rsidRPr="004D72DD">
              <w:rPr>
                <w:sz w:val="18"/>
              </w:rPr>
              <w:t>Lake County School District No. R-1</w:t>
            </w:r>
          </w:p>
        </w:tc>
        <w:tc>
          <w:tcPr>
            <w:tcW w:w="3383" w:type="dxa"/>
            <w:gridSpan w:val="2"/>
            <w:shd w:val="clear" w:color="auto" w:fill="auto"/>
            <w:tcMar>
              <w:bottom w:w="58" w:type="dxa"/>
            </w:tcMar>
          </w:tcPr>
          <w:p w:rsidR="00B22F88" w:rsidRPr="004D72DD" w:rsidRDefault="00B22F88" w:rsidP="00C31F62">
            <w:pPr>
              <w:pStyle w:val="BodyText"/>
              <w:spacing w:after="0"/>
              <w:ind w:right="-208"/>
              <w:jc w:val="left"/>
              <w:rPr>
                <w:sz w:val="18"/>
              </w:rPr>
            </w:pPr>
            <w:r w:rsidRPr="004D72DD">
              <w:rPr>
                <w:sz w:val="18"/>
              </w:rPr>
              <w:t>High school addition</w:t>
            </w:r>
          </w:p>
          <w:p w:rsidR="00B22F88" w:rsidRPr="004D72DD" w:rsidRDefault="00B22F88" w:rsidP="00C31F62">
            <w:pPr>
              <w:pStyle w:val="BodyText"/>
              <w:spacing w:after="0"/>
              <w:ind w:right="-208"/>
              <w:jc w:val="left"/>
              <w:rPr>
                <w:sz w:val="18"/>
              </w:rPr>
            </w:pPr>
            <w:r w:rsidRPr="004D72DD">
              <w:rPr>
                <w:sz w:val="18"/>
              </w:rPr>
              <w:t>38,000 sq. ft. w/ 15 classrooms</w:t>
            </w:r>
            <w:r w:rsidRPr="004D72DD">
              <w:rPr>
                <w:sz w:val="18"/>
                <w:szCs w:val="18"/>
                <w:vertAlign w:val="superscript"/>
              </w:rPr>
              <w:t>2,</w:t>
            </w:r>
            <w:r w:rsidRPr="004D72DD">
              <w:rPr>
                <w:sz w:val="18"/>
                <w:vertAlign w:val="superscript"/>
              </w:rPr>
              <w:t>4</w:t>
            </w:r>
          </w:p>
        </w:tc>
        <w:tc>
          <w:tcPr>
            <w:tcW w:w="3296" w:type="dxa"/>
            <w:shd w:val="clear" w:color="auto" w:fill="auto"/>
            <w:tcMar>
              <w:bottom w:w="58" w:type="dxa"/>
            </w:tcMar>
          </w:tcPr>
          <w:p w:rsidR="00B22F88" w:rsidRPr="004D72DD" w:rsidRDefault="00B22F88" w:rsidP="00C31F62">
            <w:pPr>
              <w:jc w:val="left"/>
              <w:rPr>
                <w:sz w:val="18"/>
                <w:szCs w:val="18"/>
              </w:rPr>
            </w:pPr>
            <w:r w:rsidRPr="004D72DD">
              <w:rPr>
                <w:sz w:val="18"/>
                <w:szCs w:val="18"/>
              </w:rPr>
              <w:t>2.09-acre parcel of land valued at $21,326</w:t>
            </w:r>
          </w:p>
        </w:tc>
      </w:tr>
      <w:tr w:rsidR="00B22F88" w:rsidRPr="004D72DD" w:rsidTr="003E21D9">
        <w:trPr>
          <w:jc w:val="center"/>
        </w:trPr>
        <w:tc>
          <w:tcPr>
            <w:tcW w:w="3311" w:type="dxa"/>
            <w:shd w:val="clear" w:color="auto" w:fill="auto"/>
            <w:tcMar>
              <w:bottom w:w="58" w:type="dxa"/>
            </w:tcMar>
          </w:tcPr>
          <w:p w:rsidR="00B22F88" w:rsidRPr="004D72DD" w:rsidRDefault="00B22F88" w:rsidP="00C31F62">
            <w:pPr>
              <w:pStyle w:val="BodyText"/>
              <w:spacing w:after="0"/>
              <w:ind w:right="92"/>
              <w:jc w:val="left"/>
              <w:rPr>
                <w:sz w:val="18"/>
              </w:rPr>
            </w:pPr>
            <w:r w:rsidRPr="004D72DD">
              <w:rPr>
                <w:sz w:val="18"/>
              </w:rPr>
              <w:t>Montezuma-Cortez School District No. RE1</w:t>
            </w:r>
          </w:p>
        </w:tc>
        <w:tc>
          <w:tcPr>
            <w:tcW w:w="3383" w:type="dxa"/>
            <w:gridSpan w:val="2"/>
            <w:shd w:val="clear" w:color="auto" w:fill="auto"/>
            <w:tcMar>
              <w:bottom w:w="58" w:type="dxa"/>
            </w:tcMar>
          </w:tcPr>
          <w:p w:rsidR="00B22F88" w:rsidRPr="004D72DD" w:rsidRDefault="00B22F88" w:rsidP="00C31F62">
            <w:pPr>
              <w:pStyle w:val="BodyText"/>
              <w:spacing w:after="0"/>
              <w:ind w:right="-208"/>
              <w:jc w:val="left"/>
              <w:rPr>
                <w:sz w:val="18"/>
              </w:rPr>
            </w:pPr>
            <w:r w:rsidRPr="004D72DD">
              <w:rPr>
                <w:sz w:val="18"/>
              </w:rPr>
              <w:t xml:space="preserve">High school </w:t>
            </w:r>
          </w:p>
          <w:p w:rsidR="00B22F88" w:rsidRPr="004D72DD" w:rsidRDefault="00B22F88" w:rsidP="00C31F62">
            <w:pPr>
              <w:pStyle w:val="BodyText"/>
              <w:spacing w:after="0"/>
              <w:ind w:right="-208"/>
              <w:jc w:val="left"/>
              <w:rPr>
                <w:sz w:val="18"/>
              </w:rPr>
            </w:pPr>
            <w:r w:rsidRPr="004D72DD">
              <w:rPr>
                <w:sz w:val="18"/>
              </w:rPr>
              <w:t>162,500 sq. ft. w/ 25 classrooms</w:t>
            </w:r>
            <w:r w:rsidRPr="004D72DD">
              <w:rPr>
                <w:sz w:val="18"/>
                <w:szCs w:val="18"/>
                <w:vertAlign w:val="superscript"/>
              </w:rPr>
              <w:t>2</w:t>
            </w:r>
          </w:p>
        </w:tc>
        <w:tc>
          <w:tcPr>
            <w:tcW w:w="3296" w:type="dxa"/>
            <w:shd w:val="clear" w:color="auto" w:fill="auto"/>
            <w:tcMar>
              <w:bottom w:w="58" w:type="dxa"/>
            </w:tcMar>
          </w:tcPr>
          <w:p w:rsidR="00B22F88" w:rsidRPr="004D72DD" w:rsidRDefault="00B22F88" w:rsidP="00C31F62">
            <w:pPr>
              <w:jc w:val="left"/>
              <w:rPr>
                <w:sz w:val="18"/>
                <w:szCs w:val="18"/>
              </w:rPr>
            </w:pPr>
            <w:r w:rsidRPr="004D72DD">
              <w:rPr>
                <w:sz w:val="18"/>
                <w:szCs w:val="18"/>
              </w:rPr>
              <w:t>35.47-acre parcel of land valued at $600,000</w:t>
            </w:r>
          </w:p>
        </w:tc>
      </w:tr>
      <w:tr w:rsidR="00B22F88" w:rsidRPr="004D72DD" w:rsidTr="003E21D9">
        <w:trPr>
          <w:jc w:val="center"/>
        </w:trPr>
        <w:tc>
          <w:tcPr>
            <w:tcW w:w="3311" w:type="dxa"/>
            <w:shd w:val="clear" w:color="auto" w:fill="auto"/>
            <w:tcMar>
              <w:bottom w:w="58" w:type="dxa"/>
            </w:tcMar>
          </w:tcPr>
          <w:p w:rsidR="00B22F88" w:rsidRPr="004D72DD" w:rsidRDefault="00B22F88" w:rsidP="00C31F62">
            <w:pPr>
              <w:pStyle w:val="BodyText"/>
              <w:spacing w:after="0"/>
              <w:ind w:right="92"/>
              <w:jc w:val="left"/>
              <w:rPr>
                <w:sz w:val="18"/>
              </w:rPr>
            </w:pPr>
            <w:r w:rsidRPr="004D72DD">
              <w:rPr>
                <w:sz w:val="18"/>
              </w:rPr>
              <w:t>Otis School District No. R-3</w:t>
            </w:r>
          </w:p>
        </w:tc>
        <w:tc>
          <w:tcPr>
            <w:tcW w:w="3383" w:type="dxa"/>
            <w:gridSpan w:val="2"/>
            <w:shd w:val="clear" w:color="auto" w:fill="auto"/>
            <w:tcMar>
              <w:bottom w:w="58" w:type="dxa"/>
            </w:tcMar>
          </w:tcPr>
          <w:p w:rsidR="00B22F88" w:rsidRPr="004D72DD" w:rsidRDefault="00B22F88" w:rsidP="00C31F62">
            <w:pPr>
              <w:pStyle w:val="BodyText"/>
              <w:spacing w:after="0"/>
              <w:ind w:right="92"/>
              <w:jc w:val="left"/>
              <w:rPr>
                <w:sz w:val="18"/>
              </w:rPr>
            </w:pPr>
            <w:r w:rsidRPr="004D72DD">
              <w:rPr>
                <w:sz w:val="18"/>
              </w:rPr>
              <w:t>PK</w:t>
            </w:r>
            <w:r w:rsidRPr="004D72DD">
              <w:rPr>
                <w:sz w:val="18"/>
              </w:rPr>
              <w:noBreakHyphen/>
              <w:t xml:space="preserve">12 school </w:t>
            </w:r>
          </w:p>
          <w:p w:rsidR="00B22F88" w:rsidRPr="004D72DD" w:rsidRDefault="00B22F88" w:rsidP="00C31F62">
            <w:pPr>
              <w:pStyle w:val="BodyText"/>
              <w:spacing w:after="0"/>
              <w:ind w:right="92"/>
              <w:jc w:val="left"/>
              <w:rPr>
                <w:sz w:val="18"/>
              </w:rPr>
            </w:pPr>
            <w:r w:rsidRPr="004D72DD">
              <w:rPr>
                <w:sz w:val="18"/>
              </w:rPr>
              <w:t>67,764 sq. ft. w/ 21 classrooms</w:t>
            </w:r>
            <w:r w:rsidRPr="004D72DD">
              <w:rPr>
                <w:sz w:val="18"/>
                <w:szCs w:val="18"/>
                <w:vertAlign w:val="superscript"/>
              </w:rPr>
              <w:t>2</w:t>
            </w:r>
          </w:p>
        </w:tc>
        <w:tc>
          <w:tcPr>
            <w:tcW w:w="3296" w:type="dxa"/>
            <w:shd w:val="clear" w:color="auto" w:fill="auto"/>
            <w:tcMar>
              <w:bottom w:w="58" w:type="dxa"/>
            </w:tcMar>
          </w:tcPr>
          <w:p w:rsidR="00B22F88" w:rsidRPr="004D72DD" w:rsidRDefault="00B22F88" w:rsidP="00C31F62">
            <w:pPr>
              <w:jc w:val="left"/>
              <w:rPr>
                <w:sz w:val="18"/>
                <w:szCs w:val="18"/>
              </w:rPr>
            </w:pPr>
            <w:r w:rsidRPr="004D72DD">
              <w:rPr>
                <w:sz w:val="18"/>
                <w:szCs w:val="18"/>
              </w:rPr>
              <w:t>13.45-acre parcel of land valued at $62,852</w:t>
            </w:r>
          </w:p>
        </w:tc>
      </w:tr>
      <w:tr w:rsidR="00B22F88" w:rsidRPr="004D72DD" w:rsidTr="003E21D9">
        <w:trPr>
          <w:jc w:val="center"/>
        </w:trPr>
        <w:tc>
          <w:tcPr>
            <w:tcW w:w="3311" w:type="dxa"/>
            <w:shd w:val="clear" w:color="auto" w:fill="auto"/>
            <w:tcMar>
              <w:bottom w:w="58" w:type="dxa"/>
            </w:tcMar>
          </w:tcPr>
          <w:p w:rsidR="00B22F88" w:rsidRPr="004D72DD" w:rsidRDefault="00B22F88" w:rsidP="00C31F62">
            <w:pPr>
              <w:pStyle w:val="BodyText"/>
              <w:spacing w:after="0"/>
              <w:ind w:right="92"/>
              <w:jc w:val="left"/>
              <w:rPr>
                <w:sz w:val="18"/>
              </w:rPr>
            </w:pPr>
            <w:r w:rsidRPr="004D72DD">
              <w:rPr>
                <w:sz w:val="18"/>
              </w:rPr>
              <w:t>Platte Valley School District No. RE3</w:t>
            </w:r>
          </w:p>
        </w:tc>
        <w:tc>
          <w:tcPr>
            <w:tcW w:w="3383" w:type="dxa"/>
            <w:gridSpan w:val="2"/>
            <w:shd w:val="clear" w:color="auto" w:fill="auto"/>
            <w:tcMar>
              <w:bottom w:w="58" w:type="dxa"/>
            </w:tcMar>
          </w:tcPr>
          <w:p w:rsidR="00B22F88" w:rsidRPr="004D72DD" w:rsidRDefault="00B22F88" w:rsidP="00C31F62">
            <w:pPr>
              <w:pStyle w:val="BodyText"/>
              <w:spacing w:after="0"/>
              <w:ind w:right="-208"/>
              <w:jc w:val="left"/>
              <w:rPr>
                <w:sz w:val="18"/>
              </w:rPr>
            </w:pPr>
            <w:r w:rsidRPr="004D72DD">
              <w:rPr>
                <w:sz w:val="18"/>
              </w:rPr>
              <w:t>Gym and weight room</w:t>
            </w:r>
          </w:p>
          <w:p w:rsidR="00B22F88" w:rsidRPr="004D72DD" w:rsidRDefault="00B22F88" w:rsidP="00C31F62">
            <w:pPr>
              <w:pStyle w:val="BodyText"/>
              <w:spacing w:after="0"/>
              <w:ind w:right="-208"/>
              <w:jc w:val="left"/>
              <w:rPr>
                <w:sz w:val="18"/>
              </w:rPr>
            </w:pPr>
            <w:r w:rsidRPr="004D72DD">
              <w:rPr>
                <w:sz w:val="18"/>
              </w:rPr>
              <w:t>19,273 sq. ft.</w:t>
            </w:r>
            <w:r w:rsidRPr="004D72DD">
              <w:rPr>
                <w:sz w:val="18"/>
                <w:szCs w:val="18"/>
                <w:vertAlign w:val="superscript"/>
              </w:rPr>
              <w:t>2</w:t>
            </w:r>
          </w:p>
        </w:tc>
        <w:tc>
          <w:tcPr>
            <w:tcW w:w="3296" w:type="dxa"/>
            <w:shd w:val="clear" w:color="auto" w:fill="auto"/>
            <w:tcMar>
              <w:bottom w:w="58" w:type="dxa"/>
            </w:tcMar>
          </w:tcPr>
          <w:p w:rsidR="00B22F88" w:rsidRPr="004D72DD" w:rsidRDefault="00B22F88" w:rsidP="00C31F62">
            <w:pPr>
              <w:jc w:val="left"/>
              <w:rPr>
                <w:sz w:val="18"/>
                <w:szCs w:val="18"/>
              </w:rPr>
            </w:pPr>
            <w:r w:rsidRPr="004D72DD">
              <w:rPr>
                <w:sz w:val="18"/>
                <w:szCs w:val="18"/>
              </w:rPr>
              <w:t>0.98-acre parcel of land valued at $2,421</w:t>
            </w:r>
          </w:p>
        </w:tc>
      </w:tr>
      <w:tr w:rsidR="00B22F88" w:rsidRPr="004D72DD" w:rsidTr="003E21D9">
        <w:trPr>
          <w:jc w:val="center"/>
        </w:trPr>
        <w:tc>
          <w:tcPr>
            <w:tcW w:w="3311" w:type="dxa"/>
            <w:tcBorders>
              <w:bottom w:val="single" w:sz="4" w:space="0" w:color="auto"/>
            </w:tcBorders>
            <w:shd w:val="clear" w:color="auto" w:fill="auto"/>
            <w:tcMar>
              <w:bottom w:w="58" w:type="dxa"/>
            </w:tcMar>
          </w:tcPr>
          <w:p w:rsidR="00B22F88" w:rsidRPr="004D72DD" w:rsidRDefault="00B22F88" w:rsidP="00C31F62">
            <w:pPr>
              <w:pStyle w:val="BodyText"/>
              <w:spacing w:after="0"/>
              <w:ind w:right="92"/>
              <w:jc w:val="left"/>
              <w:rPr>
                <w:sz w:val="18"/>
              </w:rPr>
            </w:pPr>
            <w:r w:rsidRPr="004D72DD">
              <w:rPr>
                <w:sz w:val="18"/>
              </w:rPr>
              <w:t>Sheridan School District No. 2</w:t>
            </w:r>
          </w:p>
        </w:tc>
        <w:tc>
          <w:tcPr>
            <w:tcW w:w="3383" w:type="dxa"/>
            <w:gridSpan w:val="2"/>
            <w:tcBorders>
              <w:bottom w:val="single" w:sz="4" w:space="0" w:color="auto"/>
            </w:tcBorders>
            <w:shd w:val="clear" w:color="auto" w:fill="auto"/>
            <w:tcMar>
              <w:bottom w:w="58" w:type="dxa"/>
            </w:tcMar>
          </w:tcPr>
          <w:p w:rsidR="00B22F88" w:rsidRPr="004D72DD" w:rsidRDefault="00B22F88" w:rsidP="00C31F62">
            <w:pPr>
              <w:pStyle w:val="BodyText"/>
              <w:spacing w:after="0"/>
              <w:ind w:right="-208"/>
              <w:jc w:val="left"/>
              <w:rPr>
                <w:sz w:val="18"/>
              </w:rPr>
            </w:pPr>
            <w:r w:rsidRPr="004D72DD">
              <w:rPr>
                <w:sz w:val="18"/>
              </w:rPr>
              <w:t>Early childhood center</w:t>
            </w:r>
            <w:r w:rsidRPr="004D72DD">
              <w:rPr>
                <w:sz w:val="18"/>
                <w:vertAlign w:val="superscript"/>
              </w:rPr>
              <w:t>2,3</w:t>
            </w:r>
          </w:p>
          <w:p w:rsidR="00B22F88" w:rsidRPr="004D72DD" w:rsidRDefault="00B22F88" w:rsidP="00C31F62">
            <w:pPr>
              <w:pStyle w:val="BodyText"/>
              <w:spacing w:after="0"/>
              <w:ind w:right="-208"/>
              <w:jc w:val="left"/>
              <w:rPr>
                <w:sz w:val="18"/>
              </w:rPr>
            </w:pPr>
            <w:r w:rsidRPr="004D72DD">
              <w:rPr>
                <w:sz w:val="18"/>
              </w:rPr>
              <w:t>129,927 sq. ft. w/ 49 classrooms</w:t>
            </w:r>
          </w:p>
        </w:tc>
        <w:tc>
          <w:tcPr>
            <w:tcW w:w="3296" w:type="dxa"/>
            <w:tcBorders>
              <w:bottom w:val="single" w:sz="4" w:space="0" w:color="auto"/>
            </w:tcBorders>
            <w:shd w:val="clear" w:color="auto" w:fill="auto"/>
            <w:tcMar>
              <w:bottom w:w="58" w:type="dxa"/>
            </w:tcMar>
          </w:tcPr>
          <w:p w:rsidR="00B22F88" w:rsidRPr="004D72DD" w:rsidRDefault="00B22F88" w:rsidP="00C31F62">
            <w:pPr>
              <w:jc w:val="left"/>
              <w:rPr>
                <w:sz w:val="18"/>
                <w:szCs w:val="18"/>
              </w:rPr>
            </w:pPr>
            <w:r w:rsidRPr="004D72DD">
              <w:rPr>
                <w:sz w:val="18"/>
                <w:szCs w:val="18"/>
              </w:rPr>
              <w:t>14.045-acre parcel of land valued at $1,774,220</w:t>
            </w:r>
          </w:p>
        </w:tc>
      </w:tr>
      <w:tr w:rsidR="00B22F88" w:rsidRPr="004D72DD" w:rsidTr="003E21D9">
        <w:trPr>
          <w:jc w:val="center"/>
        </w:trPr>
        <w:tc>
          <w:tcPr>
            <w:tcW w:w="9990" w:type="dxa"/>
            <w:gridSpan w:val="4"/>
            <w:shd w:val="clear" w:color="auto" w:fill="auto"/>
            <w:tcMar>
              <w:bottom w:w="58" w:type="dxa"/>
            </w:tcMar>
          </w:tcPr>
          <w:p w:rsidR="00B22F88" w:rsidRPr="005C6FA1" w:rsidRDefault="00B22F88" w:rsidP="00C31F62">
            <w:pPr>
              <w:spacing w:before="80" w:after="80"/>
              <w:jc w:val="left"/>
              <w:rPr>
                <w:i/>
                <w:sz w:val="18"/>
                <w:szCs w:val="18"/>
              </w:rPr>
            </w:pPr>
            <w:r w:rsidRPr="004D72DD">
              <w:rPr>
                <w:b/>
                <w:sz w:val="18"/>
                <w:szCs w:val="18"/>
              </w:rPr>
              <w:t>Series 2013I Certificates</w:t>
            </w:r>
            <w:r w:rsidR="005C6FA1">
              <w:rPr>
                <w:b/>
                <w:sz w:val="18"/>
                <w:szCs w:val="18"/>
              </w:rPr>
              <w:t xml:space="preserve"> </w:t>
            </w:r>
            <w:r w:rsidR="005C6FA1">
              <w:rPr>
                <w:i/>
                <w:sz w:val="18"/>
                <w:szCs w:val="18"/>
              </w:rPr>
              <w:t xml:space="preserve">(The Series 2013I Certificates were partially refunded </w:t>
            </w:r>
            <w:r w:rsidR="008B669D">
              <w:rPr>
                <w:i/>
                <w:sz w:val="18"/>
                <w:szCs w:val="18"/>
              </w:rPr>
              <w:t>and defeased by the Series 2019</w:t>
            </w:r>
            <w:r w:rsidR="005C6FA1">
              <w:rPr>
                <w:i/>
                <w:sz w:val="18"/>
                <w:szCs w:val="18"/>
              </w:rPr>
              <w:t>Q Certificates)</w:t>
            </w:r>
          </w:p>
        </w:tc>
      </w:tr>
      <w:tr w:rsidR="00B22F88" w:rsidRPr="004D72DD" w:rsidTr="003E21D9">
        <w:trPr>
          <w:jc w:val="center"/>
        </w:trPr>
        <w:tc>
          <w:tcPr>
            <w:tcW w:w="3311" w:type="dxa"/>
            <w:shd w:val="clear" w:color="auto" w:fill="auto"/>
            <w:tcMar>
              <w:bottom w:w="58" w:type="dxa"/>
            </w:tcMar>
          </w:tcPr>
          <w:p w:rsidR="00B22F88" w:rsidRPr="004D72DD" w:rsidRDefault="00B22F88" w:rsidP="00C31F62">
            <w:pPr>
              <w:pStyle w:val="BodyText"/>
              <w:spacing w:after="0"/>
              <w:ind w:right="92"/>
              <w:jc w:val="left"/>
              <w:rPr>
                <w:sz w:val="18"/>
              </w:rPr>
            </w:pPr>
            <w:r w:rsidRPr="004D72DD">
              <w:rPr>
                <w:sz w:val="18"/>
                <w:szCs w:val="18"/>
              </w:rPr>
              <w:t>Creede School District</w:t>
            </w:r>
          </w:p>
        </w:tc>
        <w:tc>
          <w:tcPr>
            <w:tcW w:w="3383" w:type="dxa"/>
            <w:gridSpan w:val="2"/>
            <w:shd w:val="clear" w:color="auto" w:fill="auto"/>
            <w:tcMar>
              <w:bottom w:w="58" w:type="dxa"/>
            </w:tcMar>
          </w:tcPr>
          <w:p w:rsidR="00B22F88" w:rsidRPr="004D72DD" w:rsidRDefault="00B22F88" w:rsidP="00C31F62">
            <w:pPr>
              <w:pStyle w:val="BodyText"/>
              <w:spacing w:after="0"/>
              <w:ind w:right="92"/>
              <w:jc w:val="left"/>
              <w:rPr>
                <w:sz w:val="18"/>
                <w:szCs w:val="18"/>
              </w:rPr>
            </w:pPr>
            <w:r w:rsidRPr="004D72DD">
              <w:rPr>
                <w:sz w:val="18"/>
                <w:szCs w:val="18"/>
              </w:rPr>
              <w:t>K</w:t>
            </w:r>
            <w:r w:rsidRPr="004D72DD">
              <w:rPr>
                <w:sz w:val="18"/>
                <w:szCs w:val="18"/>
              </w:rPr>
              <w:noBreakHyphen/>
              <w:t>12 school replacement</w:t>
            </w:r>
          </w:p>
          <w:p w:rsidR="00B22F88" w:rsidRPr="004D72DD" w:rsidRDefault="00B22F88" w:rsidP="00C31F62">
            <w:pPr>
              <w:pStyle w:val="BodyText"/>
              <w:spacing w:after="0"/>
              <w:ind w:right="-208"/>
              <w:jc w:val="left"/>
              <w:rPr>
                <w:sz w:val="18"/>
              </w:rPr>
            </w:pPr>
            <w:r w:rsidRPr="004D72DD">
              <w:rPr>
                <w:sz w:val="18"/>
                <w:szCs w:val="18"/>
              </w:rPr>
              <w:t>37,277 sq. ft. w/ 15 classrooms</w:t>
            </w:r>
            <w:r w:rsidRPr="004D72DD">
              <w:rPr>
                <w:sz w:val="18"/>
                <w:szCs w:val="18"/>
                <w:vertAlign w:val="superscript"/>
              </w:rPr>
              <w:t>2</w:t>
            </w:r>
          </w:p>
        </w:tc>
        <w:tc>
          <w:tcPr>
            <w:tcW w:w="3296" w:type="dxa"/>
            <w:shd w:val="clear" w:color="auto" w:fill="auto"/>
            <w:tcMar>
              <w:bottom w:w="58" w:type="dxa"/>
            </w:tcMar>
          </w:tcPr>
          <w:p w:rsidR="00B22F88" w:rsidRPr="004D72DD" w:rsidRDefault="00B22F88" w:rsidP="00C31F62">
            <w:pPr>
              <w:jc w:val="left"/>
              <w:rPr>
                <w:sz w:val="18"/>
                <w:szCs w:val="18"/>
              </w:rPr>
            </w:pPr>
            <w:r w:rsidRPr="004D72DD">
              <w:rPr>
                <w:sz w:val="18"/>
                <w:szCs w:val="18"/>
              </w:rPr>
              <w:t>15.01-acre parcel of land valued at $300,000</w:t>
            </w:r>
          </w:p>
        </w:tc>
      </w:tr>
      <w:tr w:rsidR="00B22F88" w:rsidRPr="004D72DD" w:rsidTr="003E21D9">
        <w:trPr>
          <w:jc w:val="center"/>
        </w:trPr>
        <w:tc>
          <w:tcPr>
            <w:tcW w:w="3311" w:type="dxa"/>
            <w:shd w:val="clear" w:color="auto" w:fill="auto"/>
            <w:tcMar>
              <w:bottom w:w="58" w:type="dxa"/>
            </w:tcMar>
          </w:tcPr>
          <w:p w:rsidR="00B22F88" w:rsidRPr="004D72DD" w:rsidRDefault="00B22F88" w:rsidP="00C31F62">
            <w:pPr>
              <w:pStyle w:val="BodyText"/>
              <w:spacing w:after="0"/>
              <w:ind w:right="92"/>
              <w:jc w:val="left"/>
              <w:rPr>
                <w:sz w:val="18"/>
              </w:rPr>
            </w:pPr>
            <w:r w:rsidRPr="004D72DD">
              <w:rPr>
                <w:sz w:val="18"/>
                <w:szCs w:val="18"/>
              </w:rPr>
              <w:t>Haxtun School District RE-2J</w:t>
            </w:r>
          </w:p>
        </w:tc>
        <w:tc>
          <w:tcPr>
            <w:tcW w:w="3383" w:type="dxa"/>
            <w:gridSpan w:val="2"/>
            <w:shd w:val="clear" w:color="auto" w:fill="auto"/>
            <w:tcMar>
              <w:bottom w:w="58" w:type="dxa"/>
            </w:tcMar>
          </w:tcPr>
          <w:p w:rsidR="00B22F88" w:rsidRPr="004D72DD" w:rsidRDefault="00B22F88" w:rsidP="00C31F62">
            <w:pPr>
              <w:pStyle w:val="BodyText"/>
              <w:spacing w:after="0"/>
              <w:ind w:right="92"/>
              <w:jc w:val="left"/>
              <w:rPr>
                <w:sz w:val="18"/>
                <w:szCs w:val="18"/>
              </w:rPr>
            </w:pPr>
            <w:r w:rsidRPr="004D72DD">
              <w:rPr>
                <w:sz w:val="18"/>
                <w:szCs w:val="18"/>
              </w:rPr>
              <w:t>K</w:t>
            </w:r>
            <w:r w:rsidRPr="004D72DD">
              <w:rPr>
                <w:sz w:val="18"/>
                <w:szCs w:val="18"/>
              </w:rPr>
              <w:noBreakHyphen/>
              <w:t>12 renovation and addition</w:t>
            </w:r>
          </w:p>
          <w:p w:rsidR="00B22F88" w:rsidRPr="004D72DD" w:rsidRDefault="00B22F88" w:rsidP="00C31F62">
            <w:pPr>
              <w:pStyle w:val="BodyText"/>
              <w:spacing w:after="0"/>
              <w:ind w:right="-208"/>
              <w:jc w:val="left"/>
              <w:rPr>
                <w:sz w:val="18"/>
              </w:rPr>
            </w:pPr>
            <w:r w:rsidRPr="004D72DD">
              <w:rPr>
                <w:sz w:val="18"/>
                <w:szCs w:val="18"/>
              </w:rPr>
              <w:t>86,753 sq. ft. w/ 23 classrooms</w:t>
            </w:r>
            <w:r w:rsidRPr="004D72DD">
              <w:rPr>
                <w:sz w:val="18"/>
                <w:szCs w:val="18"/>
                <w:vertAlign w:val="superscript"/>
              </w:rPr>
              <w:t>2</w:t>
            </w:r>
          </w:p>
        </w:tc>
        <w:tc>
          <w:tcPr>
            <w:tcW w:w="3296" w:type="dxa"/>
            <w:shd w:val="clear" w:color="auto" w:fill="auto"/>
            <w:tcMar>
              <w:bottom w:w="58" w:type="dxa"/>
            </w:tcMar>
          </w:tcPr>
          <w:p w:rsidR="00B22F88" w:rsidRPr="004D72DD" w:rsidRDefault="00B22F88" w:rsidP="00C31F62">
            <w:pPr>
              <w:jc w:val="left"/>
              <w:rPr>
                <w:sz w:val="18"/>
                <w:szCs w:val="18"/>
              </w:rPr>
            </w:pPr>
            <w:r w:rsidRPr="004D72DD">
              <w:rPr>
                <w:sz w:val="18"/>
                <w:szCs w:val="18"/>
              </w:rPr>
              <w:t>7.91-acre parcel of land valued at $1,091</w:t>
            </w:r>
          </w:p>
        </w:tc>
      </w:tr>
      <w:tr w:rsidR="00B22F88" w:rsidRPr="004D72DD" w:rsidTr="003E21D9">
        <w:trPr>
          <w:jc w:val="center"/>
        </w:trPr>
        <w:tc>
          <w:tcPr>
            <w:tcW w:w="3311" w:type="dxa"/>
            <w:shd w:val="clear" w:color="auto" w:fill="auto"/>
            <w:tcMar>
              <w:bottom w:w="58" w:type="dxa"/>
            </w:tcMar>
          </w:tcPr>
          <w:p w:rsidR="00B22F88" w:rsidRPr="004D72DD" w:rsidRDefault="00B22F88" w:rsidP="00C31F62">
            <w:pPr>
              <w:pStyle w:val="BodyText"/>
              <w:spacing w:after="0"/>
              <w:ind w:right="92"/>
              <w:jc w:val="left"/>
              <w:rPr>
                <w:sz w:val="18"/>
                <w:szCs w:val="18"/>
              </w:rPr>
            </w:pPr>
            <w:r w:rsidRPr="004D72DD">
              <w:rPr>
                <w:sz w:val="18"/>
                <w:szCs w:val="18"/>
              </w:rPr>
              <w:t>Kim Reorganized School District No. 88</w:t>
            </w:r>
          </w:p>
          <w:p w:rsidR="00B22F88" w:rsidRPr="004D72DD" w:rsidRDefault="00B22F88" w:rsidP="00C31F62">
            <w:pPr>
              <w:pStyle w:val="BodyText"/>
              <w:spacing w:after="0"/>
              <w:ind w:right="92"/>
              <w:jc w:val="left"/>
              <w:rPr>
                <w:sz w:val="18"/>
                <w:szCs w:val="18"/>
              </w:rPr>
            </w:pPr>
          </w:p>
        </w:tc>
        <w:tc>
          <w:tcPr>
            <w:tcW w:w="3383" w:type="dxa"/>
            <w:gridSpan w:val="2"/>
            <w:shd w:val="clear" w:color="auto" w:fill="auto"/>
            <w:tcMar>
              <w:bottom w:w="58" w:type="dxa"/>
            </w:tcMar>
          </w:tcPr>
          <w:p w:rsidR="00B22F88" w:rsidRPr="004D72DD" w:rsidRDefault="00B22F88" w:rsidP="00C31F62">
            <w:pPr>
              <w:pStyle w:val="BodyText"/>
              <w:spacing w:after="0"/>
              <w:ind w:right="92"/>
              <w:jc w:val="left"/>
              <w:rPr>
                <w:sz w:val="18"/>
                <w:szCs w:val="18"/>
              </w:rPr>
            </w:pPr>
            <w:r w:rsidRPr="004D72DD">
              <w:rPr>
                <w:sz w:val="18"/>
                <w:szCs w:val="18"/>
              </w:rPr>
              <w:t>Renovation and addition to PK</w:t>
            </w:r>
            <w:r w:rsidRPr="004D72DD">
              <w:rPr>
                <w:sz w:val="18"/>
                <w:szCs w:val="18"/>
              </w:rPr>
              <w:noBreakHyphen/>
              <w:t>12 school</w:t>
            </w:r>
          </w:p>
          <w:p w:rsidR="00B22F88" w:rsidRPr="004D72DD" w:rsidRDefault="00B22F88" w:rsidP="00C31F62">
            <w:pPr>
              <w:pStyle w:val="BodyText"/>
              <w:spacing w:after="0"/>
              <w:ind w:right="92"/>
              <w:jc w:val="left"/>
              <w:rPr>
                <w:sz w:val="18"/>
                <w:szCs w:val="18"/>
              </w:rPr>
            </w:pPr>
            <w:r w:rsidRPr="004D72DD">
              <w:rPr>
                <w:sz w:val="18"/>
                <w:szCs w:val="18"/>
              </w:rPr>
              <w:t>31,987 sq. ft. w/ 11 classrooms</w:t>
            </w:r>
            <w:r w:rsidRPr="004D72DD">
              <w:rPr>
                <w:sz w:val="18"/>
                <w:szCs w:val="18"/>
                <w:vertAlign w:val="superscript"/>
              </w:rPr>
              <w:t>2</w:t>
            </w:r>
          </w:p>
        </w:tc>
        <w:tc>
          <w:tcPr>
            <w:tcW w:w="3296" w:type="dxa"/>
            <w:shd w:val="clear" w:color="auto" w:fill="auto"/>
            <w:tcMar>
              <w:bottom w:w="58" w:type="dxa"/>
            </w:tcMar>
          </w:tcPr>
          <w:p w:rsidR="00B22F88" w:rsidRPr="004D72DD" w:rsidRDefault="00B22F88" w:rsidP="00C31F62">
            <w:pPr>
              <w:jc w:val="left"/>
              <w:rPr>
                <w:sz w:val="18"/>
                <w:szCs w:val="18"/>
              </w:rPr>
            </w:pPr>
            <w:r w:rsidRPr="004D72DD">
              <w:rPr>
                <w:sz w:val="18"/>
                <w:szCs w:val="18"/>
              </w:rPr>
              <w:t>2.14-acre parcel of land valued at $47,308</w:t>
            </w:r>
          </w:p>
        </w:tc>
      </w:tr>
      <w:tr w:rsidR="00B22F88" w:rsidRPr="004D72DD" w:rsidTr="003E21D9">
        <w:trPr>
          <w:jc w:val="center"/>
        </w:trPr>
        <w:tc>
          <w:tcPr>
            <w:tcW w:w="3311" w:type="dxa"/>
            <w:shd w:val="clear" w:color="auto" w:fill="auto"/>
            <w:tcMar>
              <w:bottom w:w="58" w:type="dxa"/>
            </w:tcMar>
          </w:tcPr>
          <w:p w:rsidR="00B22F88" w:rsidRPr="004D72DD" w:rsidRDefault="00B22F88" w:rsidP="00C31F62">
            <w:pPr>
              <w:pStyle w:val="BodyText"/>
              <w:spacing w:after="0"/>
              <w:ind w:right="92"/>
              <w:jc w:val="left"/>
              <w:rPr>
                <w:sz w:val="18"/>
                <w:szCs w:val="18"/>
              </w:rPr>
            </w:pPr>
            <w:r w:rsidRPr="004D72DD">
              <w:rPr>
                <w:sz w:val="18"/>
                <w:szCs w:val="18"/>
              </w:rPr>
              <w:t>Limon School District No. RE 4J</w:t>
            </w:r>
          </w:p>
        </w:tc>
        <w:tc>
          <w:tcPr>
            <w:tcW w:w="3383" w:type="dxa"/>
            <w:gridSpan w:val="2"/>
            <w:shd w:val="clear" w:color="auto" w:fill="auto"/>
            <w:tcMar>
              <w:bottom w:w="58" w:type="dxa"/>
            </w:tcMar>
          </w:tcPr>
          <w:p w:rsidR="00B22F88" w:rsidRPr="004D72DD" w:rsidRDefault="00B22F88" w:rsidP="00C31F62">
            <w:pPr>
              <w:pStyle w:val="BodyText"/>
              <w:spacing w:after="0"/>
              <w:ind w:right="92"/>
              <w:jc w:val="left"/>
              <w:rPr>
                <w:sz w:val="18"/>
                <w:szCs w:val="18"/>
              </w:rPr>
            </w:pPr>
            <w:r w:rsidRPr="004D72DD">
              <w:rPr>
                <w:sz w:val="18"/>
                <w:szCs w:val="18"/>
              </w:rPr>
              <w:t>New PK</w:t>
            </w:r>
            <w:r w:rsidRPr="004D72DD">
              <w:rPr>
                <w:sz w:val="18"/>
                <w:szCs w:val="18"/>
              </w:rPr>
              <w:noBreakHyphen/>
              <w:t>12 school and gym renovation</w:t>
            </w:r>
          </w:p>
          <w:p w:rsidR="00B22F88" w:rsidRPr="004D72DD" w:rsidRDefault="00B22F88" w:rsidP="00C31F62">
            <w:pPr>
              <w:pStyle w:val="BodyText"/>
              <w:spacing w:after="0"/>
              <w:ind w:right="92"/>
              <w:jc w:val="left"/>
              <w:rPr>
                <w:sz w:val="18"/>
                <w:szCs w:val="18"/>
              </w:rPr>
            </w:pPr>
            <w:r w:rsidRPr="004D72DD">
              <w:rPr>
                <w:sz w:val="18"/>
                <w:szCs w:val="18"/>
              </w:rPr>
              <w:t>118,000 sq. ft. w/ 40 classrooms</w:t>
            </w:r>
            <w:r w:rsidRPr="004D72DD">
              <w:rPr>
                <w:sz w:val="18"/>
                <w:szCs w:val="18"/>
                <w:vertAlign w:val="superscript"/>
              </w:rPr>
              <w:t>2</w:t>
            </w:r>
          </w:p>
        </w:tc>
        <w:tc>
          <w:tcPr>
            <w:tcW w:w="3296" w:type="dxa"/>
            <w:shd w:val="clear" w:color="auto" w:fill="auto"/>
            <w:tcMar>
              <w:bottom w:w="58" w:type="dxa"/>
            </w:tcMar>
          </w:tcPr>
          <w:p w:rsidR="00B22F88" w:rsidRPr="004D72DD" w:rsidRDefault="00B22F88" w:rsidP="00C31F62">
            <w:pPr>
              <w:jc w:val="left"/>
              <w:rPr>
                <w:sz w:val="18"/>
                <w:szCs w:val="18"/>
              </w:rPr>
            </w:pPr>
            <w:r w:rsidRPr="004D72DD">
              <w:rPr>
                <w:sz w:val="18"/>
                <w:szCs w:val="18"/>
              </w:rPr>
              <w:t>7.06-acre parcel of land valued at $7,345</w:t>
            </w:r>
          </w:p>
        </w:tc>
      </w:tr>
      <w:tr w:rsidR="00B22F88" w:rsidRPr="004D72DD" w:rsidTr="003E21D9">
        <w:trPr>
          <w:jc w:val="center"/>
        </w:trPr>
        <w:tc>
          <w:tcPr>
            <w:tcW w:w="3311" w:type="dxa"/>
            <w:shd w:val="clear" w:color="auto" w:fill="auto"/>
            <w:tcMar>
              <w:bottom w:w="58" w:type="dxa"/>
            </w:tcMar>
          </w:tcPr>
          <w:p w:rsidR="00B22F88" w:rsidRPr="004D72DD" w:rsidRDefault="00B22F88" w:rsidP="00C31F62">
            <w:pPr>
              <w:pStyle w:val="BodyText"/>
              <w:keepNext/>
              <w:spacing w:after="0"/>
              <w:ind w:right="92"/>
              <w:jc w:val="left"/>
              <w:rPr>
                <w:sz w:val="18"/>
                <w:szCs w:val="18"/>
              </w:rPr>
            </w:pPr>
            <w:r w:rsidRPr="004D72DD">
              <w:rPr>
                <w:sz w:val="18"/>
                <w:szCs w:val="18"/>
              </w:rPr>
              <w:t>Moffat School District No. 2</w:t>
            </w:r>
            <w:r w:rsidR="00252477">
              <w:rPr>
                <w:sz w:val="18"/>
                <w:szCs w:val="18"/>
              </w:rPr>
              <w:t xml:space="preserve"> in the County of Saguache and State of Colorado</w:t>
            </w:r>
          </w:p>
        </w:tc>
        <w:tc>
          <w:tcPr>
            <w:tcW w:w="3383" w:type="dxa"/>
            <w:gridSpan w:val="2"/>
            <w:shd w:val="clear" w:color="auto" w:fill="auto"/>
            <w:tcMar>
              <w:bottom w:w="58" w:type="dxa"/>
            </w:tcMar>
          </w:tcPr>
          <w:p w:rsidR="00B22F88" w:rsidRPr="004D72DD" w:rsidRDefault="00B22F88" w:rsidP="00C31F62">
            <w:pPr>
              <w:pStyle w:val="BodyText"/>
              <w:spacing w:after="0"/>
              <w:ind w:right="92"/>
              <w:jc w:val="left"/>
              <w:rPr>
                <w:sz w:val="18"/>
                <w:szCs w:val="18"/>
              </w:rPr>
            </w:pPr>
            <w:r w:rsidRPr="004D72DD">
              <w:rPr>
                <w:sz w:val="18"/>
                <w:szCs w:val="18"/>
              </w:rPr>
              <w:t>PK</w:t>
            </w:r>
            <w:r w:rsidRPr="004D72DD">
              <w:rPr>
                <w:sz w:val="18"/>
                <w:szCs w:val="18"/>
              </w:rPr>
              <w:noBreakHyphen/>
              <w:t>12 school replacement</w:t>
            </w:r>
          </w:p>
          <w:p w:rsidR="00B22F88" w:rsidRPr="004D72DD" w:rsidRDefault="00B22F88" w:rsidP="00C31F62">
            <w:pPr>
              <w:pStyle w:val="BodyText"/>
              <w:spacing w:after="0"/>
              <w:ind w:right="92"/>
              <w:jc w:val="left"/>
              <w:rPr>
                <w:sz w:val="18"/>
                <w:szCs w:val="18"/>
              </w:rPr>
            </w:pPr>
            <w:r w:rsidRPr="004D72DD">
              <w:rPr>
                <w:sz w:val="18"/>
                <w:szCs w:val="18"/>
              </w:rPr>
              <w:t>49,644 sq. ft. w/ 21 classrooms</w:t>
            </w:r>
            <w:r w:rsidRPr="004D72DD">
              <w:rPr>
                <w:sz w:val="18"/>
                <w:szCs w:val="18"/>
                <w:vertAlign w:val="superscript"/>
              </w:rPr>
              <w:t>2</w:t>
            </w:r>
          </w:p>
        </w:tc>
        <w:tc>
          <w:tcPr>
            <w:tcW w:w="3296" w:type="dxa"/>
            <w:shd w:val="clear" w:color="auto" w:fill="auto"/>
            <w:tcMar>
              <w:bottom w:w="58" w:type="dxa"/>
            </w:tcMar>
          </w:tcPr>
          <w:p w:rsidR="00B22F88" w:rsidRPr="004D72DD" w:rsidRDefault="00252477" w:rsidP="00252477">
            <w:pPr>
              <w:jc w:val="left"/>
              <w:rPr>
                <w:sz w:val="18"/>
                <w:szCs w:val="18"/>
              </w:rPr>
            </w:pPr>
            <w:r>
              <w:rPr>
                <w:sz w:val="18"/>
                <w:szCs w:val="18"/>
              </w:rPr>
              <w:t>4.47</w:t>
            </w:r>
            <w:r w:rsidR="00B22F88" w:rsidRPr="004D72DD">
              <w:rPr>
                <w:sz w:val="18"/>
                <w:szCs w:val="18"/>
              </w:rPr>
              <w:t>-acre parcel of land valued at $</w:t>
            </w:r>
            <w:r>
              <w:rPr>
                <w:sz w:val="18"/>
                <w:szCs w:val="18"/>
              </w:rPr>
              <w:t>2</w:t>
            </w:r>
            <w:r w:rsidR="00B22F88" w:rsidRPr="004D72DD">
              <w:rPr>
                <w:sz w:val="18"/>
                <w:szCs w:val="18"/>
              </w:rPr>
              <w:t>,</w:t>
            </w:r>
            <w:r>
              <w:rPr>
                <w:sz w:val="18"/>
                <w:szCs w:val="18"/>
              </w:rPr>
              <w:t>473</w:t>
            </w:r>
          </w:p>
        </w:tc>
      </w:tr>
      <w:tr w:rsidR="00B22F88" w:rsidRPr="004D72DD" w:rsidTr="003E21D9">
        <w:trPr>
          <w:jc w:val="center"/>
        </w:trPr>
        <w:tc>
          <w:tcPr>
            <w:tcW w:w="3311" w:type="dxa"/>
            <w:tcBorders>
              <w:bottom w:val="single" w:sz="4" w:space="0" w:color="auto"/>
            </w:tcBorders>
            <w:shd w:val="clear" w:color="auto" w:fill="auto"/>
            <w:tcMar>
              <w:bottom w:w="58" w:type="dxa"/>
            </w:tcMar>
          </w:tcPr>
          <w:p w:rsidR="00B22F88" w:rsidRPr="004D72DD" w:rsidRDefault="00B22F88" w:rsidP="00C31F62">
            <w:pPr>
              <w:pStyle w:val="BodyText"/>
              <w:spacing w:after="0"/>
              <w:ind w:right="92"/>
              <w:jc w:val="left"/>
              <w:rPr>
                <w:sz w:val="18"/>
                <w:szCs w:val="18"/>
              </w:rPr>
            </w:pPr>
            <w:r w:rsidRPr="004D72DD">
              <w:rPr>
                <w:sz w:val="18"/>
                <w:szCs w:val="18"/>
              </w:rPr>
              <w:t>South Conejos School District No. RE-10</w:t>
            </w:r>
          </w:p>
        </w:tc>
        <w:tc>
          <w:tcPr>
            <w:tcW w:w="3383" w:type="dxa"/>
            <w:gridSpan w:val="2"/>
            <w:tcBorders>
              <w:bottom w:val="single" w:sz="4" w:space="0" w:color="auto"/>
            </w:tcBorders>
            <w:shd w:val="clear" w:color="auto" w:fill="auto"/>
            <w:tcMar>
              <w:bottom w:w="58" w:type="dxa"/>
            </w:tcMar>
          </w:tcPr>
          <w:p w:rsidR="00B22F88" w:rsidRPr="004D72DD" w:rsidRDefault="00B22F88" w:rsidP="00C31F62">
            <w:pPr>
              <w:pStyle w:val="BodyText"/>
              <w:spacing w:after="0"/>
              <w:ind w:right="92"/>
              <w:jc w:val="left"/>
              <w:rPr>
                <w:sz w:val="18"/>
                <w:szCs w:val="18"/>
              </w:rPr>
            </w:pPr>
            <w:r w:rsidRPr="004D72DD">
              <w:rPr>
                <w:sz w:val="18"/>
                <w:szCs w:val="18"/>
              </w:rPr>
              <w:t>PK</w:t>
            </w:r>
            <w:r w:rsidRPr="004D72DD">
              <w:rPr>
                <w:sz w:val="18"/>
                <w:szCs w:val="18"/>
              </w:rPr>
              <w:noBreakHyphen/>
              <w:t>12 school replacement</w:t>
            </w:r>
          </w:p>
          <w:p w:rsidR="00B22F88" w:rsidRPr="004D72DD" w:rsidRDefault="00B22F88" w:rsidP="00C31F62">
            <w:pPr>
              <w:pStyle w:val="BodyText"/>
              <w:spacing w:after="0"/>
              <w:ind w:right="92"/>
              <w:jc w:val="left"/>
              <w:rPr>
                <w:sz w:val="18"/>
                <w:szCs w:val="18"/>
              </w:rPr>
            </w:pPr>
            <w:r w:rsidRPr="004D72DD">
              <w:rPr>
                <w:sz w:val="18"/>
                <w:szCs w:val="18"/>
              </w:rPr>
              <w:t>63,583 sq. ft. w/ 19 classrooms</w:t>
            </w:r>
            <w:r w:rsidRPr="004D72DD">
              <w:rPr>
                <w:sz w:val="18"/>
                <w:szCs w:val="18"/>
                <w:vertAlign w:val="superscript"/>
              </w:rPr>
              <w:t>2</w:t>
            </w:r>
          </w:p>
        </w:tc>
        <w:tc>
          <w:tcPr>
            <w:tcW w:w="3296" w:type="dxa"/>
            <w:tcBorders>
              <w:bottom w:val="single" w:sz="4" w:space="0" w:color="auto"/>
            </w:tcBorders>
            <w:shd w:val="clear" w:color="auto" w:fill="auto"/>
            <w:tcMar>
              <w:bottom w:w="58" w:type="dxa"/>
            </w:tcMar>
          </w:tcPr>
          <w:p w:rsidR="00B22F88" w:rsidRPr="004D72DD" w:rsidRDefault="00B22F88" w:rsidP="00C31F62">
            <w:pPr>
              <w:jc w:val="left"/>
              <w:rPr>
                <w:sz w:val="18"/>
                <w:szCs w:val="18"/>
              </w:rPr>
            </w:pPr>
            <w:r w:rsidRPr="004D72DD">
              <w:rPr>
                <w:sz w:val="18"/>
                <w:szCs w:val="18"/>
              </w:rPr>
              <w:t>22.89-acre parcel of land valued at $8,275</w:t>
            </w:r>
          </w:p>
        </w:tc>
      </w:tr>
      <w:tr w:rsidR="00B22F88" w:rsidRPr="004D72DD" w:rsidTr="003E21D9">
        <w:trPr>
          <w:jc w:val="center"/>
        </w:trPr>
        <w:tc>
          <w:tcPr>
            <w:tcW w:w="9990" w:type="dxa"/>
            <w:gridSpan w:val="4"/>
            <w:shd w:val="clear" w:color="auto" w:fill="auto"/>
            <w:tcMar>
              <w:bottom w:w="58" w:type="dxa"/>
            </w:tcMar>
          </w:tcPr>
          <w:p w:rsidR="00B22F88" w:rsidRPr="004D72DD" w:rsidRDefault="00B22F88" w:rsidP="00C31F62">
            <w:pPr>
              <w:keepNext/>
              <w:spacing w:before="80" w:after="80"/>
              <w:jc w:val="left"/>
              <w:rPr>
                <w:sz w:val="18"/>
                <w:szCs w:val="18"/>
              </w:rPr>
            </w:pPr>
            <w:r w:rsidRPr="004D72DD">
              <w:rPr>
                <w:b/>
                <w:sz w:val="18"/>
                <w:szCs w:val="18"/>
              </w:rPr>
              <w:t>2015 Supplemental Indenture</w:t>
            </w:r>
            <w:r w:rsidRPr="004D72DD">
              <w:rPr>
                <w:b/>
                <w:sz w:val="18"/>
                <w:szCs w:val="18"/>
                <w:vertAlign w:val="superscript"/>
              </w:rPr>
              <w:t>5</w:t>
            </w:r>
          </w:p>
        </w:tc>
      </w:tr>
      <w:tr w:rsidR="00B22F88" w:rsidRPr="004D72DD" w:rsidTr="003E21D9">
        <w:trPr>
          <w:jc w:val="center"/>
        </w:trPr>
        <w:tc>
          <w:tcPr>
            <w:tcW w:w="3311" w:type="dxa"/>
            <w:tcBorders>
              <w:bottom w:val="single" w:sz="4" w:space="0" w:color="auto"/>
            </w:tcBorders>
            <w:shd w:val="clear" w:color="auto" w:fill="auto"/>
            <w:tcMar>
              <w:bottom w:w="58" w:type="dxa"/>
            </w:tcMar>
          </w:tcPr>
          <w:p w:rsidR="00B22F88" w:rsidRPr="004D72DD" w:rsidRDefault="00C6272C" w:rsidP="00C31F62">
            <w:pPr>
              <w:pStyle w:val="BodyText"/>
              <w:spacing w:after="0"/>
              <w:ind w:right="92"/>
              <w:jc w:val="left"/>
              <w:rPr>
                <w:sz w:val="18"/>
                <w:szCs w:val="18"/>
              </w:rPr>
            </w:pPr>
            <w:r>
              <w:rPr>
                <w:sz w:val="18"/>
                <w:szCs w:val="18"/>
              </w:rPr>
              <w:t>Morgan County School District RE</w:t>
            </w:r>
            <w:r w:rsidR="00B22F88" w:rsidRPr="004D72DD">
              <w:rPr>
                <w:sz w:val="18"/>
                <w:szCs w:val="18"/>
              </w:rPr>
              <w:t>-3</w:t>
            </w:r>
          </w:p>
        </w:tc>
        <w:tc>
          <w:tcPr>
            <w:tcW w:w="3383" w:type="dxa"/>
            <w:gridSpan w:val="2"/>
            <w:tcBorders>
              <w:bottom w:val="single" w:sz="4" w:space="0" w:color="auto"/>
            </w:tcBorders>
            <w:shd w:val="clear" w:color="auto" w:fill="auto"/>
            <w:tcMar>
              <w:bottom w:w="58" w:type="dxa"/>
            </w:tcMar>
          </w:tcPr>
          <w:p w:rsidR="00B22F88" w:rsidRPr="004D72DD" w:rsidRDefault="00B22F88" w:rsidP="00C31F62">
            <w:pPr>
              <w:pStyle w:val="BodyText"/>
              <w:spacing w:after="0"/>
              <w:ind w:right="92"/>
              <w:jc w:val="left"/>
              <w:rPr>
                <w:sz w:val="18"/>
                <w:szCs w:val="18"/>
              </w:rPr>
            </w:pPr>
            <w:r w:rsidRPr="004D72DD">
              <w:rPr>
                <w:sz w:val="18"/>
                <w:szCs w:val="18"/>
              </w:rPr>
              <w:t>New middle school</w:t>
            </w:r>
            <w:r w:rsidRPr="004D72DD">
              <w:rPr>
                <w:sz w:val="18"/>
                <w:szCs w:val="18"/>
                <w:vertAlign w:val="superscript"/>
              </w:rPr>
              <w:t>2</w:t>
            </w:r>
          </w:p>
        </w:tc>
        <w:tc>
          <w:tcPr>
            <w:tcW w:w="3296" w:type="dxa"/>
            <w:tcBorders>
              <w:bottom w:val="single" w:sz="4" w:space="0" w:color="auto"/>
            </w:tcBorders>
            <w:shd w:val="clear" w:color="auto" w:fill="auto"/>
            <w:tcMar>
              <w:bottom w:w="58" w:type="dxa"/>
            </w:tcMar>
          </w:tcPr>
          <w:p w:rsidR="00B22F88" w:rsidRPr="004D72DD" w:rsidRDefault="00B22F88" w:rsidP="00C31F62">
            <w:pPr>
              <w:jc w:val="left"/>
              <w:rPr>
                <w:sz w:val="18"/>
                <w:szCs w:val="18"/>
              </w:rPr>
            </w:pPr>
            <w:r w:rsidRPr="004D72DD">
              <w:rPr>
                <w:sz w:val="18"/>
                <w:szCs w:val="18"/>
              </w:rPr>
              <w:t>11.89 acres valued at $58,682</w:t>
            </w:r>
          </w:p>
        </w:tc>
      </w:tr>
      <w:tr w:rsidR="00B22F88" w:rsidRPr="004D72DD" w:rsidTr="003E21D9">
        <w:trPr>
          <w:jc w:val="center"/>
        </w:trPr>
        <w:tc>
          <w:tcPr>
            <w:tcW w:w="9990" w:type="dxa"/>
            <w:gridSpan w:val="4"/>
            <w:tcBorders>
              <w:top w:val="single" w:sz="4" w:space="0" w:color="auto"/>
            </w:tcBorders>
            <w:shd w:val="clear" w:color="auto" w:fill="auto"/>
            <w:tcMar>
              <w:bottom w:w="58" w:type="dxa"/>
            </w:tcMar>
          </w:tcPr>
          <w:p w:rsidR="00B22F88" w:rsidRPr="005C6FA1" w:rsidRDefault="00B22F88" w:rsidP="00C31F62">
            <w:pPr>
              <w:spacing w:before="80" w:after="80"/>
              <w:jc w:val="left"/>
              <w:rPr>
                <w:i/>
                <w:sz w:val="16"/>
              </w:rPr>
            </w:pPr>
            <w:r w:rsidRPr="004D72DD">
              <w:rPr>
                <w:b/>
                <w:sz w:val="18"/>
                <w:szCs w:val="18"/>
              </w:rPr>
              <w:t>Series 2017J Certificates</w:t>
            </w:r>
            <w:r w:rsidR="005C6FA1">
              <w:rPr>
                <w:b/>
                <w:sz w:val="18"/>
                <w:szCs w:val="18"/>
              </w:rPr>
              <w:t xml:space="preserve"> </w:t>
            </w:r>
          </w:p>
        </w:tc>
      </w:tr>
      <w:tr w:rsidR="00B22F88" w:rsidRPr="004D72DD" w:rsidTr="003E21D9">
        <w:trPr>
          <w:jc w:val="center"/>
        </w:trPr>
        <w:tc>
          <w:tcPr>
            <w:tcW w:w="3311" w:type="dxa"/>
            <w:shd w:val="clear" w:color="auto" w:fill="auto"/>
            <w:tcMar>
              <w:bottom w:w="58" w:type="dxa"/>
            </w:tcMar>
          </w:tcPr>
          <w:p w:rsidR="00B22F88" w:rsidRPr="004D72DD" w:rsidRDefault="00B22F88" w:rsidP="00C31F62">
            <w:pPr>
              <w:pStyle w:val="BodyText"/>
              <w:spacing w:after="0"/>
              <w:ind w:right="92"/>
              <w:jc w:val="left"/>
              <w:rPr>
                <w:sz w:val="18"/>
                <w:szCs w:val="18"/>
              </w:rPr>
            </w:pPr>
            <w:r w:rsidRPr="004D72DD">
              <w:rPr>
                <w:sz w:val="18"/>
                <w:szCs w:val="18"/>
              </w:rPr>
              <w:t>Brush School District RE-2J</w:t>
            </w:r>
          </w:p>
        </w:tc>
        <w:tc>
          <w:tcPr>
            <w:tcW w:w="3383" w:type="dxa"/>
            <w:gridSpan w:val="2"/>
            <w:shd w:val="clear" w:color="auto" w:fill="auto"/>
            <w:tcMar>
              <w:bottom w:w="58" w:type="dxa"/>
            </w:tcMar>
          </w:tcPr>
          <w:p w:rsidR="00B22F88" w:rsidRPr="004D72DD" w:rsidRDefault="00B22F88" w:rsidP="00C31F62">
            <w:pPr>
              <w:pStyle w:val="BodyText"/>
              <w:keepNext/>
              <w:keepLines/>
              <w:spacing w:after="0"/>
              <w:ind w:right="92"/>
              <w:jc w:val="left"/>
              <w:rPr>
                <w:sz w:val="18"/>
                <w:szCs w:val="18"/>
              </w:rPr>
            </w:pPr>
            <w:r w:rsidRPr="004D72DD">
              <w:rPr>
                <w:sz w:val="18"/>
                <w:szCs w:val="18"/>
              </w:rPr>
              <w:t>Middle school replacement and high school renovation</w:t>
            </w:r>
            <w:r w:rsidR="00252477">
              <w:rPr>
                <w:sz w:val="18"/>
                <w:szCs w:val="18"/>
              </w:rPr>
              <w:t xml:space="preserve"> and maintenance building</w:t>
            </w:r>
          </w:p>
          <w:p w:rsidR="00B22F88" w:rsidRPr="004D72DD" w:rsidRDefault="00B22F88" w:rsidP="00C31F62">
            <w:pPr>
              <w:pStyle w:val="BodyText"/>
              <w:keepNext/>
              <w:keepLines/>
              <w:spacing w:after="0"/>
              <w:ind w:right="92"/>
              <w:jc w:val="left"/>
              <w:rPr>
                <w:sz w:val="18"/>
                <w:szCs w:val="18"/>
              </w:rPr>
            </w:pPr>
            <w:r w:rsidRPr="004D72DD">
              <w:rPr>
                <w:sz w:val="18"/>
                <w:szCs w:val="18"/>
              </w:rPr>
              <w:t>171,211 sq. ft. w/ 56 classrooms</w:t>
            </w:r>
          </w:p>
        </w:tc>
        <w:tc>
          <w:tcPr>
            <w:tcW w:w="3296" w:type="dxa"/>
            <w:shd w:val="clear" w:color="auto" w:fill="auto"/>
            <w:tcMar>
              <w:bottom w:w="58" w:type="dxa"/>
            </w:tcMar>
          </w:tcPr>
          <w:p w:rsidR="00B22F88" w:rsidRPr="004D72DD" w:rsidRDefault="00B22F88" w:rsidP="00C31F62">
            <w:pPr>
              <w:pStyle w:val="BodyText"/>
              <w:spacing w:after="0"/>
              <w:ind w:right="92"/>
              <w:jc w:val="left"/>
              <w:rPr>
                <w:sz w:val="18"/>
                <w:szCs w:val="18"/>
              </w:rPr>
            </w:pPr>
            <w:r w:rsidRPr="004D72DD">
              <w:rPr>
                <w:sz w:val="18"/>
                <w:szCs w:val="18"/>
              </w:rPr>
              <w:t>41.14-acre parcel of land valued at $440,270</w:t>
            </w:r>
          </w:p>
        </w:tc>
      </w:tr>
      <w:tr w:rsidR="00B22F88" w:rsidRPr="004D72DD" w:rsidTr="003E21D9">
        <w:trPr>
          <w:jc w:val="center"/>
        </w:trPr>
        <w:tc>
          <w:tcPr>
            <w:tcW w:w="3311" w:type="dxa"/>
            <w:shd w:val="clear" w:color="auto" w:fill="auto"/>
            <w:tcMar>
              <w:bottom w:w="58" w:type="dxa"/>
            </w:tcMar>
          </w:tcPr>
          <w:p w:rsidR="00B22F88" w:rsidRPr="004D72DD" w:rsidRDefault="00B22F88" w:rsidP="00C31F62">
            <w:pPr>
              <w:pStyle w:val="BodyText"/>
              <w:spacing w:after="0"/>
              <w:ind w:right="92"/>
              <w:jc w:val="left"/>
              <w:rPr>
                <w:sz w:val="18"/>
                <w:szCs w:val="18"/>
              </w:rPr>
            </w:pPr>
            <w:r w:rsidRPr="004D72DD">
              <w:rPr>
                <w:sz w:val="18"/>
                <w:szCs w:val="18"/>
              </w:rPr>
              <w:t>Del Norte School District C-7</w:t>
            </w:r>
          </w:p>
        </w:tc>
        <w:tc>
          <w:tcPr>
            <w:tcW w:w="3383" w:type="dxa"/>
            <w:gridSpan w:val="2"/>
            <w:shd w:val="clear" w:color="auto" w:fill="auto"/>
            <w:tcMar>
              <w:bottom w:w="58" w:type="dxa"/>
            </w:tcMar>
          </w:tcPr>
          <w:p w:rsidR="00B22F88" w:rsidRPr="004D72DD" w:rsidRDefault="00B22F88" w:rsidP="00C31F62">
            <w:pPr>
              <w:pStyle w:val="BodyText"/>
              <w:keepNext/>
              <w:keepLines/>
              <w:spacing w:after="0"/>
              <w:ind w:right="92"/>
              <w:jc w:val="left"/>
              <w:rPr>
                <w:sz w:val="18"/>
                <w:szCs w:val="18"/>
              </w:rPr>
            </w:pPr>
            <w:r w:rsidRPr="004D72DD">
              <w:rPr>
                <w:sz w:val="18"/>
                <w:szCs w:val="18"/>
              </w:rPr>
              <w:t>New K</w:t>
            </w:r>
            <w:r w:rsidRPr="004D72DD">
              <w:rPr>
                <w:sz w:val="18"/>
                <w:szCs w:val="18"/>
              </w:rPr>
              <w:noBreakHyphen/>
              <w:t>12 school</w:t>
            </w:r>
          </w:p>
          <w:p w:rsidR="00B22F88" w:rsidRPr="004D72DD" w:rsidRDefault="00B22F88" w:rsidP="00C31F62">
            <w:pPr>
              <w:pStyle w:val="BodyText"/>
              <w:spacing w:after="0"/>
              <w:ind w:right="92"/>
              <w:jc w:val="left"/>
              <w:rPr>
                <w:sz w:val="18"/>
                <w:szCs w:val="18"/>
              </w:rPr>
            </w:pPr>
            <w:r w:rsidRPr="004D72DD">
              <w:rPr>
                <w:sz w:val="18"/>
                <w:szCs w:val="18"/>
              </w:rPr>
              <w:t>110,000 sq. ft. w/ 45 classrooms</w:t>
            </w:r>
          </w:p>
        </w:tc>
        <w:tc>
          <w:tcPr>
            <w:tcW w:w="3296" w:type="dxa"/>
            <w:shd w:val="clear" w:color="auto" w:fill="auto"/>
            <w:tcMar>
              <w:bottom w:w="58" w:type="dxa"/>
            </w:tcMar>
          </w:tcPr>
          <w:p w:rsidR="00B22F88" w:rsidRPr="004D72DD" w:rsidRDefault="00B22F88" w:rsidP="00C31F62">
            <w:pPr>
              <w:pStyle w:val="BodyText"/>
              <w:spacing w:after="0"/>
              <w:ind w:right="92"/>
              <w:jc w:val="left"/>
            </w:pPr>
            <w:r w:rsidRPr="004D72DD">
              <w:rPr>
                <w:sz w:val="18"/>
                <w:szCs w:val="18"/>
              </w:rPr>
              <w:t>43.13-acre parcel of land valued at $14,495</w:t>
            </w:r>
          </w:p>
        </w:tc>
      </w:tr>
      <w:tr w:rsidR="00B22F88" w:rsidRPr="004D72DD" w:rsidTr="003E21D9">
        <w:trPr>
          <w:jc w:val="center"/>
        </w:trPr>
        <w:tc>
          <w:tcPr>
            <w:tcW w:w="3311" w:type="dxa"/>
            <w:shd w:val="clear" w:color="auto" w:fill="auto"/>
            <w:tcMar>
              <w:bottom w:w="58" w:type="dxa"/>
            </w:tcMar>
          </w:tcPr>
          <w:p w:rsidR="00B22F88" w:rsidRPr="004D72DD" w:rsidRDefault="00B22F88" w:rsidP="00C31F62">
            <w:pPr>
              <w:pStyle w:val="BodyText"/>
              <w:spacing w:after="0"/>
              <w:ind w:right="92"/>
              <w:jc w:val="left"/>
              <w:rPr>
                <w:sz w:val="18"/>
                <w:szCs w:val="18"/>
              </w:rPr>
            </w:pPr>
            <w:r w:rsidRPr="004D72DD">
              <w:rPr>
                <w:sz w:val="18"/>
                <w:szCs w:val="18"/>
              </w:rPr>
              <w:t>Mancos School District RE-6</w:t>
            </w:r>
          </w:p>
        </w:tc>
        <w:tc>
          <w:tcPr>
            <w:tcW w:w="3383" w:type="dxa"/>
            <w:gridSpan w:val="2"/>
            <w:shd w:val="clear" w:color="auto" w:fill="auto"/>
            <w:tcMar>
              <w:bottom w:w="58" w:type="dxa"/>
            </w:tcMar>
          </w:tcPr>
          <w:p w:rsidR="00B22F88" w:rsidRPr="004D72DD" w:rsidRDefault="00B22F88" w:rsidP="00C31F62">
            <w:pPr>
              <w:pStyle w:val="BodyText"/>
              <w:keepNext/>
              <w:keepLines/>
              <w:spacing w:after="0"/>
              <w:ind w:right="92"/>
              <w:jc w:val="left"/>
              <w:rPr>
                <w:sz w:val="18"/>
                <w:szCs w:val="18"/>
              </w:rPr>
            </w:pPr>
            <w:r w:rsidRPr="004D72DD">
              <w:rPr>
                <w:sz w:val="18"/>
                <w:szCs w:val="18"/>
              </w:rPr>
              <w:t>K</w:t>
            </w:r>
            <w:r w:rsidRPr="004D72DD">
              <w:rPr>
                <w:sz w:val="18"/>
                <w:szCs w:val="18"/>
              </w:rPr>
              <w:noBreakHyphen/>
              <w:t>12 school renovations</w:t>
            </w:r>
            <w:r w:rsidR="00252477">
              <w:rPr>
                <w:sz w:val="18"/>
                <w:szCs w:val="18"/>
              </w:rPr>
              <w:t xml:space="preserve"> and Gym</w:t>
            </w:r>
          </w:p>
          <w:p w:rsidR="00B22F88" w:rsidRPr="004D72DD" w:rsidRDefault="00B22F88" w:rsidP="00C31F62">
            <w:pPr>
              <w:pStyle w:val="BodyText"/>
              <w:spacing w:after="0"/>
              <w:ind w:right="92"/>
              <w:jc w:val="left"/>
              <w:rPr>
                <w:sz w:val="18"/>
                <w:szCs w:val="18"/>
              </w:rPr>
            </w:pPr>
            <w:r w:rsidRPr="004D72DD">
              <w:rPr>
                <w:sz w:val="18"/>
                <w:szCs w:val="18"/>
              </w:rPr>
              <w:t>152,000 sq. ft. w/ 6 classrooms</w:t>
            </w:r>
          </w:p>
        </w:tc>
        <w:tc>
          <w:tcPr>
            <w:tcW w:w="3296" w:type="dxa"/>
            <w:shd w:val="clear" w:color="auto" w:fill="auto"/>
            <w:tcMar>
              <w:bottom w:w="58" w:type="dxa"/>
            </w:tcMar>
          </w:tcPr>
          <w:p w:rsidR="00B22F88" w:rsidRPr="004D72DD" w:rsidRDefault="00252477" w:rsidP="00C31F62">
            <w:pPr>
              <w:pStyle w:val="BodyText"/>
              <w:spacing w:after="0"/>
              <w:ind w:right="92"/>
              <w:jc w:val="left"/>
              <w:rPr>
                <w:sz w:val="18"/>
                <w:szCs w:val="18"/>
              </w:rPr>
            </w:pPr>
            <w:r>
              <w:rPr>
                <w:sz w:val="18"/>
                <w:szCs w:val="18"/>
              </w:rPr>
              <w:t>6.21</w:t>
            </w:r>
            <w:r w:rsidR="00B22F88" w:rsidRPr="004D72DD">
              <w:rPr>
                <w:sz w:val="18"/>
                <w:szCs w:val="18"/>
              </w:rPr>
              <w:t>-acre parcel of land valued at $37,570</w:t>
            </w:r>
          </w:p>
        </w:tc>
      </w:tr>
      <w:tr w:rsidR="00B22F88" w:rsidRPr="004D72DD" w:rsidTr="003E21D9">
        <w:trPr>
          <w:jc w:val="center"/>
        </w:trPr>
        <w:tc>
          <w:tcPr>
            <w:tcW w:w="3311" w:type="dxa"/>
            <w:shd w:val="clear" w:color="auto" w:fill="auto"/>
            <w:tcMar>
              <w:bottom w:w="58" w:type="dxa"/>
            </w:tcMar>
          </w:tcPr>
          <w:p w:rsidR="00B22F88" w:rsidRPr="004D72DD" w:rsidRDefault="00B22F88" w:rsidP="00C31F62">
            <w:pPr>
              <w:pStyle w:val="BodyText"/>
              <w:spacing w:after="0"/>
              <w:ind w:right="92"/>
              <w:jc w:val="left"/>
              <w:rPr>
                <w:sz w:val="18"/>
                <w:szCs w:val="18"/>
              </w:rPr>
            </w:pPr>
            <w:r w:rsidRPr="004D72DD">
              <w:rPr>
                <w:sz w:val="18"/>
                <w:szCs w:val="18"/>
              </w:rPr>
              <w:t>Mountain Valley School District RE-1</w:t>
            </w:r>
          </w:p>
        </w:tc>
        <w:tc>
          <w:tcPr>
            <w:tcW w:w="3383" w:type="dxa"/>
            <w:gridSpan w:val="2"/>
            <w:shd w:val="clear" w:color="auto" w:fill="auto"/>
            <w:tcMar>
              <w:bottom w:w="58" w:type="dxa"/>
            </w:tcMar>
          </w:tcPr>
          <w:p w:rsidR="00B22F88" w:rsidRPr="004D72DD" w:rsidRDefault="00B22F88" w:rsidP="00C31F62">
            <w:pPr>
              <w:pStyle w:val="BodyText"/>
              <w:keepNext/>
              <w:keepLines/>
              <w:spacing w:after="0"/>
              <w:ind w:right="92"/>
              <w:jc w:val="left"/>
              <w:rPr>
                <w:sz w:val="18"/>
                <w:szCs w:val="18"/>
              </w:rPr>
            </w:pPr>
            <w:r w:rsidRPr="004D72DD">
              <w:rPr>
                <w:sz w:val="18"/>
                <w:szCs w:val="18"/>
              </w:rPr>
              <w:t>New PK</w:t>
            </w:r>
            <w:r w:rsidRPr="004D72DD">
              <w:rPr>
                <w:sz w:val="18"/>
                <w:szCs w:val="18"/>
              </w:rPr>
              <w:noBreakHyphen/>
              <w:t>12 school</w:t>
            </w:r>
          </w:p>
          <w:p w:rsidR="00B22F88" w:rsidRPr="004D72DD" w:rsidRDefault="00B22F88" w:rsidP="00C31F62">
            <w:pPr>
              <w:pStyle w:val="BodyText"/>
              <w:spacing w:after="0"/>
              <w:ind w:right="92"/>
              <w:jc w:val="left"/>
              <w:rPr>
                <w:sz w:val="18"/>
                <w:szCs w:val="18"/>
              </w:rPr>
            </w:pPr>
            <w:r w:rsidRPr="004D72DD">
              <w:rPr>
                <w:sz w:val="18"/>
                <w:szCs w:val="18"/>
              </w:rPr>
              <w:t>59,206 sq. ft. w/ 25 classrooms</w:t>
            </w:r>
          </w:p>
        </w:tc>
        <w:tc>
          <w:tcPr>
            <w:tcW w:w="3296" w:type="dxa"/>
            <w:shd w:val="clear" w:color="auto" w:fill="auto"/>
            <w:tcMar>
              <w:bottom w:w="58" w:type="dxa"/>
            </w:tcMar>
          </w:tcPr>
          <w:p w:rsidR="00B22F88" w:rsidRPr="004D72DD" w:rsidRDefault="00B22F88" w:rsidP="00C31F62">
            <w:pPr>
              <w:pStyle w:val="BodyText"/>
              <w:spacing w:after="0"/>
              <w:ind w:right="92"/>
              <w:jc w:val="left"/>
            </w:pPr>
            <w:r w:rsidRPr="004D72DD">
              <w:rPr>
                <w:sz w:val="18"/>
                <w:szCs w:val="18"/>
              </w:rPr>
              <w:t>10.51-acre parcel of land valued at $38,825</w:t>
            </w:r>
          </w:p>
        </w:tc>
      </w:tr>
      <w:tr w:rsidR="00B22F88" w:rsidRPr="004D72DD" w:rsidTr="003E21D9">
        <w:trPr>
          <w:jc w:val="center"/>
        </w:trPr>
        <w:tc>
          <w:tcPr>
            <w:tcW w:w="9990" w:type="dxa"/>
            <w:gridSpan w:val="4"/>
            <w:shd w:val="clear" w:color="auto" w:fill="auto"/>
            <w:tcMar>
              <w:bottom w:w="58" w:type="dxa"/>
            </w:tcMar>
          </w:tcPr>
          <w:p w:rsidR="00B22F88" w:rsidRPr="004D72DD" w:rsidRDefault="00B22F88" w:rsidP="00C31F62">
            <w:pPr>
              <w:spacing w:before="80" w:after="80"/>
              <w:jc w:val="left"/>
              <w:rPr>
                <w:sz w:val="18"/>
                <w:szCs w:val="18"/>
              </w:rPr>
            </w:pPr>
            <w:r w:rsidRPr="004D72DD">
              <w:rPr>
                <w:b/>
                <w:sz w:val="18"/>
                <w:szCs w:val="18"/>
              </w:rPr>
              <w:t xml:space="preserve">Series 2017K Certificates </w:t>
            </w:r>
            <w:r w:rsidRPr="004D72DD">
              <w:rPr>
                <w:i/>
                <w:sz w:val="18"/>
                <w:szCs w:val="18"/>
              </w:rPr>
              <w:t>(See Series 2011G Certificates above)</w:t>
            </w:r>
          </w:p>
        </w:tc>
      </w:tr>
      <w:tr w:rsidR="00B22F88" w:rsidRPr="004D72DD" w:rsidTr="003E21D9">
        <w:trPr>
          <w:jc w:val="center"/>
        </w:trPr>
        <w:tc>
          <w:tcPr>
            <w:tcW w:w="9990" w:type="dxa"/>
            <w:gridSpan w:val="4"/>
            <w:shd w:val="clear" w:color="auto" w:fill="auto"/>
            <w:tcMar>
              <w:bottom w:w="58" w:type="dxa"/>
            </w:tcMar>
          </w:tcPr>
          <w:p w:rsidR="00B22F88" w:rsidRPr="004D72DD" w:rsidRDefault="00B22F88" w:rsidP="00C31F62">
            <w:pPr>
              <w:spacing w:before="80" w:after="80"/>
              <w:jc w:val="left"/>
              <w:rPr>
                <w:b/>
                <w:sz w:val="18"/>
                <w:szCs w:val="18"/>
              </w:rPr>
            </w:pPr>
            <w:r w:rsidRPr="004D72DD">
              <w:rPr>
                <w:b/>
                <w:sz w:val="18"/>
                <w:szCs w:val="18"/>
              </w:rPr>
              <w:t xml:space="preserve">Series 2018L Certificates </w:t>
            </w:r>
            <w:r w:rsidRPr="004D72DD">
              <w:rPr>
                <w:i/>
                <w:sz w:val="18"/>
                <w:szCs w:val="18"/>
              </w:rPr>
              <w:t>(See Series 2010B-C Certificates above)</w:t>
            </w:r>
          </w:p>
        </w:tc>
      </w:tr>
      <w:tr w:rsidR="00B22F88" w:rsidRPr="004D72DD" w:rsidTr="003E21D9">
        <w:trPr>
          <w:jc w:val="center"/>
        </w:trPr>
        <w:tc>
          <w:tcPr>
            <w:tcW w:w="9990" w:type="dxa"/>
            <w:gridSpan w:val="4"/>
            <w:shd w:val="clear" w:color="auto" w:fill="auto"/>
            <w:tcMar>
              <w:bottom w:w="58" w:type="dxa"/>
            </w:tcMar>
          </w:tcPr>
          <w:p w:rsidR="00B22F88" w:rsidRPr="004D72DD" w:rsidRDefault="00B22F88" w:rsidP="00C31F62">
            <w:pPr>
              <w:spacing w:before="80" w:after="80"/>
              <w:jc w:val="left"/>
              <w:rPr>
                <w:b/>
                <w:sz w:val="18"/>
                <w:szCs w:val="18"/>
              </w:rPr>
            </w:pPr>
            <w:r w:rsidRPr="004D72DD">
              <w:rPr>
                <w:b/>
                <w:sz w:val="18"/>
                <w:szCs w:val="18"/>
              </w:rPr>
              <w:t xml:space="preserve">Series 2018M Certificates </w:t>
            </w:r>
            <w:r w:rsidRPr="004D72DD">
              <w:rPr>
                <w:i/>
                <w:sz w:val="18"/>
                <w:szCs w:val="18"/>
              </w:rPr>
              <w:t>(See Series 2010D-F Certificates above)</w:t>
            </w:r>
          </w:p>
        </w:tc>
      </w:tr>
      <w:tr w:rsidR="00CA26A2" w:rsidRPr="004D72DD" w:rsidTr="003E21D9">
        <w:trPr>
          <w:jc w:val="center"/>
        </w:trPr>
        <w:tc>
          <w:tcPr>
            <w:tcW w:w="9990" w:type="dxa"/>
            <w:gridSpan w:val="4"/>
            <w:shd w:val="clear" w:color="auto" w:fill="auto"/>
            <w:tcMar>
              <w:bottom w:w="58" w:type="dxa"/>
            </w:tcMar>
          </w:tcPr>
          <w:p w:rsidR="00CA26A2" w:rsidRPr="005C0B8A" w:rsidRDefault="00CA26A2" w:rsidP="00EC4D42">
            <w:pPr>
              <w:spacing w:before="80" w:after="80"/>
              <w:jc w:val="left"/>
              <w:rPr>
                <w:sz w:val="18"/>
                <w:szCs w:val="18"/>
              </w:rPr>
            </w:pPr>
            <w:r w:rsidRPr="005C0B8A">
              <w:rPr>
                <w:b/>
                <w:sz w:val="18"/>
                <w:szCs w:val="18"/>
              </w:rPr>
              <w:t>Series 2018N Certificates</w:t>
            </w:r>
          </w:p>
        </w:tc>
      </w:tr>
      <w:tr w:rsidR="00337DC8" w:rsidRPr="004D72DD" w:rsidTr="003E21D9">
        <w:trPr>
          <w:jc w:val="center"/>
        </w:trPr>
        <w:tc>
          <w:tcPr>
            <w:tcW w:w="3335" w:type="dxa"/>
            <w:gridSpan w:val="2"/>
            <w:shd w:val="clear" w:color="auto" w:fill="auto"/>
            <w:tcMar>
              <w:bottom w:w="58" w:type="dxa"/>
            </w:tcMar>
          </w:tcPr>
          <w:p w:rsidR="00337DC8" w:rsidRPr="005C0B8A" w:rsidRDefault="00337DC8" w:rsidP="00337DC8">
            <w:pPr>
              <w:pStyle w:val="BodyText"/>
              <w:spacing w:after="0"/>
              <w:ind w:right="92"/>
              <w:jc w:val="left"/>
              <w:rPr>
                <w:sz w:val="18"/>
                <w:szCs w:val="18"/>
              </w:rPr>
            </w:pPr>
            <w:r w:rsidRPr="005C0B8A">
              <w:rPr>
                <w:sz w:val="18"/>
                <w:szCs w:val="18"/>
              </w:rPr>
              <w:t>Adams County School District 14</w:t>
            </w:r>
          </w:p>
        </w:tc>
        <w:tc>
          <w:tcPr>
            <w:tcW w:w="3359" w:type="dxa"/>
            <w:shd w:val="clear" w:color="auto" w:fill="auto"/>
          </w:tcPr>
          <w:p w:rsidR="00337DC8" w:rsidRPr="005C0B8A" w:rsidRDefault="00337DC8" w:rsidP="00337DC8">
            <w:pPr>
              <w:pStyle w:val="BodyText"/>
              <w:spacing w:after="0"/>
              <w:ind w:right="92"/>
              <w:jc w:val="left"/>
              <w:rPr>
                <w:sz w:val="18"/>
                <w:szCs w:val="18"/>
              </w:rPr>
            </w:pPr>
            <w:r w:rsidRPr="005C0B8A">
              <w:rPr>
                <w:sz w:val="18"/>
                <w:szCs w:val="18"/>
              </w:rPr>
              <w:t>New PK-5 elementary school replacement</w:t>
            </w:r>
            <w:r w:rsidRPr="005C0B8A">
              <w:rPr>
                <w:sz w:val="18"/>
                <w:szCs w:val="18"/>
              </w:rPr>
              <w:br/>
              <w:t>76,280 sq. ft. w/ 38 classrooms</w:t>
            </w:r>
          </w:p>
        </w:tc>
        <w:tc>
          <w:tcPr>
            <w:tcW w:w="3296" w:type="dxa"/>
            <w:tcBorders>
              <w:left w:val="nil"/>
            </w:tcBorders>
            <w:shd w:val="clear" w:color="auto" w:fill="auto"/>
          </w:tcPr>
          <w:p w:rsidR="00337DC8" w:rsidRPr="005C0B8A" w:rsidRDefault="00337DC8" w:rsidP="00337DC8">
            <w:pPr>
              <w:pStyle w:val="BodyText"/>
              <w:spacing w:after="0"/>
              <w:ind w:right="92"/>
              <w:jc w:val="left"/>
              <w:rPr>
                <w:sz w:val="18"/>
                <w:szCs w:val="18"/>
              </w:rPr>
            </w:pPr>
          </w:p>
        </w:tc>
      </w:tr>
      <w:tr w:rsidR="00337DC8" w:rsidRPr="004D72DD" w:rsidTr="003E21D9">
        <w:trPr>
          <w:jc w:val="center"/>
        </w:trPr>
        <w:tc>
          <w:tcPr>
            <w:tcW w:w="3335" w:type="dxa"/>
            <w:gridSpan w:val="2"/>
            <w:shd w:val="clear" w:color="auto" w:fill="auto"/>
            <w:tcMar>
              <w:bottom w:w="58" w:type="dxa"/>
            </w:tcMar>
          </w:tcPr>
          <w:p w:rsidR="00337DC8" w:rsidRPr="005C0B8A" w:rsidRDefault="00337DC8" w:rsidP="00337DC8">
            <w:pPr>
              <w:pStyle w:val="BodyText"/>
              <w:spacing w:after="0"/>
              <w:ind w:right="92"/>
              <w:jc w:val="left"/>
              <w:rPr>
                <w:sz w:val="18"/>
                <w:szCs w:val="18"/>
              </w:rPr>
            </w:pPr>
            <w:r w:rsidRPr="005C0B8A">
              <w:rPr>
                <w:sz w:val="18"/>
                <w:szCs w:val="18"/>
              </w:rPr>
              <w:t>Buena Vista School District R-31</w:t>
            </w:r>
          </w:p>
        </w:tc>
        <w:tc>
          <w:tcPr>
            <w:tcW w:w="3359" w:type="dxa"/>
            <w:shd w:val="clear" w:color="auto" w:fill="auto"/>
          </w:tcPr>
          <w:p w:rsidR="00337DC8" w:rsidRPr="005C0B8A" w:rsidRDefault="00337DC8" w:rsidP="00337DC8">
            <w:pPr>
              <w:pStyle w:val="BodyText"/>
              <w:spacing w:after="0"/>
              <w:ind w:right="92"/>
              <w:jc w:val="left"/>
              <w:rPr>
                <w:sz w:val="18"/>
                <w:szCs w:val="18"/>
              </w:rPr>
            </w:pPr>
            <w:r w:rsidRPr="005C0B8A">
              <w:rPr>
                <w:sz w:val="18"/>
                <w:szCs w:val="18"/>
              </w:rPr>
              <w:t>New middle school and high school and gym and building renovations</w:t>
            </w:r>
            <w:r w:rsidRPr="005C0B8A">
              <w:rPr>
                <w:sz w:val="18"/>
                <w:szCs w:val="18"/>
              </w:rPr>
              <w:br/>
              <w:t>134,128 sq. ft. w/ 47 classrooms</w:t>
            </w:r>
          </w:p>
        </w:tc>
        <w:tc>
          <w:tcPr>
            <w:tcW w:w="3296" w:type="dxa"/>
            <w:tcBorders>
              <w:left w:val="nil"/>
            </w:tcBorders>
            <w:shd w:val="clear" w:color="auto" w:fill="auto"/>
          </w:tcPr>
          <w:p w:rsidR="00337DC8" w:rsidRPr="005C0B8A" w:rsidRDefault="00337DC8" w:rsidP="00337DC8">
            <w:pPr>
              <w:pStyle w:val="BodyText"/>
              <w:spacing w:after="0"/>
              <w:ind w:right="92"/>
              <w:jc w:val="left"/>
              <w:rPr>
                <w:sz w:val="18"/>
                <w:szCs w:val="18"/>
              </w:rPr>
            </w:pPr>
          </w:p>
        </w:tc>
      </w:tr>
      <w:tr w:rsidR="00337DC8" w:rsidRPr="004D72DD" w:rsidTr="003E21D9">
        <w:trPr>
          <w:jc w:val="center"/>
        </w:trPr>
        <w:tc>
          <w:tcPr>
            <w:tcW w:w="3335" w:type="dxa"/>
            <w:gridSpan w:val="2"/>
            <w:shd w:val="clear" w:color="auto" w:fill="auto"/>
            <w:tcMar>
              <w:bottom w:w="58" w:type="dxa"/>
            </w:tcMar>
          </w:tcPr>
          <w:p w:rsidR="00337DC8" w:rsidRPr="005C0B8A" w:rsidRDefault="00337DC8" w:rsidP="00337DC8">
            <w:pPr>
              <w:pStyle w:val="BodyText"/>
              <w:spacing w:after="0"/>
              <w:ind w:right="92"/>
              <w:jc w:val="left"/>
              <w:rPr>
                <w:sz w:val="18"/>
                <w:szCs w:val="18"/>
              </w:rPr>
            </w:pPr>
            <w:r w:rsidRPr="005C0B8A">
              <w:rPr>
                <w:sz w:val="18"/>
                <w:szCs w:val="18"/>
              </w:rPr>
              <w:t>Canon City School District RE-1</w:t>
            </w:r>
          </w:p>
        </w:tc>
        <w:tc>
          <w:tcPr>
            <w:tcW w:w="3359" w:type="dxa"/>
            <w:shd w:val="clear" w:color="auto" w:fill="auto"/>
          </w:tcPr>
          <w:p w:rsidR="00337DC8" w:rsidRPr="005C0B8A" w:rsidRDefault="00337DC8" w:rsidP="00337DC8">
            <w:pPr>
              <w:pStyle w:val="BodyText"/>
              <w:spacing w:after="0"/>
              <w:ind w:right="92"/>
              <w:jc w:val="left"/>
              <w:rPr>
                <w:sz w:val="18"/>
                <w:szCs w:val="18"/>
              </w:rPr>
            </w:pPr>
            <w:r w:rsidRPr="005C0B8A">
              <w:rPr>
                <w:sz w:val="18"/>
                <w:szCs w:val="18"/>
              </w:rPr>
              <w:t>New elementary school</w:t>
            </w:r>
            <w:r w:rsidRPr="005C0B8A">
              <w:rPr>
                <w:sz w:val="18"/>
                <w:szCs w:val="18"/>
              </w:rPr>
              <w:br/>
              <w:t>46,994 sq. ft. w/ 15 classrooms</w:t>
            </w:r>
          </w:p>
        </w:tc>
        <w:tc>
          <w:tcPr>
            <w:tcW w:w="3296" w:type="dxa"/>
            <w:tcBorders>
              <w:left w:val="nil"/>
            </w:tcBorders>
            <w:shd w:val="clear" w:color="auto" w:fill="auto"/>
          </w:tcPr>
          <w:p w:rsidR="00337DC8" w:rsidRPr="005C0B8A" w:rsidRDefault="00337DC8" w:rsidP="00337DC8">
            <w:pPr>
              <w:pStyle w:val="BodyText"/>
              <w:spacing w:after="0"/>
              <w:ind w:right="92"/>
              <w:jc w:val="left"/>
              <w:rPr>
                <w:sz w:val="18"/>
                <w:szCs w:val="18"/>
              </w:rPr>
            </w:pPr>
          </w:p>
        </w:tc>
      </w:tr>
      <w:tr w:rsidR="00337DC8" w:rsidRPr="004D72DD" w:rsidTr="003E21D9">
        <w:trPr>
          <w:jc w:val="center"/>
        </w:trPr>
        <w:tc>
          <w:tcPr>
            <w:tcW w:w="3335" w:type="dxa"/>
            <w:gridSpan w:val="2"/>
            <w:shd w:val="clear" w:color="auto" w:fill="auto"/>
            <w:tcMar>
              <w:bottom w:w="58" w:type="dxa"/>
            </w:tcMar>
          </w:tcPr>
          <w:p w:rsidR="00337DC8" w:rsidRPr="005C0B8A" w:rsidRDefault="00337DC8" w:rsidP="00337DC8">
            <w:pPr>
              <w:pStyle w:val="BodyText"/>
              <w:spacing w:after="0"/>
              <w:ind w:right="92"/>
              <w:jc w:val="left"/>
              <w:rPr>
                <w:sz w:val="18"/>
                <w:szCs w:val="18"/>
              </w:rPr>
            </w:pPr>
            <w:r w:rsidRPr="005C0B8A">
              <w:rPr>
                <w:sz w:val="18"/>
                <w:szCs w:val="18"/>
              </w:rPr>
              <w:t>Hayden School District RE-1</w:t>
            </w:r>
          </w:p>
        </w:tc>
        <w:tc>
          <w:tcPr>
            <w:tcW w:w="3359" w:type="dxa"/>
            <w:shd w:val="clear" w:color="auto" w:fill="auto"/>
          </w:tcPr>
          <w:p w:rsidR="00337DC8" w:rsidRPr="005C0B8A" w:rsidRDefault="00337DC8" w:rsidP="00337DC8">
            <w:pPr>
              <w:pStyle w:val="BodyText"/>
              <w:spacing w:after="0"/>
              <w:ind w:right="92"/>
              <w:jc w:val="left"/>
              <w:rPr>
                <w:sz w:val="18"/>
                <w:szCs w:val="18"/>
              </w:rPr>
            </w:pPr>
            <w:r w:rsidRPr="005C0B8A">
              <w:rPr>
                <w:sz w:val="18"/>
                <w:szCs w:val="18"/>
              </w:rPr>
              <w:t>New middle school and high school plus renovation of elementary school</w:t>
            </w:r>
            <w:r w:rsidRPr="005C0B8A">
              <w:rPr>
                <w:sz w:val="18"/>
                <w:szCs w:val="18"/>
              </w:rPr>
              <w:br/>
              <w:t>136,962 sq. ft. w/ 38 classrooms</w:t>
            </w:r>
          </w:p>
        </w:tc>
        <w:tc>
          <w:tcPr>
            <w:tcW w:w="3296" w:type="dxa"/>
            <w:tcBorders>
              <w:left w:val="nil"/>
            </w:tcBorders>
            <w:shd w:val="clear" w:color="auto" w:fill="auto"/>
          </w:tcPr>
          <w:p w:rsidR="00337DC8" w:rsidRPr="005C0B8A" w:rsidRDefault="00337DC8" w:rsidP="00337DC8">
            <w:pPr>
              <w:pStyle w:val="BodyText"/>
              <w:spacing w:after="0"/>
              <w:ind w:right="92"/>
              <w:jc w:val="left"/>
              <w:rPr>
                <w:sz w:val="18"/>
                <w:szCs w:val="18"/>
              </w:rPr>
            </w:pPr>
          </w:p>
        </w:tc>
      </w:tr>
      <w:tr w:rsidR="00337DC8" w:rsidRPr="004D72DD" w:rsidTr="003E21D9">
        <w:trPr>
          <w:jc w:val="center"/>
        </w:trPr>
        <w:tc>
          <w:tcPr>
            <w:tcW w:w="3335" w:type="dxa"/>
            <w:gridSpan w:val="2"/>
            <w:shd w:val="clear" w:color="auto" w:fill="auto"/>
            <w:tcMar>
              <w:bottom w:w="58" w:type="dxa"/>
            </w:tcMar>
          </w:tcPr>
          <w:p w:rsidR="00337DC8" w:rsidRPr="005C0B8A" w:rsidRDefault="00337DC8" w:rsidP="00337DC8">
            <w:pPr>
              <w:pStyle w:val="BodyText"/>
              <w:spacing w:after="0"/>
              <w:ind w:right="92"/>
              <w:jc w:val="left"/>
              <w:rPr>
                <w:sz w:val="18"/>
                <w:szCs w:val="18"/>
              </w:rPr>
            </w:pPr>
            <w:r w:rsidRPr="005C0B8A">
              <w:rPr>
                <w:sz w:val="18"/>
                <w:szCs w:val="18"/>
              </w:rPr>
              <w:t>Kit Carson School District R-1</w:t>
            </w:r>
          </w:p>
        </w:tc>
        <w:tc>
          <w:tcPr>
            <w:tcW w:w="3359" w:type="dxa"/>
            <w:shd w:val="clear" w:color="auto" w:fill="auto"/>
          </w:tcPr>
          <w:p w:rsidR="00337DC8" w:rsidRPr="005C0B8A" w:rsidRDefault="00337DC8" w:rsidP="00337DC8">
            <w:pPr>
              <w:pStyle w:val="BodyText"/>
              <w:spacing w:after="0"/>
              <w:ind w:right="92"/>
              <w:jc w:val="left"/>
              <w:rPr>
                <w:sz w:val="18"/>
                <w:szCs w:val="18"/>
              </w:rPr>
            </w:pPr>
            <w:r w:rsidRPr="005C0B8A">
              <w:rPr>
                <w:sz w:val="18"/>
                <w:szCs w:val="18"/>
              </w:rPr>
              <w:t xml:space="preserve">New </w:t>
            </w:r>
            <w:r>
              <w:rPr>
                <w:sz w:val="18"/>
                <w:szCs w:val="18"/>
              </w:rPr>
              <w:t xml:space="preserve">PK-12 school </w:t>
            </w:r>
            <w:r>
              <w:rPr>
                <w:sz w:val="18"/>
                <w:szCs w:val="18"/>
              </w:rPr>
              <w:br/>
              <w:t xml:space="preserve">48,000 sq. ft. w/ </w:t>
            </w:r>
            <w:r w:rsidRPr="005C0B8A">
              <w:rPr>
                <w:sz w:val="18"/>
                <w:szCs w:val="18"/>
              </w:rPr>
              <w:t>18 classrooms</w:t>
            </w:r>
          </w:p>
        </w:tc>
        <w:tc>
          <w:tcPr>
            <w:tcW w:w="3296" w:type="dxa"/>
            <w:tcBorders>
              <w:left w:val="nil"/>
            </w:tcBorders>
            <w:shd w:val="clear" w:color="auto" w:fill="auto"/>
          </w:tcPr>
          <w:p w:rsidR="00337DC8" w:rsidRPr="005C0B8A" w:rsidRDefault="00337DC8" w:rsidP="00337DC8">
            <w:pPr>
              <w:pStyle w:val="BodyText"/>
              <w:spacing w:after="0"/>
              <w:ind w:right="92"/>
              <w:jc w:val="left"/>
              <w:rPr>
                <w:sz w:val="18"/>
                <w:szCs w:val="18"/>
              </w:rPr>
            </w:pPr>
          </w:p>
        </w:tc>
      </w:tr>
      <w:tr w:rsidR="00337DC8" w:rsidRPr="004D72DD" w:rsidTr="003E21D9">
        <w:trPr>
          <w:jc w:val="center"/>
        </w:trPr>
        <w:tc>
          <w:tcPr>
            <w:tcW w:w="3335" w:type="dxa"/>
            <w:gridSpan w:val="2"/>
            <w:shd w:val="clear" w:color="auto" w:fill="auto"/>
            <w:tcMar>
              <w:bottom w:w="58" w:type="dxa"/>
            </w:tcMar>
          </w:tcPr>
          <w:p w:rsidR="00337DC8" w:rsidRPr="005C0B8A" w:rsidRDefault="00337DC8" w:rsidP="00337DC8">
            <w:pPr>
              <w:pStyle w:val="BodyText"/>
              <w:spacing w:after="0"/>
              <w:ind w:right="92"/>
              <w:jc w:val="left"/>
              <w:rPr>
                <w:sz w:val="18"/>
                <w:szCs w:val="18"/>
              </w:rPr>
            </w:pPr>
            <w:r w:rsidRPr="005C0B8A">
              <w:rPr>
                <w:sz w:val="18"/>
                <w:szCs w:val="18"/>
              </w:rPr>
              <w:t>Mapleton School District 1</w:t>
            </w:r>
          </w:p>
        </w:tc>
        <w:tc>
          <w:tcPr>
            <w:tcW w:w="3359" w:type="dxa"/>
            <w:shd w:val="clear" w:color="auto" w:fill="auto"/>
          </w:tcPr>
          <w:p w:rsidR="00337DC8" w:rsidRPr="005C0B8A" w:rsidRDefault="00337DC8" w:rsidP="00337DC8">
            <w:pPr>
              <w:pStyle w:val="BodyText"/>
              <w:spacing w:after="0"/>
              <w:ind w:right="92"/>
              <w:jc w:val="left"/>
              <w:rPr>
                <w:sz w:val="18"/>
                <w:szCs w:val="18"/>
              </w:rPr>
            </w:pPr>
            <w:r w:rsidRPr="005C0B8A">
              <w:rPr>
                <w:sz w:val="18"/>
                <w:szCs w:val="18"/>
              </w:rPr>
              <w:t xml:space="preserve">New 4-8 school </w:t>
            </w:r>
            <w:r w:rsidRPr="005C0B8A">
              <w:rPr>
                <w:sz w:val="18"/>
                <w:szCs w:val="18"/>
              </w:rPr>
              <w:br/>
              <w:t>45,980 sq. ft. w/ 20 classrooms</w:t>
            </w:r>
          </w:p>
        </w:tc>
        <w:tc>
          <w:tcPr>
            <w:tcW w:w="3296" w:type="dxa"/>
            <w:tcBorders>
              <w:left w:val="nil"/>
            </w:tcBorders>
            <w:shd w:val="clear" w:color="auto" w:fill="auto"/>
          </w:tcPr>
          <w:p w:rsidR="00337DC8" w:rsidRPr="005C0B8A" w:rsidRDefault="00337DC8" w:rsidP="00337DC8">
            <w:pPr>
              <w:pStyle w:val="BodyText"/>
              <w:spacing w:after="0"/>
              <w:ind w:right="92"/>
              <w:jc w:val="left"/>
              <w:rPr>
                <w:sz w:val="18"/>
                <w:szCs w:val="18"/>
              </w:rPr>
            </w:pPr>
          </w:p>
        </w:tc>
      </w:tr>
      <w:tr w:rsidR="00337DC8" w:rsidRPr="004D72DD" w:rsidTr="003E21D9">
        <w:trPr>
          <w:jc w:val="center"/>
        </w:trPr>
        <w:tc>
          <w:tcPr>
            <w:tcW w:w="3335" w:type="dxa"/>
            <w:gridSpan w:val="2"/>
            <w:shd w:val="clear" w:color="auto" w:fill="auto"/>
            <w:tcMar>
              <w:bottom w:w="58" w:type="dxa"/>
            </w:tcMar>
          </w:tcPr>
          <w:p w:rsidR="00337DC8" w:rsidRPr="005C0B8A" w:rsidRDefault="00337DC8" w:rsidP="00337DC8">
            <w:pPr>
              <w:pStyle w:val="BodyText"/>
              <w:spacing w:after="0"/>
              <w:ind w:right="92"/>
              <w:jc w:val="left"/>
              <w:rPr>
                <w:sz w:val="18"/>
                <w:szCs w:val="18"/>
              </w:rPr>
            </w:pPr>
            <w:r w:rsidRPr="005C0B8A">
              <w:rPr>
                <w:sz w:val="18"/>
                <w:szCs w:val="18"/>
              </w:rPr>
              <w:t>Swallows Charter Academy</w:t>
            </w:r>
          </w:p>
        </w:tc>
        <w:tc>
          <w:tcPr>
            <w:tcW w:w="3359" w:type="dxa"/>
            <w:shd w:val="clear" w:color="auto" w:fill="auto"/>
          </w:tcPr>
          <w:p w:rsidR="00337DC8" w:rsidRPr="005C0B8A" w:rsidRDefault="00337DC8" w:rsidP="00337DC8">
            <w:pPr>
              <w:pStyle w:val="BodyText"/>
              <w:spacing w:after="0"/>
              <w:ind w:right="92"/>
              <w:jc w:val="left"/>
              <w:rPr>
                <w:sz w:val="18"/>
                <w:szCs w:val="18"/>
              </w:rPr>
            </w:pPr>
            <w:r w:rsidRPr="005C0B8A">
              <w:rPr>
                <w:sz w:val="18"/>
                <w:szCs w:val="18"/>
              </w:rPr>
              <w:t>Addition to K-12 school</w:t>
            </w:r>
            <w:r w:rsidRPr="005C0B8A">
              <w:rPr>
                <w:sz w:val="18"/>
                <w:szCs w:val="18"/>
              </w:rPr>
              <w:br/>
              <w:t>45,755 sq. ft. w/ 27 classrooms</w:t>
            </w:r>
          </w:p>
        </w:tc>
        <w:tc>
          <w:tcPr>
            <w:tcW w:w="3296" w:type="dxa"/>
            <w:tcBorders>
              <w:left w:val="nil"/>
            </w:tcBorders>
            <w:shd w:val="clear" w:color="auto" w:fill="auto"/>
          </w:tcPr>
          <w:p w:rsidR="00337DC8" w:rsidRPr="005C0B8A" w:rsidRDefault="00337DC8" w:rsidP="00337DC8">
            <w:pPr>
              <w:pStyle w:val="BodyText"/>
              <w:spacing w:after="0"/>
              <w:ind w:right="92"/>
              <w:jc w:val="left"/>
              <w:rPr>
                <w:sz w:val="18"/>
                <w:szCs w:val="18"/>
              </w:rPr>
            </w:pPr>
          </w:p>
        </w:tc>
      </w:tr>
      <w:tr w:rsidR="00337DC8" w:rsidRPr="004D72DD" w:rsidTr="003E21D9">
        <w:trPr>
          <w:jc w:val="center"/>
        </w:trPr>
        <w:tc>
          <w:tcPr>
            <w:tcW w:w="3335" w:type="dxa"/>
            <w:gridSpan w:val="2"/>
            <w:shd w:val="clear" w:color="auto" w:fill="auto"/>
            <w:tcMar>
              <w:bottom w:w="58" w:type="dxa"/>
            </w:tcMar>
          </w:tcPr>
          <w:p w:rsidR="00337DC8" w:rsidRPr="005C0B8A" w:rsidRDefault="00337DC8" w:rsidP="00337DC8">
            <w:pPr>
              <w:pStyle w:val="BodyText"/>
              <w:spacing w:after="80"/>
              <w:ind w:right="86"/>
              <w:jc w:val="left"/>
              <w:rPr>
                <w:sz w:val="18"/>
                <w:szCs w:val="18"/>
              </w:rPr>
            </w:pPr>
            <w:r w:rsidRPr="005C0B8A">
              <w:rPr>
                <w:sz w:val="18"/>
                <w:szCs w:val="18"/>
              </w:rPr>
              <w:t>Wray School District RD-2</w:t>
            </w:r>
          </w:p>
        </w:tc>
        <w:tc>
          <w:tcPr>
            <w:tcW w:w="3359" w:type="dxa"/>
            <w:shd w:val="clear" w:color="auto" w:fill="auto"/>
          </w:tcPr>
          <w:p w:rsidR="00337DC8" w:rsidRPr="005C0B8A" w:rsidRDefault="00337DC8" w:rsidP="00337DC8">
            <w:pPr>
              <w:pStyle w:val="BodyText"/>
              <w:spacing w:after="80"/>
              <w:ind w:right="86"/>
              <w:jc w:val="left"/>
              <w:rPr>
                <w:sz w:val="18"/>
                <w:szCs w:val="18"/>
              </w:rPr>
            </w:pPr>
            <w:r w:rsidRPr="005C0B8A">
              <w:rPr>
                <w:sz w:val="18"/>
                <w:szCs w:val="18"/>
              </w:rPr>
              <w:t>New middle school as addition to existing</w:t>
            </w:r>
            <w:r w:rsidRPr="005C0B8A">
              <w:rPr>
                <w:sz w:val="18"/>
                <w:szCs w:val="18"/>
              </w:rPr>
              <w:br/>
              <w:t xml:space="preserve">elementary school and </w:t>
            </w:r>
            <w:r>
              <w:rPr>
                <w:sz w:val="18"/>
                <w:szCs w:val="18"/>
              </w:rPr>
              <w:t>high school</w:t>
            </w:r>
            <w:r>
              <w:rPr>
                <w:sz w:val="18"/>
                <w:szCs w:val="18"/>
              </w:rPr>
              <w:br/>
              <w:t>150,800 sq. ft. w/ 5</w:t>
            </w:r>
            <w:r w:rsidRPr="005C0B8A">
              <w:rPr>
                <w:sz w:val="18"/>
                <w:szCs w:val="18"/>
              </w:rPr>
              <w:t>7 classrooms</w:t>
            </w:r>
          </w:p>
        </w:tc>
        <w:tc>
          <w:tcPr>
            <w:tcW w:w="3296" w:type="dxa"/>
            <w:tcBorders>
              <w:left w:val="nil"/>
            </w:tcBorders>
            <w:shd w:val="clear" w:color="auto" w:fill="auto"/>
          </w:tcPr>
          <w:p w:rsidR="00337DC8" w:rsidRPr="005C0B8A" w:rsidRDefault="00337DC8" w:rsidP="00337DC8">
            <w:pPr>
              <w:pStyle w:val="BodyText"/>
              <w:spacing w:after="80"/>
              <w:ind w:right="86"/>
              <w:jc w:val="left"/>
              <w:rPr>
                <w:sz w:val="18"/>
                <w:szCs w:val="18"/>
              </w:rPr>
            </w:pPr>
          </w:p>
        </w:tc>
      </w:tr>
      <w:tr w:rsidR="00EC4D42" w:rsidRPr="004D72DD" w:rsidTr="003E21D9">
        <w:trPr>
          <w:jc w:val="center"/>
        </w:trPr>
        <w:tc>
          <w:tcPr>
            <w:tcW w:w="9990" w:type="dxa"/>
            <w:gridSpan w:val="4"/>
            <w:shd w:val="clear" w:color="auto" w:fill="auto"/>
            <w:tcMar>
              <w:bottom w:w="58" w:type="dxa"/>
            </w:tcMar>
          </w:tcPr>
          <w:p w:rsidR="00EC4D42" w:rsidRPr="005C0B8A" w:rsidRDefault="00EC4D42" w:rsidP="00171BB9">
            <w:pPr>
              <w:spacing w:before="80" w:after="80"/>
              <w:ind w:left="2160" w:hanging="2160"/>
              <w:jc w:val="left"/>
              <w:rPr>
                <w:b/>
                <w:sz w:val="18"/>
                <w:szCs w:val="18"/>
              </w:rPr>
            </w:pPr>
            <w:r w:rsidRPr="005C0B8A">
              <w:rPr>
                <w:b/>
                <w:sz w:val="18"/>
                <w:szCs w:val="18"/>
              </w:rPr>
              <w:t>Series 2019O Certificates</w:t>
            </w:r>
          </w:p>
        </w:tc>
      </w:tr>
      <w:tr w:rsidR="00171BB9" w:rsidRPr="004D72DD" w:rsidTr="003E21D9">
        <w:trPr>
          <w:jc w:val="center"/>
        </w:trPr>
        <w:tc>
          <w:tcPr>
            <w:tcW w:w="3335" w:type="dxa"/>
            <w:gridSpan w:val="2"/>
            <w:shd w:val="clear" w:color="auto" w:fill="auto"/>
            <w:tcMar>
              <w:bottom w:w="58" w:type="dxa"/>
            </w:tcMar>
          </w:tcPr>
          <w:p w:rsidR="00171BB9" w:rsidRPr="007721E8" w:rsidRDefault="00171BB9" w:rsidP="00171BB9">
            <w:pPr>
              <w:spacing w:before="80" w:after="80"/>
              <w:jc w:val="left"/>
              <w:rPr>
                <w:sz w:val="18"/>
                <w:szCs w:val="18"/>
              </w:rPr>
            </w:pPr>
            <w:r w:rsidRPr="007721E8">
              <w:rPr>
                <w:sz w:val="18"/>
                <w:szCs w:val="18"/>
              </w:rPr>
              <w:t>Adams-Arapahoe 28J</w:t>
            </w:r>
          </w:p>
        </w:tc>
        <w:tc>
          <w:tcPr>
            <w:tcW w:w="3359" w:type="dxa"/>
            <w:shd w:val="clear" w:color="auto" w:fill="auto"/>
          </w:tcPr>
          <w:p w:rsidR="00171BB9" w:rsidRPr="008449C5" w:rsidRDefault="00390B40" w:rsidP="0026412C">
            <w:pPr>
              <w:spacing w:before="80" w:after="80"/>
              <w:jc w:val="left"/>
              <w:rPr>
                <w:sz w:val="18"/>
                <w:szCs w:val="18"/>
              </w:rPr>
            </w:pPr>
            <w:r w:rsidRPr="008449C5">
              <w:rPr>
                <w:sz w:val="18"/>
                <w:szCs w:val="18"/>
              </w:rPr>
              <w:t>Middle School</w:t>
            </w:r>
            <w:r w:rsidRPr="008449C5">
              <w:rPr>
                <w:sz w:val="18"/>
                <w:szCs w:val="18"/>
              </w:rPr>
              <w:br/>
              <w:t>131,000 sq. ft. w/</w:t>
            </w:r>
            <w:r w:rsidR="0026412C">
              <w:rPr>
                <w:sz w:val="18"/>
                <w:szCs w:val="18"/>
              </w:rPr>
              <w:t xml:space="preserve"> 51</w:t>
            </w:r>
            <w:r w:rsidRPr="008449C5">
              <w:rPr>
                <w:sz w:val="18"/>
                <w:szCs w:val="18"/>
              </w:rPr>
              <w:t xml:space="preserve"> classrooms</w:t>
            </w:r>
          </w:p>
        </w:tc>
        <w:tc>
          <w:tcPr>
            <w:tcW w:w="3296" w:type="dxa"/>
            <w:tcBorders>
              <w:left w:val="nil"/>
            </w:tcBorders>
            <w:shd w:val="clear" w:color="auto" w:fill="auto"/>
          </w:tcPr>
          <w:p w:rsidR="00171BB9" w:rsidRPr="007721E8" w:rsidRDefault="00171BB9" w:rsidP="00171BB9">
            <w:pPr>
              <w:spacing w:before="80" w:after="80"/>
              <w:jc w:val="left"/>
              <w:rPr>
                <w:sz w:val="18"/>
                <w:szCs w:val="18"/>
              </w:rPr>
            </w:pPr>
          </w:p>
        </w:tc>
      </w:tr>
      <w:tr w:rsidR="00171BB9" w:rsidRPr="004D72DD" w:rsidTr="003E21D9">
        <w:trPr>
          <w:jc w:val="center"/>
        </w:trPr>
        <w:tc>
          <w:tcPr>
            <w:tcW w:w="3335" w:type="dxa"/>
            <w:gridSpan w:val="2"/>
            <w:shd w:val="clear" w:color="auto" w:fill="auto"/>
            <w:tcMar>
              <w:bottom w:w="58" w:type="dxa"/>
            </w:tcMar>
          </w:tcPr>
          <w:p w:rsidR="00171BB9" w:rsidRPr="007721E8" w:rsidRDefault="00171BB9" w:rsidP="00171BB9">
            <w:pPr>
              <w:spacing w:before="80" w:after="80"/>
              <w:jc w:val="left"/>
              <w:rPr>
                <w:sz w:val="18"/>
                <w:szCs w:val="18"/>
              </w:rPr>
            </w:pPr>
            <w:r w:rsidRPr="007721E8">
              <w:rPr>
                <w:sz w:val="18"/>
                <w:szCs w:val="18"/>
              </w:rPr>
              <w:t>Lake County R-1</w:t>
            </w:r>
          </w:p>
        </w:tc>
        <w:tc>
          <w:tcPr>
            <w:tcW w:w="3359" w:type="dxa"/>
            <w:shd w:val="clear" w:color="auto" w:fill="auto"/>
          </w:tcPr>
          <w:p w:rsidR="00171BB9" w:rsidRPr="008449C5" w:rsidRDefault="00390B40" w:rsidP="0026412C">
            <w:pPr>
              <w:spacing w:before="80" w:after="80"/>
              <w:jc w:val="left"/>
              <w:rPr>
                <w:sz w:val="18"/>
                <w:szCs w:val="18"/>
              </w:rPr>
            </w:pPr>
            <w:r w:rsidRPr="008449C5">
              <w:rPr>
                <w:sz w:val="18"/>
                <w:szCs w:val="18"/>
              </w:rPr>
              <w:t>Elementary School</w:t>
            </w:r>
            <w:r w:rsidRPr="008449C5">
              <w:rPr>
                <w:sz w:val="18"/>
                <w:szCs w:val="18"/>
              </w:rPr>
              <w:br/>
              <w:t>58,459 sq. ft. w/</w:t>
            </w:r>
            <w:r w:rsidR="0026412C">
              <w:rPr>
                <w:sz w:val="18"/>
                <w:szCs w:val="18"/>
              </w:rPr>
              <w:t xml:space="preserve"> 21 </w:t>
            </w:r>
            <w:r w:rsidRPr="008449C5">
              <w:rPr>
                <w:sz w:val="18"/>
                <w:szCs w:val="18"/>
              </w:rPr>
              <w:t>classrooms</w:t>
            </w:r>
          </w:p>
        </w:tc>
        <w:tc>
          <w:tcPr>
            <w:tcW w:w="3296" w:type="dxa"/>
            <w:tcBorders>
              <w:left w:val="nil"/>
            </w:tcBorders>
            <w:shd w:val="clear" w:color="auto" w:fill="auto"/>
          </w:tcPr>
          <w:p w:rsidR="00171BB9" w:rsidRPr="007721E8" w:rsidRDefault="00171BB9" w:rsidP="00171BB9">
            <w:pPr>
              <w:spacing w:before="80" w:after="80"/>
              <w:jc w:val="left"/>
              <w:rPr>
                <w:sz w:val="18"/>
                <w:szCs w:val="18"/>
              </w:rPr>
            </w:pPr>
          </w:p>
        </w:tc>
      </w:tr>
      <w:tr w:rsidR="00171BB9" w:rsidRPr="004D72DD" w:rsidTr="003E21D9">
        <w:trPr>
          <w:jc w:val="center"/>
        </w:trPr>
        <w:tc>
          <w:tcPr>
            <w:tcW w:w="3335" w:type="dxa"/>
            <w:gridSpan w:val="2"/>
            <w:shd w:val="clear" w:color="auto" w:fill="auto"/>
            <w:tcMar>
              <w:bottom w:w="58" w:type="dxa"/>
            </w:tcMar>
          </w:tcPr>
          <w:p w:rsidR="00171BB9" w:rsidRPr="007721E8" w:rsidRDefault="00171BB9" w:rsidP="00171BB9">
            <w:pPr>
              <w:spacing w:before="80" w:after="80"/>
              <w:jc w:val="left"/>
              <w:rPr>
                <w:sz w:val="18"/>
                <w:szCs w:val="18"/>
              </w:rPr>
            </w:pPr>
            <w:r w:rsidRPr="007721E8">
              <w:rPr>
                <w:sz w:val="18"/>
                <w:szCs w:val="18"/>
              </w:rPr>
              <w:t>Manzanola 3J</w:t>
            </w:r>
          </w:p>
        </w:tc>
        <w:tc>
          <w:tcPr>
            <w:tcW w:w="3359" w:type="dxa"/>
            <w:shd w:val="clear" w:color="auto" w:fill="auto"/>
          </w:tcPr>
          <w:p w:rsidR="00171BB9" w:rsidRPr="008449C5" w:rsidRDefault="00390B40" w:rsidP="0026412C">
            <w:pPr>
              <w:spacing w:before="80" w:after="80"/>
              <w:jc w:val="left"/>
              <w:rPr>
                <w:sz w:val="18"/>
                <w:szCs w:val="18"/>
              </w:rPr>
            </w:pPr>
            <w:r w:rsidRPr="008449C5">
              <w:rPr>
                <w:sz w:val="18"/>
                <w:szCs w:val="18"/>
              </w:rPr>
              <w:t>PK-12 School</w:t>
            </w:r>
            <w:r w:rsidRPr="008449C5">
              <w:rPr>
                <w:sz w:val="18"/>
                <w:szCs w:val="18"/>
              </w:rPr>
              <w:br/>
              <w:t>34,255 sq. ft. w/</w:t>
            </w:r>
            <w:r w:rsidR="0026412C">
              <w:rPr>
                <w:sz w:val="18"/>
                <w:szCs w:val="18"/>
              </w:rPr>
              <w:t xml:space="preserve"> 14</w:t>
            </w:r>
            <w:r w:rsidRPr="008449C5">
              <w:rPr>
                <w:sz w:val="18"/>
                <w:szCs w:val="18"/>
              </w:rPr>
              <w:t xml:space="preserve"> classrooms</w:t>
            </w:r>
          </w:p>
        </w:tc>
        <w:tc>
          <w:tcPr>
            <w:tcW w:w="3296" w:type="dxa"/>
            <w:tcBorders>
              <w:left w:val="nil"/>
            </w:tcBorders>
            <w:shd w:val="clear" w:color="auto" w:fill="auto"/>
          </w:tcPr>
          <w:p w:rsidR="00171BB9" w:rsidRPr="007721E8" w:rsidRDefault="00171BB9" w:rsidP="00171BB9">
            <w:pPr>
              <w:spacing w:before="80" w:after="80"/>
              <w:jc w:val="left"/>
              <w:rPr>
                <w:sz w:val="18"/>
                <w:szCs w:val="18"/>
              </w:rPr>
            </w:pPr>
          </w:p>
        </w:tc>
      </w:tr>
      <w:tr w:rsidR="00171BB9" w:rsidRPr="004D72DD" w:rsidTr="003E21D9">
        <w:trPr>
          <w:jc w:val="center"/>
        </w:trPr>
        <w:tc>
          <w:tcPr>
            <w:tcW w:w="3335" w:type="dxa"/>
            <w:gridSpan w:val="2"/>
            <w:shd w:val="clear" w:color="auto" w:fill="auto"/>
            <w:tcMar>
              <w:bottom w:w="58" w:type="dxa"/>
            </w:tcMar>
          </w:tcPr>
          <w:p w:rsidR="00171BB9" w:rsidRPr="007721E8" w:rsidRDefault="00171BB9" w:rsidP="00171BB9">
            <w:pPr>
              <w:spacing w:before="80" w:after="80"/>
              <w:jc w:val="left"/>
              <w:rPr>
                <w:sz w:val="18"/>
                <w:szCs w:val="18"/>
              </w:rPr>
            </w:pPr>
            <w:r w:rsidRPr="007721E8">
              <w:rPr>
                <w:sz w:val="18"/>
                <w:szCs w:val="18"/>
              </w:rPr>
              <w:t>Mapleton 1</w:t>
            </w:r>
          </w:p>
        </w:tc>
        <w:tc>
          <w:tcPr>
            <w:tcW w:w="3359" w:type="dxa"/>
            <w:shd w:val="clear" w:color="auto" w:fill="auto"/>
          </w:tcPr>
          <w:p w:rsidR="00171BB9" w:rsidRPr="008449C5" w:rsidRDefault="008449C5" w:rsidP="008449C5">
            <w:pPr>
              <w:spacing w:before="80" w:after="80"/>
              <w:jc w:val="left"/>
              <w:rPr>
                <w:sz w:val="18"/>
                <w:szCs w:val="18"/>
              </w:rPr>
            </w:pPr>
            <w:r w:rsidRPr="008449C5">
              <w:rPr>
                <w:sz w:val="18"/>
                <w:szCs w:val="18"/>
              </w:rPr>
              <w:t>Elementary School</w:t>
            </w:r>
            <w:r w:rsidRPr="008449C5">
              <w:rPr>
                <w:sz w:val="18"/>
                <w:szCs w:val="18"/>
              </w:rPr>
              <w:br/>
              <w:t>60,000 sq. ft. w/</w:t>
            </w:r>
            <w:r w:rsidR="0026412C">
              <w:rPr>
                <w:sz w:val="18"/>
                <w:szCs w:val="18"/>
              </w:rPr>
              <w:t xml:space="preserve"> </w:t>
            </w:r>
            <w:r w:rsidRPr="008449C5">
              <w:rPr>
                <w:sz w:val="18"/>
                <w:szCs w:val="18"/>
              </w:rPr>
              <w:t>26 classrooms</w:t>
            </w:r>
          </w:p>
        </w:tc>
        <w:tc>
          <w:tcPr>
            <w:tcW w:w="3296" w:type="dxa"/>
            <w:tcBorders>
              <w:left w:val="nil"/>
            </w:tcBorders>
            <w:shd w:val="clear" w:color="auto" w:fill="auto"/>
          </w:tcPr>
          <w:p w:rsidR="00171BB9" w:rsidRPr="007721E8" w:rsidRDefault="00171BB9" w:rsidP="00171BB9">
            <w:pPr>
              <w:spacing w:before="80" w:after="80"/>
              <w:jc w:val="left"/>
              <w:rPr>
                <w:b/>
                <w:sz w:val="18"/>
                <w:szCs w:val="18"/>
              </w:rPr>
            </w:pPr>
          </w:p>
        </w:tc>
      </w:tr>
      <w:tr w:rsidR="00171BB9" w:rsidRPr="004D72DD" w:rsidTr="003E21D9">
        <w:trPr>
          <w:jc w:val="center"/>
        </w:trPr>
        <w:tc>
          <w:tcPr>
            <w:tcW w:w="3335" w:type="dxa"/>
            <w:gridSpan w:val="2"/>
            <w:shd w:val="clear" w:color="auto" w:fill="auto"/>
            <w:tcMar>
              <w:bottom w:w="58" w:type="dxa"/>
            </w:tcMar>
          </w:tcPr>
          <w:p w:rsidR="00171BB9" w:rsidRPr="007721E8" w:rsidRDefault="00171BB9" w:rsidP="00171BB9">
            <w:pPr>
              <w:spacing w:before="80" w:after="80"/>
              <w:jc w:val="left"/>
              <w:rPr>
                <w:sz w:val="18"/>
                <w:szCs w:val="18"/>
              </w:rPr>
            </w:pPr>
            <w:r w:rsidRPr="007721E8">
              <w:rPr>
                <w:sz w:val="18"/>
                <w:szCs w:val="18"/>
              </w:rPr>
              <w:t>North Conejos RE-1J</w:t>
            </w:r>
          </w:p>
        </w:tc>
        <w:tc>
          <w:tcPr>
            <w:tcW w:w="3359" w:type="dxa"/>
            <w:shd w:val="clear" w:color="auto" w:fill="auto"/>
          </w:tcPr>
          <w:p w:rsidR="00171BB9" w:rsidRPr="008449C5" w:rsidRDefault="008449C5" w:rsidP="008449C5">
            <w:pPr>
              <w:spacing w:before="80" w:after="80"/>
              <w:jc w:val="left"/>
              <w:rPr>
                <w:sz w:val="18"/>
                <w:szCs w:val="18"/>
              </w:rPr>
            </w:pPr>
            <w:r w:rsidRPr="008449C5">
              <w:rPr>
                <w:sz w:val="18"/>
                <w:szCs w:val="18"/>
              </w:rPr>
              <w:t>High School</w:t>
            </w:r>
            <w:r w:rsidRPr="008449C5">
              <w:rPr>
                <w:sz w:val="18"/>
                <w:szCs w:val="18"/>
              </w:rPr>
              <w:br/>
              <w:t>73,311 sq. ft. w/</w:t>
            </w:r>
            <w:r w:rsidR="0026412C">
              <w:rPr>
                <w:sz w:val="18"/>
                <w:szCs w:val="18"/>
              </w:rPr>
              <w:t xml:space="preserve"> </w:t>
            </w:r>
            <w:r w:rsidRPr="008449C5">
              <w:rPr>
                <w:sz w:val="18"/>
                <w:szCs w:val="18"/>
              </w:rPr>
              <w:t>25 classrooms</w:t>
            </w:r>
          </w:p>
        </w:tc>
        <w:tc>
          <w:tcPr>
            <w:tcW w:w="3296" w:type="dxa"/>
            <w:tcBorders>
              <w:left w:val="nil"/>
            </w:tcBorders>
            <w:shd w:val="clear" w:color="auto" w:fill="auto"/>
          </w:tcPr>
          <w:p w:rsidR="00171BB9" w:rsidRPr="007721E8" w:rsidRDefault="00171BB9" w:rsidP="00171BB9">
            <w:pPr>
              <w:spacing w:before="80" w:after="80"/>
              <w:jc w:val="left"/>
              <w:rPr>
                <w:sz w:val="18"/>
                <w:szCs w:val="18"/>
              </w:rPr>
            </w:pPr>
          </w:p>
        </w:tc>
      </w:tr>
      <w:tr w:rsidR="00171BB9" w:rsidRPr="004D72DD" w:rsidTr="003E21D9">
        <w:trPr>
          <w:jc w:val="center"/>
        </w:trPr>
        <w:tc>
          <w:tcPr>
            <w:tcW w:w="3335" w:type="dxa"/>
            <w:gridSpan w:val="2"/>
            <w:shd w:val="clear" w:color="auto" w:fill="auto"/>
            <w:tcMar>
              <w:bottom w:w="58" w:type="dxa"/>
            </w:tcMar>
          </w:tcPr>
          <w:p w:rsidR="00171BB9" w:rsidRPr="007721E8" w:rsidRDefault="00171BB9" w:rsidP="00171BB9">
            <w:pPr>
              <w:spacing w:before="80" w:after="80"/>
              <w:ind w:left="2160" w:hanging="2160"/>
              <w:jc w:val="left"/>
              <w:rPr>
                <w:sz w:val="18"/>
                <w:szCs w:val="18"/>
              </w:rPr>
            </w:pPr>
            <w:r w:rsidRPr="007721E8">
              <w:rPr>
                <w:sz w:val="18"/>
                <w:szCs w:val="18"/>
              </w:rPr>
              <w:t>Yuma 1</w:t>
            </w:r>
          </w:p>
        </w:tc>
        <w:tc>
          <w:tcPr>
            <w:tcW w:w="3359" w:type="dxa"/>
            <w:shd w:val="clear" w:color="auto" w:fill="auto"/>
          </w:tcPr>
          <w:p w:rsidR="00171BB9" w:rsidRPr="005C0B8A" w:rsidRDefault="00171BB9" w:rsidP="0026412C">
            <w:pPr>
              <w:spacing w:before="80" w:after="80"/>
              <w:jc w:val="left"/>
              <w:rPr>
                <w:b/>
                <w:sz w:val="18"/>
                <w:szCs w:val="18"/>
              </w:rPr>
            </w:pPr>
            <w:r w:rsidRPr="007721E8">
              <w:rPr>
                <w:sz w:val="18"/>
                <w:szCs w:val="18"/>
              </w:rPr>
              <w:t>High School and outbuildings</w:t>
            </w:r>
            <w:r w:rsidRPr="007721E8">
              <w:rPr>
                <w:sz w:val="18"/>
                <w:szCs w:val="18"/>
              </w:rPr>
              <w:br/>
              <w:t>64,230 sq. ft. w/</w:t>
            </w:r>
            <w:r w:rsidR="0026412C">
              <w:rPr>
                <w:sz w:val="18"/>
                <w:szCs w:val="18"/>
              </w:rPr>
              <w:t xml:space="preserve"> 22</w:t>
            </w:r>
            <w:r w:rsidRPr="007721E8">
              <w:rPr>
                <w:sz w:val="18"/>
                <w:szCs w:val="18"/>
              </w:rPr>
              <w:t xml:space="preserve"> classrooms</w:t>
            </w:r>
          </w:p>
        </w:tc>
        <w:tc>
          <w:tcPr>
            <w:tcW w:w="3296" w:type="dxa"/>
            <w:tcBorders>
              <w:left w:val="nil"/>
            </w:tcBorders>
            <w:shd w:val="clear" w:color="auto" w:fill="auto"/>
          </w:tcPr>
          <w:p w:rsidR="00171BB9" w:rsidRPr="007721E8" w:rsidRDefault="00171BB9" w:rsidP="00171BB9">
            <w:pPr>
              <w:spacing w:before="80" w:after="80"/>
              <w:jc w:val="left"/>
              <w:rPr>
                <w:sz w:val="18"/>
                <w:szCs w:val="18"/>
              </w:rPr>
            </w:pPr>
          </w:p>
        </w:tc>
      </w:tr>
      <w:tr w:rsidR="00EC4D42" w:rsidRPr="004D72DD" w:rsidTr="003E21D9">
        <w:trPr>
          <w:jc w:val="center"/>
        </w:trPr>
        <w:tc>
          <w:tcPr>
            <w:tcW w:w="9990" w:type="dxa"/>
            <w:gridSpan w:val="4"/>
            <w:shd w:val="clear" w:color="auto" w:fill="auto"/>
            <w:tcMar>
              <w:bottom w:w="58" w:type="dxa"/>
            </w:tcMar>
          </w:tcPr>
          <w:p w:rsidR="00EC4D42" w:rsidRPr="005C0B8A" w:rsidRDefault="00EC4D42" w:rsidP="00171BB9">
            <w:pPr>
              <w:spacing w:before="80" w:after="80"/>
              <w:jc w:val="left"/>
              <w:rPr>
                <w:sz w:val="18"/>
                <w:szCs w:val="18"/>
              </w:rPr>
            </w:pPr>
            <w:r w:rsidRPr="005C0B8A">
              <w:rPr>
                <w:b/>
                <w:sz w:val="18"/>
                <w:szCs w:val="18"/>
              </w:rPr>
              <w:t>Series 2</w:t>
            </w:r>
            <w:r w:rsidR="00171BB9">
              <w:rPr>
                <w:b/>
                <w:sz w:val="18"/>
                <w:szCs w:val="18"/>
              </w:rPr>
              <w:t>019P</w:t>
            </w:r>
            <w:r w:rsidRPr="005C0B8A">
              <w:rPr>
                <w:b/>
                <w:sz w:val="18"/>
                <w:szCs w:val="18"/>
              </w:rPr>
              <w:t xml:space="preserve"> Certificates</w:t>
            </w:r>
            <w:r w:rsidR="00171BB9">
              <w:rPr>
                <w:b/>
                <w:sz w:val="18"/>
                <w:szCs w:val="18"/>
              </w:rPr>
              <w:t xml:space="preserve"> </w:t>
            </w:r>
            <w:r w:rsidR="00171BB9">
              <w:rPr>
                <w:i/>
                <w:sz w:val="18"/>
                <w:szCs w:val="18"/>
              </w:rPr>
              <w:t>(See Series 2012H Certificates above)</w:t>
            </w:r>
          </w:p>
        </w:tc>
      </w:tr>
      <w:tr w:rsidR="00171BB9" w:rsidRPr="004D72DD" w:rsidTr="003E21D9">
        <w:trPr>
          <w:jc w:val="center"/>
        </w:trPr>
        <w:tc>
          <w:tcPr>
            <w:tcW w:w="9990" w:type="dxa"/>
            <w:gridSpan w:val="4"/>
            <w:shd w:val="clear" w:color="auto" w:fill="auto"/>
            <w:tcMar>
              <w:bottom w:w="58" w:type="dxa"/>
            </w:tcMar>
          </w:tcPr>
          <w:p w:rsidR="00171BB9" w:rsidRPr="005C0B8A" w:rsidRDefault="00171BB9" w:rsidP="00171BB9">
            <w:pPr>
              <w:spacing w:before="80" w:after="80"/>
              <w:jc w:val="left"/>
              <w:rPr>
                <w:b/>
                <w:sz w:val="18"/>
                <w:szCs w:val="18"/>
              </w:rPr>
            </w:pPr>
            <w:r w:rsidRPr="007721E8">
              <w:rPr>
                <w:b/>
                <w:sz w:val="18"/>
                <w:szCs w:val="18"/>
              </w:rPr>
              <w:t>Series 2019Q Certificates</w:t>
            </w:r>
            <w:r>
              <w:rPr>
                <w:i/>
                <w:sz w:val="18"/>
                <w:szCs w:val="18"/>
              </w:rPr>
              <w:t xml:space="preserve"> (See Series 2013I Certificates above)</w:t>
            </w:r>
          </w:p>
        </w:tc>
      </w:tr>
      <w:tr w:rsidR="00171BB9" w:rsidRPr="004D72DD" w:rsidTr="003E21D9">
        <w:trPr>
          <w:jc w:val="center"/>
        </w:trPr>
        <w:tc>
          <w:tcPr>
            <w:tcW w:w="9990" w:type="dxa"/>
            <w:gridSpan w:val="4"/>
            <w:shd w:val="clear" w:color="auto" w:fill="auto"/>
            <w:tcMar>
              <w:bottom w:w="58" w:type="dxa"/>
            </w:tcMar>
          </w:tcPr>
          <w:p w:rsidR="00171BB9" w:rsidRPr="005C0B8A" w:rsidRDefault="00171BB9" w:rsidP="00171BB9">
            <w:pPr>
              <w:spacing w:before="80" w:after="80"/>
              <w:jc w:val="left"/>
              <w:rPr>
                <w:b/>
                <w:sz w:val="18"/>
                <w:szCs w:val="18"/>
              </w:rPr>
            </w:pPr>
            <w:r w:rsidRPr="007721E8">
              <w:rPr>
                <w:b/>
                <w:sz w:val="18"/>
                <w:szCs w:val="18"/>
              </w:rPr>
              <w:t>Series 2020R Certificates</w:t>
            </w:r>
            <w:r>
              <w:rPr>
                <w:i/>
                <w:sz w:val="18"/>
                <w:szCs w:val="18"/>
              </w:rPr>
              <w:t xml:space="preserve"> (See “</w:t>
            </w:r>
            <w:r w:rsidR="00D227BA">
              <w:rPr>
                <w:i/>
                <w:sz w:val="18"/>
                <w:szCs w:val="18"/>
              </w:rPr>
              <w:t>PLAN OF FINANCING—The Series 2020R Projects and Series 2020R Participating K-12 Institutions” and “</w:t>
            </w:r>
            <w:r>
              <w:rPr>
                <w:i/>
                <w:sz w:val="18"/>
                <w:szCs w:val="18"/>
              </w:rPr>
              <w:t>SECURITY AND SOURCES OF PAYMENT – The Leased Property – The 2020R Leased Property”</w:t>
            </w:r>
          </w:p>
        </w:tc>
      </w:tr>
    </w:tbl>
    <w:p w:rsidR="00520E5D" w:rsidRPr="008E459C" w:rsidRDefault="00520E5D" w:rsidP="00520E5D">
      <w:pPr>
        <w:pStyle w:val="OStablenotes"/>
        <w:keepNext w:val="0"/>
        <w:spacing w:before="80" w:after="0"/>
        <w:rPr>
          <w:spacing w:val="-3"/>
        </w:rPr>
      </w:pPr>
      <w:r>
        <w:rPr>
          <w:spacing w:val="-3"/>
        </w:rPr>
        <w:t>________________________</w:t>
      </w:r>
    </w:p>
    <w:p w:rsidR="00B22F88" w:rsidRPr="004D72DD" w:rsidRDefault="00B22F88" w:rsidP="00B22F88">
      <w:pPr>
        <w:pStyle w:val="OStablenotes"/>
        <w:rPr>
          <w:color w:val="auto"/>
          <w:szCs w:val="16"/>
        </w:rPr>
      </w:pPr>
      <w:r w:rsidRPr="004D72DD">
        <w:rPr>
          <w:color w:val="auto"/>
          <w:szCs w:val="16"/>
          <w:vertAlign w:val="superscript"/>
        </w:rPr>
        <w:t>1</w:t>
      </w:r>
      <w:r w:rsidRPr="004D72DD">
        <w:rPr>
          <w:color w:val="auto"/>
          <w:szCs w:val="16"/>
          <w:vertAlign w:val="superscript"/>
        </w:rPr>
        <w:tab/>
      </w:r>
      <w:r w:rsidRPr="004D72DD">
        <w:rPr>
          <w:color w:val="auto"/>
          <w:szCs w:val="16"/>
        </w:rPr>
        <w:t xml:space="preserve">The Leased Property shown on this list, or any portion thereof, may be released and other property substituted therefor as described in </w:t>
      </w:r>
      <w:r w:rsidR="00A06786">
        <w:rPr>
          <w:color w:val="auto"/>
          <w:szCs w:val="16"/>
        </w:rPr>
        <w:t>“</w:t>
      </w:r>
      <w:r w:rsidRPr="004D72DD">
        <w:rPr>
          <w:color w:val="auto"/>
          <w:szCs w:val="16"/>
        </w:rPr>
        <w:t>Substitution of Leased Property</w:t>
      </w:r>
      <w:r w:rsidR="00A06786">
        <w:rPr>
          <w:color w:val="auto"/>
          <w:szCs w:val="16"/>
        </w:rPr>
        <w:t>”</w:t>
      </w:r>
      <w:r w:rsidRPr="004D72DD">
        <w:rPr>
          <w:color w:val="auto"/>
          <w:szCs w:val="16"/>
        </w:rPr>
        <w:t xml:space="preserve"> under </w:t>
      </w:r>
      <w:r w:rsidR="00A06786">
        <w:rPr>
          <w:color w:val="auto"/>
          <w:szCs w:val="16"/>
        </w:rPr>
        <w:t>“</w:t>
      </w:r>
      <w:r w:rsidRPr="004D72DD">
        <w:rPr>
          <w:color w:val="auto"/>
          <w:szCs w:val="16"/>
        </w:rPr>
        <w:t>SECURITY AND SOURCE OF PAYMENT.</w:t>
      </w:r>
      <w:r w:rsidR="00A06786">
        <w:rPr>
          <w:color w:val="auto"/>
          <w:szCs w:val="16"/>
        </w:rPr>
        <w:t>”</w:t>
      </w:r>
      <w:r w:rsidRPr="004D72DD">
        <w:rPr>
          <w:color w:val="auto"/>
          <w:szCs w:val="16"/>
        </w:rPr>
        <w:t xml:space="preserve">  In some cases, the Leased Property is comprised of existing facilities which were not wholly or partially financed with the proceeds of the Certificates.</w:t>
      </w:r>
    </w:p>
    <w:p w:rsidR="00B22F88" w:rsidRPr="004D72DD" w:rsidRDefault="00B22F88" w:rsidP="00B22F88">
      <w:pPr>
        <w:pStyle w:val="OStablenotes"/>
        <w:rPr>
          <w:color w:val="auto"/>
          <w:szCs w:val="16"/>
        </w:rPr>
      </w:pPr>
      <w:r w:rsidRPr="004D72DD">
        <w:rPr>
          <w:color w:val="auto"/>
          <w:szCs w:val="16"/>
          <w:vertAlign w:val="superscript"/>
        </w:rPr>
        <w:t>2</w:t>
      </w:r>
      <w:r w:rsidRPr="004D72DD">
        <w:rPr>
          <w:color w:val="auto"/>
          <w:szCs w:val="16"/>
        </w:rPr>
        <w:tab/>
        <w:t>These Projects have been cleared for occupancy and are currently in operation.  Remaining Projects in this table have not been cleared for occupancy and are being funded from amounts remaining in the related Project Accounts and, in some cases, Matching Moneys that may be withdrawn from the Assistance Fund to pay Project costs.</w:t>
      </w:r>
    </w:p>
    <w:p w:rsidR="00B22F88" w:rsidRPr="004D72DD" w:rsidRDefault="00B22F88" w:rsidP="00B22F88">
      <w:pPr>
        <w:pStyle w:val="OStablenotes"/>
        <w:rPr>
          <w:color w:val="auto"/>
          <w:szCs w:val="16"/>
        </w:rPr>
      </w:pPr>
      <w:r w:rsidRPr="004D72DD">
        <w:rPr>
          <w:color w:val="auto"/>
          <w:szCs w:val="16"/>
          <w:vertAlign w:val="superscript"/>
        </w:rPr>
        <w:t>3</w:t>
      </w:r>
      <w:r w:rsidRPr="004D72DD">
        <w:rPr>
          <w:color w:val="auto"/>
          <w:szCs w:val="16"/>
        </w:rPr>
        <w:tab/>
        <w:t>Restricted by deed to educational purposes.  Accordingly, the ability of the Trustee to lease such Leased Property to third parties upon the occurrence of an Event of Nonappropriation or an Event of Default and subsequent vacating of such property will be limited to lessee</w:t>
      </w:r>
      <w:r w:rsidR="00A06786">
        <w:rPr>
          <w:color w:val="auto"/>
          <w:szCs w:val="16"/>
        </w:rPr>
        <w:t>’</w:t>
      </w:r>
      <w:r w:rsidRPr="004D72DD">
        <w:rPr>
          <w:color w:val="auto"/>
          <w:szCs w:val="16"/>
        </w:rPr>
        <w:t xml:space="preserve">s desiring to use the property for educational purposes.  See </w:t>
      </w:r>
      <w:r w:rsidR="00A06786">
        <w:rPr>
          <w:color w:val="auto"/>
          <w:szCs w:val="16"/>
        </w:rPr>
        <w:t>“</w:t>
      </w:r>
      <w:r w:rsidRPr="004D72DD">
        <w:rPr>
          <w:color w:val="auto"/>
          <w:szCs w:val="16"/>
        </w:rPr>
        <w:t>CERTAIN RISK FACTORS – Effect of a Nonrenewal of a Lease.</w:t>
      </w:r>
      <w:r w:rsidR="00A06786">
        <w:rPr>
          <w:color w:val="auto"/>
          <w:szCs w:val="16"/>
        </w:rPr>
        <w:t>”</w:t>
      </w:r>
    </w:p>
    <w:p w:rsidR="00B22F88" w:rsidRPr="004D72DD" w:rsidRDefault="00B22F88" w:rsidP="00B22F88">
      <w:pPr>
        <w:pStyle w:val="OStablenotes"/>
        <w:rPr>
          <w:color w:val="auto"/>
          <w:szCs w:val="16"/>
        </w:rPr>
      </w:pPr>
      <w:r w:rsidRPr="004D72DD">
        <w:rPr>
          <w:color w:val="auto"/>
          <w:szCs w:val="16"/>
          <w:vertAlign w:val="superscript"/>
        </w:rPr>
        <w:t>4</w:t>
      </w:r>
      <w:r w:rsidRPr="004D72DD">
        <w:rPr>
          <w:color w:val="auto"/>
          <w:szCs w:val="16"/>
        </w:rPr>
        <w:tab/>
        <w:t>Upon the failure of the Rocky Mountain Deaf School to satisfy certain contractual obligations, the State Board reallocated funds originally designated to such school to the Lake County School District to fund another qualified project.</w:t>
      </w:r>
    </w:p>
    <w:p w:rsidR="00B22F88" w:rsidRPr="004D72DD" w:rsidRDefault="00B22F88" w:rsidP="00B22F88">
      <w:pPr>
        <w:pStyle w:val="OStablenotes"/>
        <w:rPr>
          <w:i/>
          <w:iCs/>
          <w:color w:val="auto"/>
          <w:szCs w:val="16"/>
        </w:rPr>
      </w:pPr>
      <w:r w:rsidRPr="004D72DD">
        <w:rPr>
          <w:color w:val="auto"/>
          <w:szCs w:val="16"/>
          <w:vertAlign w:val="superscript"/>
        </w:rPr>
        <w:t>5</w:t>
      </w:r>
      <w:r w:rsidRPr="004D72DD">
        <w:rPr>
          <w:color w:val="auto"/>
          <w:szCs w:val="16"/>
        </w:rPr>
        <w:tab/>
        <w:t xml:space="preserve">The </w:t>
      </w:r>
      <w:r w:rsidRPr="004D72DD">
        <w:rPr>
          <w:iCs/>
          <w:color w:val="auto"/>
          <w:szCs w:val="16"/>
        </w:rPr>
        <w:t>2015 Supplemental Indenture funded one Project using unexpended State Expense Funds from several Series of Certificates</w:t>
      </w:r>
      <w:r w:rsidRPr="004D72DD">
        <w:rPr>
          <w:i/>
          <w:iCs/>
          <w:color w:val="auto"/>
          <w:szCs w:val="16"/>
        </w:rPr>
        <w:t>.</w:t>
      </w:r>
    </w:p>
    <w:p w:rsidR="00B22F88" w:rsidRPr="004D72DD" w:rsidRDefault="00B22F88" w:rsidP="00B22F88">
      <w:pPr>
        <w:pStyle w:val="OStablesources"/>
        <w:rPr>
          <w:color w:val="auto"/>
        </w:rPr>
      </w:pPr>
      <w:r w:rsidRPr="004D72DD">
        <w:rPr>
          <w:color w:val="auto"/>
        </w:rPr>
        <w:t>Source:</w:t>
      </w:r>
      <w:r w:rsidRPr="004D72DD">
        <w:rPr>
          <w:color w:val="auto"/>
        </w:rPr>
        <w:tab/>
        <w:t>Colorado Department of Education</w:t>
      </w:r>
      <w:r w:rsidR="004B2DCB">
        <w:rPr>
          <w:color w:val="auto"/>
        </w:rPr>
        <w:t>.</w:t>
      </w:r>
    </w:p>
    <w:p w:rsidR="00B22F88" w:rsidRDefault="00B22F88" w:rsidP="006123A1">
      <w:pPr>
        <w:sectPr w:rsidR="00B22F88" w:rsidSect="009F07A3">
          <w:footerReference w:type="default" r:id="rId42"/>
          <w:footerReference w:type="first" r:id="rId43"/>
          <w:footnotePr>
            <w:numRestart w:val="eachPage"/>
          </w:footnotePr>
          <w:pgSz w:w="12240" w:h="15840"/>
          <w:pgMar w:top="1440" w:right="1440" w:bottom="1440" w:left="1440" w:header="720" w:footer="720" w:gutter="0"/>
          <w:pgNumType w:start="1"/>
          <w:cols w:space="720"/>
          <w:titlePg/>
          <w:docGrid w:linePitch="360"/>
        </w:sectPr>
      </w:pPr>
    </w:p>
    <w:p w:rsidR="0056094E" w:rsidRPr="00B84D6C" w:rsidRDefault="0056094E" w:rsidP="0056094E">
      <w:pPr>
        <w:rPr>
          <w:rFonts w:cs="Times New Roman"/>
          <w:b/>
          <w:szCs w:val="24"/>
        </w:rPr>
      </w:pPr>
      <w:r w:rsidRPr="004D72DD">
        <w:rPr>
          <w:rFonts w:cs="Times New Roman"/>
          <w:szCs w:val="24"/>
        </w:rPr>
        <w:t>The following map shows the geographic distribution of the BEST projects</w:t>
      </w:r>
      <w:r w:rsidR="00FE5FFA" w:rsidRPr="00FE5FFA">
        <w:rPr>
          <w:rFonts w:cs="Times New Roman"/>
          <w:szCs w:val="24"/>
          <w:vertAlign w:val="superscript"/>
        </w:rPr>
        <w:t>1</w:t>
      </w:r>
      <w:r w:rsidRPr="004D72DD">
        <w:rPr>
          <w:rFonts w:cs="Times New Roman"/>
          <w:szCs w:val="24"/>
        </w:rPr>
        <w:t xml:space="preserve"> in the State.</w:t>
      </w:r>
    </w:p>
    <w:p w:rsidR="0056094E" w:rsidRDefault="0056094E" w:rsidP="006123A1"/>
    <w:p w:rsidR="0056094E" w:rsidRDefault="0056094E" w:rsidP="0056094E">
      <w:pPr>
        <w:jc w:val="center"/>
      </w:pPr>
    </w:p>
    <w:p w:rsidR="0056094E" w:rsidRDefault="00C30793" w:rsidP="006123A1">
      <w:r w:rsidRPr="00C30793">
        <w:rPr>
          <w:noProof/>
        </w:rPr>
        <w:drawing>
          <wp:inline distT="0" distB="0" distL="0" distR="0">
            <wp:extent cx="5943600" cy="4779559"/>
            <wp:effectExtent l="0" t="0" r="0" b="2540"/>
            <wp:docPr id="2" name="Picture 2" descr="\\sherman.int\userdata\RedirectedFolders\Gmeyerle\Desktop\201106- Funded Projects BEST thru 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rman.int\userdata\RedirectedFolders\Gmeyerle\Desktop\201106- Funded Projects BEST thru 2020.jp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943600" cy="4779559"/>
                    </a:xfrm>
                    <a:prstGeom prst="rect">
                      <a:avLst/>
                    </a:prstGeom>
                    <a:noFill/>
                    <a:ln>
                      <a:noFill/>
                    </a:ln>
                  </pic:spPr>
                </pic:pic>
              </a:graphicData>
            </a:graphic>
          </wp:inline>
        </w:drawing>
      </w:r>
    </w:p>
    <w:p w:rsidR="0056094E" w:rsidRDefault="0056094E" w:rsidP="006123A1"/>
    <w:p w:rsidR="00FE5FFA" w:rsidRDefault="00FE5FFA" w:rsidP="006123A1">
      <w:r>
        <w:t>__________</w:t>
      </w:r>
    </w:p>
    <w:p w:rsidR="00FE5FFA" w:rsidRDefault="00F35F2A" w:rsidP="00520E5D">
      <w:pPr>
        <w:pStyle w:val="OStablenotes"/>
        <w:tabs>
          <w:tab w:val="left" w:pos="360"/>
        </w:tabs>
        <w:sectPr w:rsidR="00FE5FFA" w:rsidSect="009F07A3">
          <w:footerReference w:type="first" r:id="rId45"/>
          <w:footnotePr>
            <w:numRestart w:val="eachPage"/>
          </w:footnotePr>
          <w:pgSz w:w="12240" w:h="15840"/>
          <w:pgMar w:top="1440" w:right="1440" w:bottom="1440" w:left="1440" w:header="720" w:footer="720" w:gutter="0"/>
          <w:cols w:space="720"/>
          <w:titlePg/>
          <w:docGrid w:linePitch="360"/>
        </w:sectPr>
      </w:pPr>
      <w:r w:rsidRPr="00F35F2A">
        <w:rPr>
          <w:rFonts w:eastAsia="Calibri"/>
          <w:szCs w:val="16"/>
          <w:vertAlign w:val="superscript"/>
        </w:rPr>
        <w:t>1</w:t>
      </w:r>
      <w:r w:rsidR="00520E5D" w:rsidRPr="00520E5D">
        <w:rPr>
          <w:rFonts w:eastAsia="Calibri"/>
          <w:szCs w:val="16"/>
        </w:rPr>
        <w:tab/>
      </w:r>
      <w:r w:rsidR="005670C0">
        <w:rPr>
          <w:rFonts w:eastAsia="Calibri"/>
          <w:szCs w:val="16"/>
        </w:rPr>
        <w:t xml:space="preserve">Map includes all projects awarded since the </w:t>
      </w:r>
      <w:r w:rsidR="00EA0EED">
        <w:rPr>
          <w:rFonts w:eastAsia="Calibri"/>
          <w:szCs w:val="16"/>
        </w:rPr>
        <w:t xml:space="preserve">Fiscal Year 2008-09 grant cycle, </w:t>
      </w:r>
      <w:r w:rsidR="005670C0">
        <w:rPr>
          <w:rFonts w:eastAsia="Calibri"/>
          <w:szCs w:val="16"/>
        </w:rPr>
        <w:t>including</w:t>
      </w:r>
      <w:r w:rsidR="00BA22A2">
        <w:rPr>
          <w:rFonts w:eastAsia="Calibri"/>
          <w:szCs w:val="16"/>
        </w:rPr>
        <w:t xml:space="preserve"> the </w:t>
      </w:r>
      <w:r w:rsidR="00FE5FFA" w:rsidRPr="00520E5D">
        <w:rPr>
          <w:rFonts w:eastAsia="Calibri"/>
          <w:szCs w:val="16"/>
        </w:rPr>
        <w:t xml:space="preserve">Series </w:t>
      </w:r>
      <w:r w:rsidR="00480C95">
        <w:rPr>
          <w:rFonts w:eastAsia="Calibri"/>
          <w:szCs w:val="16"/>
        </w:rPr>
        <w:t>2020R</w:t>
      </w:r>
      <w:r w:rsidR="00FE5FFA" w:rsidRPr="00520E5D">
        <w:rPr>
          <w:rFonts w:eastAsia="Calibri"/>
          <w:szCs w:val="16"/>
        </w:rPr>
        <w:t xml:space="preserve"> </w:t>
      </w:r>
      <w:r w:rsidR="00FC3261" w:rsidRPr="00520E5D">
        <w:rPr>
          <w:rFonts w:eastAsia="Calibri"/>
          <w:szCs w:val="16"/>
        </w:rPr>
        <w:t>Projects</w:t>
      </w:r>
      <w:r w:rsidR="00FE5FFA">
        <w:t>.</w:t>
      </w:r>
    </w:p>
    <w:p w:rsidR="006123A1" w:rsidRPr="0056094E" w:rsidRDefault="006123A1" w:rsidP="0056094E">
      <w:pPr>
        <w:jc w:val="center"/>
        <w:rPr>
          <w:b/>
        </w:rPr>
      </w:pPr>
      <w:r w:rsidRPr="0056094E">
        <w:rPr>
          <w:b/>
        </w:rPr>
        <w:t>APPENDIX I</w:t>
      </w:r>
    </w:p>
    <w:p w:rsidR="003E61BE" w:rsidRPr="0056094E" w:rsidRDefault="003E61BE" w:rsidP="0056094E">
      <w:pPr>
        <w:jc w:val="center"/>
        <w:rPr>
          <w:b/>
        </w:rPr>
      </w:pPr>
    </w:p>
    <w:p w:rsidR="006123A1" w:rsidRPr="0056094E" w:rsidRDefault="006123A1" w:rsidP="0056094E">
      <w:pPr>
        <w:jc w:val="center"/>
        <w:rPr>
          <w:b/>
        </w:rPr>
      </w:pPr>
      <w:r w:rsidRPr="0056094E">
        <w:rPr>
          <w:b/>
        </w:rPr>
        <w:t>CERTAIN STATE ECONOMIC AND DEMOGRAPHIC INFORMATION</w:t>
      </w:r>
    </w:p>
    <w:p w:rsidR="0056094E" w:rsidRDefault="0056094E" w:rsidP="006123A1"/>
    <w:p w:rsidR="003E61BE" w:rsidRDefault="003E61BE" w:rsidP="003E61BE">
      <w:pPr>
        <w:pStyle w:val="BodyText1"/>
      </w:pPr>
      <w:r>
        <w:t xml:space="preserve">The following information was prepared and provided by Development Research Partners, Inc., to give prospective investors general information concerning selected economic and demographic conditions existing in Colorado as of the dates indicated.  The statistics have been obtained from the referenced sources and represent the most current information available as of </w:t>
      </w:r>
      <w:r w:rsidR="00CE5CF8">
        <w:t>May</w:t>
      </w:r>
      <w:r>
        <w:t xml:space="preserve"> 20</w:t>
      </w:r>
      <w:r w:rsidR="00CE5CF8">
        <w:t>20</w:t>
      </w:r>
      <w:r>
        <w:t xml:space="preserve"> from the sources indicated; however, since certain information is released with a significant time lag, the information in some cases will not be indicative of existing or future economic and demographic conditions.  Further, the reported data has not been adjusted to reflect economic trends, notably inflation.  Finally, other economic and demographic information concerning the State not presented herein may be available, and prospective investors may want to review such information prior to making their investment decision.  The following information is not to be relied upon as a representation or guarantee of the State or any officer or employee of or advisor to the State</w:t>
      </w:r>
      <w:r w:rsidRPr="00CE5CF8">
        <w:rPr>
          <w:b/>
        </w:rPr>
        <w:t xml:space="preserve">.  </w:t>
      </w:r>
      <w:r w:rsidR="00CE5CF8" w:rsidRPr="00CE5CF8">
        <w:rPr>
          <w:b/>
        </w:rPr>
        <w:t>As a direct result of the COVID-19 pandemic, the information in this Appendix I, such as employment figures, has changed materially since the date of such information.</w:t>
      </w:r>
      <w:r w:rsidR="00CE5CF8">
        <w:t xml:space="preserve">  See “RISKS AND OTHER INVESTMENT CONSIDERATIONS – Potential Impacts of COVID-19 </w:t>
      </w:r>
      <w:r w:rsidR="00AE18AE">
        <w:t>(Coronavirus)</w:t>
      </w:r>
      <w:r w:rsidR="00CE5CF8">
        <w:t xml:space="preserve">.”  </w:t>
      </w:r>
      <w:r>
        <w:t xml:space="preserve">See also “APPENDIX E – THE STATE GENERAL FUND – Revenue Estimation; OSPB Revenue and Economic Forecasts” and “APPENDIX F – </w:t>
      </w:r>
      <w:r w:rsidR="009B293F">
        <w:t>OSPB SEPTEMBER 2020</w:t>
      </w:r>
      <w:r>
        <w:t xml:space="preserve"> REVENUE FORECAST.”</w:t>
      </w:r>
    </w:p>
    <w:p w:rsidR="003E61BE" w:rsidRDefault="003E61BE" w:rsidP="003E61BE">
      <w:pPr>
        <w:pStyle w:val="BodyText1"/>
      </w:pPr>
      <w:r>
        <w:t>Development Research Partners, Inc., has consented to the inclusion of such information in this Official Statement.  Neither the State nor the Underwriters assumes responsibility for the accuracy, completeness or fairness of such information.  The information in this Appendix has been included in this Official Statement in reliance upon the authority of Development Research Partners, Inc., as experts in the preparation of economic and demographic analyses.  Potential investors should read this Appendix in its entirety for information with respect to the economic and demographic status of the State.</w:t>
      </w:r>
    </w:p>
    <w:p w:rsidR="003E61BE" w:rsidRDefault="003E61BE" w:rsidP="003E61BE">
      <w:pPr>
        <w:pStyle w:val="OSappendixsubheading0"/>
      </w:pPr>
      <w:r>
        <w:t>Overview</w:t>
      </w:r>
    </w:p>
    <w:p w:rsidR="003E61BE" w:rsidRDefault="003E61BE" w:rsidP="003E61BE">
      <w:pPr>
        <w:pStyle w:val="BodyText1"/>
      </w:pPr>
      <w:r>
        <w:t>Colorado, the most populous state in the Rocky Mountain region, has three distinct geographic and economic areas.  The eastern half of the State consists of the eastern plains, which are flat, open and largely devoted to agriculture.  The Front Range lies along the eastern base of the Rocky Mountains and contains most of the State’s metropolitan areas.  The western half of the State – which includes the Rocky Mountains and the Western Slope – includes many acres of national park and forest land and significant reserves of minerals, natural gas and other resources.</w:t>
      </w:r>
    </w:p>
    <w:p w:rsidR="003E61BE" w:rsidRDefault="003E61BE" w:rsidP="003E61BE">
      <w:pPr>
        <w:pStyle w:val="BodyText1"/>
      </w:pPr>
      <w:r>
        <w:t>The State’s population and wealth are concentrated in the Front Range, principally in four major metropolitan areas: Denver/Boulder, Colorado Springs, Fort Collins/Greeley and Pueblo.  Denver, the State’s capital, is the economic center of the State and the Rocky Mountain region.  About 56% of the State’s population and 62% of its jobs are located in the Denver/Boulder metropolitan area, which is a hub for transportation, communication, financial activities and professional and business services.  The aerospace, bioscience and energy industries are also key contributors to economic growth in the Denver/Boulder metropolitan area and the State as a whole.</w:t>
      </w:r>
    </w:p>
    <w:p w:rsidR="003E61BE" w:rsidRDefault="003E61BE" w:rsidP="003E61BE">
      <w:pPr>
        <w:pStyle w:val="BodyText1"/>
      </w:pPr>
      <w:r>
        <w:t xml:space="preserve">The State’s economic performance depends heavily on economic performance at the national level.  See also “APPENDIX E – THE STATE GENERAL FUND – OSPB Revenue and Economic Forecasts” and “APPENDIX F – </w:t>
      </w:r>
      <w:r w:rsidR="009B293F">
        <w:t>OSPB SEPTEMBER 2020</w:t>
      </w:r>
      <w:r>
        <w:t xml:space="preserve"> REVENUE FORECAST.”</w:t>
      </w:r>
    </w:p>
    <w:p w:rsidR="003E61BE" w:rsidRDefault="003E61BE" w:rsidP="003E61BE">
      <w:pPr>
        <w:jc w:val="center"/>
      </w:pPr>
      <w:r>
        <w:t>[Remainder of page intentionally left blank]</w:t>
      </w:r>
    </w:p>
    <w:p w:rsidR="003E61BE" w:rsidRDefault="003E61BE" w:rsidP="006123A1"/>
    <w:p w:rsidR="003E61BE" w:rsidRDefault="003E61BE" w:rsidP="006123A1">
      <w:pPr>
        <w:sectPr w:rsidR="003E61BE" w:rsidSect="009F07A3">
          <w:footerReference w:type="default" r:id="rId46"/>
          <w:footerReference w:type="first" r:id="rId47"/>
          <w:footnotePr>
            <w:numRestart w:val="eachPage"/>
          </w:footnotePr>
          <w:pgSz w:w="12240" w:h="15840"/>
          <w:pgMar w:top="1440" w:right="1440" w:bottom="1440" w:left="1440" w:header="720" w:footer="720" w:gutter="0"/>
          <w:pgNumType w:start="1"/>
          <w:cols w:space="720"/>
          <w:titlePg/>
          <w:docGrid w:linePitch="360"/>
        </w:sectPr>
      </w:pPr>
    </w:p>
    <w:p w:rsidR="005942B3" w:rsidRDefault="005942B3" w:rsidP="005942B3">
      <w:pPr>
        <w:pStyle w:val="OSappendixsubheading0"/>
      </w:pPr>
      <w:r>
        <w:t>Population and Age Distribution</w:t>
      </w:r>
    </w:p>
    <w:p w:rsidR="005942B3" w:rsidRPr="003F4EE4" w:rsidRDefault="005942B3" w:rsidP="005942B3">
      <w:pPr>
        <w:pStyle w:val="BodyText1"/>
      </w:pPr>
      <w:r>
        <w:t>The following table provides population figures for Colorado and the United States for the past 10 years.</w:t>
      </w:r>
    </w:p>
    <w:tbl>
      <w:tblPr>
        <w:tblStyle w:val="TableGrid1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4"/>
        <w:gridCol w:w="1584"/>
        <w:gridCol w:w="1584"/>
        <w:gridCol w:w="1584"/>
        <w:gridCol w:w="1584"/>
      </w:tblGrid>
      <w:tr w:rsidR="00715E8D" w:rsidRPr="00C003FA" w:rsidTr="006C0B9E">
        <w:trPr>
          <w:jc w:val="center"/>
        </w:trPr>
        <w:tc>
          <w:tcPr>
            <w:tcW w:w="7920" w:type="dxa"/>
            <w:gridSpan w:val="5"/>
            <w:vAlign w:val="bottom"/>
          </w:tcPr>
          <w:p w:rsidR="00715E8D" w:rsidRPr="00C003FA" w:rsidRDefault="00715E8D" w:rsidP="006C0B9E">
            <w:pPr>
              <w:keepNext/>
              <w:spacing w:after="240"/>
              <w:jc w:val="center"/>
              <w:rPr>
                <w:b/>
              </w:rPr>
            </w:pPr>
            <w:r w:rsidRPr="00C003FA">
              <w:rPr>
                <w:b/>
              </w:rPr>
              <w:t>Population Estimates</w:t>
            </w:r>
            <w:r w:rsidRPr="00C003FA">
              <w:rPr>
                <w:b/>
              </w:rPr>
              <w:br/>
              <w:t>(As of July 1)</w:t>
            </w:r>
          </w:p>
        </w:tc>
      </w:tr>
      <w:tr w:rsidR="00715E8D" w:rsidRPr="00C003FA" w:rsidTr="006C0B9E">
        <w:trPr>
          <w:jc w:val="center"/>
        </w:trPr>
        <w:tc>
          <w:tcPr>
            <w:tcW w:w="1584" w:type="dxa"/>
            <w:vAlign w:val="bottom"/>
          </w:tcPr>
          <w:p w:rsidR="00715E8D" w:rsidRPr="00C003FA" w:rsidRDefault="00715E8D" w:rsidP="006C0B9E">
            <w:pPr>
              <w:keepNext/>
              <w:spacing w:after="60"/>
              <w:jc w:val="center"/>
              <w:rPr>
                <w:b/>
              </w:rPr>
            </w:pPr>
          </w:p>
        </w:tc>
        <w:tc>
          <w:tcPr>
            <w:tcW w:w="3168" w:type="dxa"/>
            <w:gridSpan w:val="2"/>
            <w:vAlign w:val="bottom"/>
          </w:tcPr>
          <w:p w:rsidR="00715E8D" w:rsidRPr="00C003FA" w:rsidRDefault="00715E8D" w:rsidP="006C0B9E">
            <w:pPr>
              <w:keepNext/>
              <w:pBdr>
                <w:bottom w:val="single" w:sz="4" w:space="1" w:color="auto"/>
              </w:pBdr>
              <w:spacing w:after="60"/>
              <w:jc w:val="center"/>
              <w:rPr>
                <w:b/>
              </w:rPr>
            </w:pPr>
            <w:r w:rsidRPr="00C003FA">
              <w:rPr>
                <w:b/>
              </w:rPr>
              <w:t>Colorado</w:t>
            </w:r>
          </w:p>
        </w:tc>
        <w:tc>
          <w:tcPr>
            <w:tcW w:w="3168" w:type="dxa"/>
            <w:gridSpan w:val="2"/>
            <w:vAlign w:val="bottom"/>
          </w:tcPr>
          <w:p w:rsidR="00715E8D" w:rsidRPr="00C003FA" w:rsidRDefault="00715E8D" w:rsidP="006C0B9E">
            <w:pPr>
              <w:keepNext/>
              <w:pBdr>
                <w:bottom w:val="single" w:sz="4" w:space="1" w:color="auto"/>
              </w:pBdr>
              <w:spacing w:after="60"/>
              <w:jc w:val="center"/>
              <w:rPr>
                <w:b/>
              </w:rPr>
            </w:pPr>
            <w:r w:rsidRPr="00C003FA">
              <w:rPr>
                <w:b/>
              </w:rPr>
              <w:t>United States</w:t>
            </w:r>
          </w:p>
        </w:tc>
      </w:tr>
      <w:tr w:rsidR="00715E8D" w:rsidRPr="00C003FA" w:rsidTr="006C0B9E">
        <w:trPr>
          <w:jc w:val="center"/>
        </w:trPr>
        <w:tc>
          <w:tcPr>
            <w:tcW w:w="1584" w:type="dxa"/>
            <w:vAlign w:val="bottom"/>
          </w:tcPr>
          <w:p w:rsidR="00715E8D" w:rsidRPr="00C003FA" w:rsidRDefault="00715E8D" w:rsidP="006C0B9E">
            <w:pPr>
              <w:keepNext/>
              <w:spacing w:after="120"/>
              <w:jc w:val="center"/>
              <w:rPr>
                <w:b/>
              </w:rPr>
            </w:pPr>
          </w:p>
        </w:tc>
        <w:tc>
          <w:tcPr>
            <w:tcW w:w="1584" w:type="dxa"/>
            <w:vAlign w:val="bottom"/>
          </w:tcPr>
          <w:p w:rsidR="00715E8D" w:rsidRPr="00C003FA" w:rsidRDefault="00715E8D" w:rsidP="006C0B9E">
            <w:pPr>
              <w:keepNext/>
              <w:pBdr>
                <w:bottom w:val="single" w:sz="4" w:space="1" w:color="auto"/>
              </w:pBdr>
              <w:spacing w:after="120"/>
              <w:jc w:val="center"/>
              <w:rPr>
                <w:b/>
              </w:rPr>
            </w:pPr>
            <w:r w:rsidRPr="00C003FA">
              <w:rPr>
                <w:b/>
              </w:rPr>
              <w:t>Population (millions)</w:t>
            </w:r>
          </w:p>
        </w:tc>
        <w:tc>
          <w:tcPr>
            <w:tcW w:w="1584" w:type="dxa"/>
            <w:vAlign w:val="bottom"/>
          </w:tcPr>
          <w:p w:rsidR="00715E8D" w:rsidRPr="00C003FA" w:rsidRDefault="00715E8D" w:rsidP="006C0B9E">
            <w:pPr>
              <w:keepNext/>
              <w:pBdr>
                <w:bottom w:val="single" w:sz="4" w:space="1" w:color="auto"/>
              </w:pBdr>
              <w:spacing w:after="120"/>
              <w:jc w:val="center"/>
              <w:rPr>
                <w:b/>
              </w:rPr>
            </w:pPr>
            <w:r w:rsidRPr="00C003FA">
              <w:rPr>
                <w:b/>
              </w:rPr>
              <w:t>% Change</w:t>
            </w:r>
          </w:p>
        </w:tc>
        <w:tc>
          <w:tcPr>
            <w:tcW w:w="1584" w:type="dxa"/>
            <w:vAlign w:val="bottom"/>
          </w:tcPr>
          <w:p w:rsidR="00715E8D" w:rsidRPr="00C003FA" w:rsidRDefault="00715E8D" w:rsidP="006C0B9E">
            <w:pPr>
              <w:keepNext/>
              <w:pBdr>
                <w:bottom w:val="single" w:sz="4" w:space="1" w:color="auto"/>
              </w:pBdr>
              <w:spacing w:after="120"/>
              <w:jc w:val="center"/>
              <w:rPr>
                <w:b/>
              </w:rPr>
            </w:pPr>
            <w:r w:rsidRPr="00C003FA">
              <w:rPr>
                <w:b/>
              </w:rPr>
              <w:t>Population (millions)</w:t>
            </w:r>
          </w:p>
        </w:tc>
        <w:tc>
          <w:tcPr>
            <w:tcW w:w="1584" w:type="dxa"/>
            <w:vAlign w:val="bottom"/>
          </w:tcPr>
          <w:p w:rsidR="00715E8D" w:rsidRPr="00C003FA" w:rsidRDefault="00715E8D" w:rsidP="006C0B9E">
            <w:pPr>
              <w:keepNext/>
              <w:pBdr>
                <w:bottom w:val="single" w:sz="4" w:space="1" w:color="auto"/>
              </w:pBdr>
              <w:spacing w:after="120"/>
              <w:jc w:val="center"/>
              <w:rPr>
                <w:b/>
              </w:rPr>
            </w:pPr>
            <w:r w:rsidRPr="00C003FA">
              <w:rPr>
                <w:b/>
              </w:rPr>
              <w:t>% Change</w:t>
            </w:r>
          </w:p>
        </w:tc>
      </w:tr>
      <w:tr w:rsidR="00715E8D" w:rsidRPr="00C003FA" w:rsidTr="006C0B9E">
        <w:trPr>
          <w:jc w:val="center"/>
        </w:trPr>
        <w:tc>
          <w:tcPr>
            <w:tcW w:w="1584" w:type="dxa"/>
            <w:vAlign w:val="bottom"/>
          </w:tcPr>
          <w:p w:rsidR="00715E8D" w:rsidRPr="00C003FA" w:rsidRDefault="00715E8D" w:rsidP="006C0B9E">
            <w:pPr>
              <w:keepNext/>
              <w:jc w:val="center"/>
            </w:pPr>
            <w:r w:rsidRPr="00C003FA">
              <w:t>2010</w:t>
            </w:r>
          </w:p>
        </w:tc>
        <w:tc>
          <w:tcPr>
            <w:tcW w:w="1584" w:type="dxa"/>
            <w:vAlign w:val="bottom"/>
          </w:tcPr>
          <w:p w:rsidR="00715E8D" w:rsidRPr="00C003FA" w:rsidRDefault="00715E8D" w:rsidP="006C0B9E">
            <w:pPr>
              <w:keepNext/>
              <w:tabs>
                <w:tab w:val="decimal" w:pos="648"/>
              </w:tabs>
              <w:jc w:val="left"/>
            </w:pPr>
            <w:r w:rsidRPr="00C003FA">
              <w:t>5.1</w:t>
            </w:r>
          </w:p>
        </w:tc>
        <w:tc>
          <w:tcPr>
            <w:tcW w:w="1584" w:type="dxa"/>
            <w:vAlign w:val="bottom"/>
          </w:tcPr>
          <w:p w:rsidR="00715E8D" w:rsidRPr="00C003FA" w:rsidRDefault="00715E8D" w:rsidP="006C0B9E">
            <w:pPr>
              <w:keepNext/>
              <w:tabs>
                <w:tab w:val="decimal" w:pos="681"/>
              </w:tabs>
              <w:jc w:val="left"/>
            </w:pPr>
            <w:r w:rsidRPr="00C003FA">
              <w:t>1.5%</w:t>
            </w:r>
          </w:p>
        </w:tc>
        <w:tc>
          <w:tcPr>
            <w:tcW w:w="1584" w:type="dxa"/>
            <w:vAlign w:val="bottom"/>
          </w:tcPr>
          <w:p w:rsidR="00715E8D" w:rsidRPr="00C003FA" w:rsidRDefault="00715E8D" w:rsidP="006C0B9E">
            <w:pPr>
              <w:keepNext/>
              <w:tabs>
                <w:tab w:val="decimal" w:pos="720"/>
              </w:tabs>
              <w:jc w:val="left"/>
            </w:pPr>
            <w:r w:rsidRPr="00C003FA">
              <w:t>309.3</w:t>
            </w:r>
          </w:p>
        </w:tc>
        <w:tc>
          <w:tcPr>
            <w:tcW w:w="1584" w:type="dxa"/>
            <w:vAlign w:val="bottom"/>
          </w:tcPr>
          <w:p w:rsidR="00715E8D" w:rsidRPr="00C003FA" w:rsidRDefault="00715E8D" w:rsidP="006C0B9E">
            <w:pPr>
              <w:keepNext/>
              <w:tabs>
                <w:tab w:val="decimal" w:pos="576"/>
              </w:tabs>
              <w:jc w:val="left"/>
            </w:pPr>
            <w:r w:rsidRPr="00C003FA">
              <w:t>0.9%</w:t>
            </w:r>
          </w:p>
        </w:tc>
      </w:tr>
      <w:tr w:rsidR="00715E8D" w:rsidRPr="00C003FA" w:rsidTr="006C0B9E">
        <w:trPr>
          <w:jc w:val="center"/>
        </w:trPr>
        <w:tc>
          <w:tcPr>
            <w:tcW w:w="1584" w:type="dxa"/>
            <w:vAlign w:val="bottom"/>
          </w:tcPr>
          <w:p w:rsidR="00715E8D" w:rsidRPr="00C003FA" w:rsidRDefault="00715E8D" w:rsidP="006C0B9E">
            <w:pPr>
              <w:keepNext/>
              <w:jc w:val="center"/>
            </w:pPr>
            <w:r w:rsidRPr="00C003FA">
              <w:t>2011</w:t>
            </w:r>
          </w:p>
        </w:tc>
        <w:tc>
          <w:tcPr>
            <w:tcW w:w="1584" w:type="dxa"/>
            <w:vAlign w:val="bottom"/>
          </w:tcPr>
          <w:p w:rsidR="00715E8D" w:rsidRPr="00C003FA" w:rsidRDefault="00715E8D" w:rsidP="006C0B9E">
            <w:pPr>
              <w:keepNext/>
              <w:tabs>
                <w:tab w:val="decimal" w:pos="648"/>
              </w:tabs>
              <w:jc w:val="left"/>
            </w:pPr>
            <w:r w:rsidRPr="00C003FA">
              <w:t>5.1</w:t>
            </w:r>
          </w:p>
        </w:tc>
        <w:tc>
          <w:tcPr>
            <w:tcW w:w="1584" w:type="dxa"/>
            <w:vAlign w:val="bottom"/>
          </w:tcPr>
          <w:p w:rsidR="00715E8D" w:rsidRPr="00C003FA" w:rsidRDefault="00715E8D" w:rsidP="006C0B9E">
            <w:pPr>
              <w:keepNext/>
              <w:tabs>
                <w:tab w:val="decimal" w:pos="681"/>
              </w:tabs>
              <w:jc w:val="left"/>
            </w:pPr>
            <w:r w:rsidRPr="00C003FA">
              <w:t>1.5</w:t>
            </w:r>
          </w:p>
        </w:tc>
        <w:tc>
          <w:tcPr>
            <w:tcW w:w="1584" w:type="dxa"/>
            <w:vAlign w:val="bottom"/>
          </w:tcPr>
          <w:p w:rsidR="00715E8D" w:rsidRPr="00C003FA" w:rsidRDefault="00715E8D" w:rsidP="006C0B9E">
            <w:pPr>
              <w:keepNext/>
              <w:tabs>
                <w:tab w:val="decimal" w:pos="720"/>
              </w:tabs>
              <w:jc w:val="left"/>
            </w:pPr>
            <w:r w:rsidRPr="00C003FA">
              <w:t>311.6</w:t>
            </w:r>
          </w:p>
        </w:tc>
        <w:tc>
          <w:tcPr>
            <w:tcW w:w="1584" w:type="dxa"/>
            <w:vAlign w:val="bottom"/>
          </w:tcPr>
          <w:p w:rsidR="00715E8D" w:rsidRPr="00C003FA" w:rsidRDefault="00715E8D" w:rsidP="006C0B9E">
            <w:pPr>
              <w:keepNext/>
              <w:tabs>
                <w:tab w:val="decimal" w:pos="576"/>
              </w:tabs>
              <w:jc w:val="left"/>
            </w:pPr>
            <w:r w:rsidRPr="00C003FA">
              <w:t>0.7</w:t>
            </w:r>
          </w:p>
        </w:tc>
      </w:tr>
      <w:tr w:rsidR="00715E8D" w:rsidRPr="00C003FA" w:rsidTr="006C0B9E">
        <w:trPr>
          <w:jc w:val="center"/>
        </w:trPr>
        <w:tc>
          <w:tcPr>
            <w:tcW w:w="1584" w:type="dxa"/>
            <w:vAlign w:val="bottom"/>
          </w:tcPr>
          <w:p w:rsidR="00715E8D" w:rsidRPr="00C003FA" w:rsidRDefault="00715E8D" w:rsidP="006C0B9E">
            <w:pPr>
              <w:keepNext/>
              <w:jc w:val="center"/>
            </w:pPr>
            <w:r w:rsidRPr="00C003FA">
              <w:t>2012</w:t>
            </w:r>
          </w:p>
        </w:tc>
        <w:tc>
          <w:tcPr>
            <w:tcW w:w="1584" w:type="dxa"/>
            <w:vAlign w:val="bottom"/>
          </w:tcPr>
          <w:p w:rsidR="00715E8D" w:rsidRPr="00C003FA" w:rsidRDefault="00715E8D" w:rsidP="006C0B9E">
            <w:pPr>
              <w:keepNext/>
              <w:tabs>
                <w:tab w:val="decimal" w:pos="648"/>
              </w:tabs>
              <w:jc w:val="left"/>
            </w:pPr>
            <w:r w:rsidRPr="00C003FA">
              <w:t>5.2</w:t>
            </w:r>
          </w:p>
        </w:tc>
        <w:tc>
          <w:tcPr>
            <w:tcW w:w="1584" w:type="dxa"/>
            <w:vAlign w:val="bottom"/>
          </w:tcPr>
          <w:p w:rsidR="00715E8D" w:rsidRPr="00C003FA" w:rsidRDefault="00715E8D" w:rsidP="006C0B9E">
            <w:pPr>
              <w:keepNext/>
              <w:tabs>
                <w:tab w:val="decimal" w:pos="681"/>
              </w:tabs>
              <w:jc w:val="left"/>
            </w:pPr>
            <w:r w:rsidRPr="00C003FA">
              <w:t>1.4</w:t>
            </w:r>
          </w:p>
        </w:tc>
        <w:tc>
          <w:tcPr>
            <w:tcW w:w="1584" w:type="dxa"/>
            <w:vAlign w:val="bottom"/>
          </w:tcPr>
          <w:p w:rsidR="00715E8D" w:rsidRPr="00C003FA" w:rsidRDefault="00715E8D" w:rsidP="006C0B9E">
            <w:pPr>
              <w:keepNext/>
              <w:tabs>
                <w:tab w:val="decimal" w:pos="720"/>
              </w:tabs>
              <w:jc w:val="left"/>
            </w:pPr>
            <w:r w:rsidRPr="00C003FA">
              <w:t>313.8</w:t>
            </w:r>
          </w:p>
        </w:tc>
        <w:tc>
          <w:tcPr>
            <w:tcW w:w="1584" w:type="dxa"/>
            <w:vAlign w:val="bottom"/>
          </w:tcPr>
          <w:p w:rsidR="00715E8D" w:rsidRPr="00C003FA" w:rsidRDefault="00715E8D" w:rsidP="006C0B9E">
            <w:pPr>
              <w:keepNext/>
              <w:tabs>
                <w:tab w:val="decimal" w:pos="576"/>
              </w:tabs>
              <w:jc w:val="left"/>
            </w:pPr>
            <w:r w:rsidRPr="00C003FA">
              <w:t>0.7</w:t>
            </w:r>
          </w:p>
        </w:tc>
      </w:tr>
      <w:tr w:rsidR="00715E8D" w:rsidRPr="00C003FA" w:rsidTr="006C0B9E">
        <w:trPr>
          <w:jc w:val="center"/>
        </w:trPr>
        <w:tc>
          <w:tcPr>
            <w:tcW w:w="1584" w:type="dxa"/>
            <w:vAlign w:val="bottom"/>
          </w:tcPr>
          <w:p w:rsidR="00715E8D" w:rsidRPr="00C003FA" w:rsidRDefault="00715E8D" w:rsidP="006C0B9E">
            <w:pPr>
              <w:keepNext/>
              <w:jc w:val="center"/>
            </w:pPr>
            <w:r w:rsidRPr="00C003FA">
              <w:t>2013</w:t>
            </w:r>
          </w:p>
        </w:tc>
        <w:tc>
          <w:tcPr>
            <w:tcW w:w="1584" w:type="dxa"/>
            <w:vAlign w:val="bottom"/>
          </w:tcPr>
          <w:p w:rsidR="00715E8D" w:rsidRPr="00C003FA" w:rsidRDefault="00715E8D" w:rsidP="006C0B9E">
            <w:pPr>
              <w:keepNext/>
              <w:tabs>
                <w:tab w:val="decimal" w:pos="648"/>
              </w:tabs>
              <w:jc w:val="left"/>
            </w:pPr>
            <w:r w:rsidRPr="00C003FA">
              <w:t>5.3</w:t>
            </w:r>
          </w:p>
        </w:tc>
        <w:tc>
          <w:tcPr>
            <w:tcW w:w="1584" w:type="dxa"/>
            <w:vAlign w:val="bottom"/>
          </w:tcPr>
          <w:p w:rsidR="00715E8D" w:rsidRPr="00C003FA" w:rsidRDefault="00715E8D" w:rsidP="006C0B9E">
            <w:pPr>
              <w:keepNext/>
              <w:tabs>
                <w:tab w:val="decimal" w:pos="681"/>
              </w:tabs>
              <w:jc w:val="left"/>
            </w:pPr>
            <w:r w:rsidRPr="00C003FA">
              <w:t>1.5</w:t>
            </w:r>
          </w:p>
        </w:tc>
        <w:tc>
          <w:tcPr>
            <w:tcW w:w="1584" w:type="dxa"/>
            <w:vAlign w:val="bottom"/>
          </w:tcPr>
          <w:p w:rsidR="00715E8D" w:rsidRPr="00C003FA" w:rsidRDefault="00715E8D" w:rsidP="006C0B9E">
            <w:pPr>
              <w:keepNext/>
              <w:tabs>
                <w:tab w:val="decimal" w:pos="720"/>
              </w:tabs>
              <w:jc w:val="left"/>
            </w:pPr>
            <w:r w:rsidRPr="00C003FA">
              <w:t>316.0</w:t>
            </w:r>
          </w:p>
        </w:tc>
        <w:tc>
          <w:tcPr>
            <w:tcW w:w="1584" w:type="dxa"/>
            <w:vAlign w:val="bottom"/>
          </w:tcPr>
          <w:p w:rsidR="00715E8D" w:rsidRPr="00C003FA" w:rsidRDefault="00715E8D" w:rsidP="006C0B9E">
            <w:pPr>
              <w:keepNext/>
              <w:tabs>
                <w:tab w:val="decimal" w:pos="576"/>
              </w:tabs>
              <w:jc w:val="left"/>
            </w:pPr>
            <w:r w:rsidRPr="00C003FA">
              <w:t>0.7</w:t>
            </w:r>
          </w:p>
        </w:tc>
      </w:tr>
      <w:tr w:rsidR="00715E8D" w:rsidRPr="00C003FA" w:rsidTr="006C0B9E">
        <w:trPr>
          <w:jc w:val="center"/>
        </w:trPr>
        <w:tc>
          <w:tcPr>
            <w:tcW w:w="1584" w:type="dxa"/>
            <w:vAlign w:val="bottom"/>
          </w:tcPr>
          <w:p w:rsidR="00715E8D" w:rsidRPr="00C003FA" w:rsidRDefault="00715E8D" w:rsidP="006C0B9E">
            <w:pPr>
              <w:keepNext/>
              <w:jc w:val="center"/>
            </w:pPr>
            <w:r w:rsidRPr="00C003FA">
              <w:t>2014</w:t>
            </w:r>
          </w:p>
        </w:tc>
        <w:tc>
          <w:tcPr>
            <w:tcW w:w="1584" w:type="dxa"/>
            <w:vAlign w:val="bottom"/>
          </w:tcPr>
          <w:p w:rsidR="00715E8D" w:rsidRPr="00C003FA" w:rsidRDefault="00715E8D" w:rsidP="006C0B9E">
            <w:pPr>
              <w:keepNext/>
              <w:tabs>
                <w:tab w:val="decimal" w:pos="648"/>
              </w:tabs>
              <w:jc w:val="left"/>
            </w:pPr>
            <w:r w:rsidRPr="00C003FA">
              <w:t>5.4</w:t>
            </w:r>
          </w:p>
        </w:tc>
        <w:tc>
          <w:tcPr>
            <w:tcW w:w="1584" w:type="dxa"/>
            <w:vAlign w:val="bottom"/>
          </w:tcPr>
          <w:p w:rsidR="00715E8D" w:rsidRPr="00C003FA" w:rsidRDefault="00715E8D" w:rsidP="006C0B9E">
            <w:pPr>
              <w:keepNext/>
              <w:tabs>
                <w:tab w:val="decimal" w:pos="681"/>
              </w:tabs>
              <w:jc w:val="left"/>
            </w:pPr>
            <w:r w:rsidRPr="00C003FA">
              <w:t>1.5</w:t>
            </w:r>
          </w:p>
        </w:tc>
        <w:tc>
          <w:tcPr>
            <w:tcW w:w="1584" w:type="dxa"/>
            <w:vAlign w:val="bottom"/>
          </w:tcPr>
          <w:p w:rsidR="00715E8D" w:rsidRPr="00C003FA" w:rsidRDefault="00715E8D" w:rsidP="006C0B9E">
            <w:pPr>
              <w:keepNext/>
              <w:tabs>
                <w:tab w:val="decimal" w:pos="720"/>
              </w:tabs>
              <w:jc w:val="left"/>
            </w:pPr>
            <w:r w:rsidRPr="00C003FA">
              <w:t>318.3</w:t>
            </w:r>
          </w:p>
        </w:tc>
        <w:tc>
          <w:tcPr>
            <w:tcW w:w="1584" w:type="dxa"/>
            <w:vAlign w:val="bottom"/>
          </w:tcPr>
          <w:p w:rsidR="00715E8D" w:rsidRPr="00C003FA" w:rsidRDefault="00715E8D" w:rsidP="006C0B9E">
            <w:pPr>
              <w:keepNext/>
              <w:tabs>
                <w:tab w:val="decimal" w:pos="576"/>
              </w:tabs>
              <w:jc w:val="left"/>
            </w:pPr>
            <w:r w:rsidRPr="00C003FA">
              <w:t>0.7</w:t>
            </w:r>
          </w:p>
        </w:tc>
      </w:tr>
      <w:tr w:rsidR="00715E8D" w:rsidRPr="00C003FA" w:rsidTr="006C0B9E">
        <w:trPr>
          <w:jc w:val="center"/>
        </w:trPr>
        <w:tc>
          <w:tcPr>
            <w:tcW w:w="1584" w:type="dxa"/>
            <w:vAlign w:val="bottom"/>
          </w:tcPr>
          <w:p w:rsidR="00715E8D" w:rsidRPr="00C003FA" w:rsidRDefault="00715E8D" w:rsidP="006C0B9E">
            <w:pPr>
              <w:keepNext/>
              <w:jc w:val="center"/>
            </w:pPr>
            <w:r w:rsidRPr="00C003FA">
              <w:t>2015</w:t>
            </w:r>
          </w:p>
        </w:tc>
        <w:tc>
          <w:tcPr>
            <w:tcW w:w="1584" w:type="dxa"/>
            <w:vAlign w:val="bottom"/>
          </w:tcPr>
          <w:p w:rsidR="00715E8D" w:rsidRPr="00C003FA" w:rsidRDefault="00715E8D" w:rsidP="006C0B9E">
            <w:pPr>
              <w:keepNext/>
              <w:tabs>
                <w:tab w:val="decimal" w:pos="648"/>
              </w:tabs>
              <w:jc w:val="left"/>
            </w:pPr>
            <w:r w:rsidRPr="00C003FA">
              <w:t>5.5</w:t>
            </w:r>
          </w:p>
        </w:tc>
        <w:tc>
          <w:tcPr>
            <w:tcW w:w="1584" w:type="dxa"/>
            <w:vAlign w:val="bottom"/>
          </w:tcPr>
          <w:p w:rsidR="00715E8D" w:rsidRPr="00C003FA" w:rsidRDefault="00715E8D" w:rsidP="006C0B9E">
            <w:pPr>
              <w:keepNext/>
              <w:tabs>
                <w:tab w:val="decimal" w:pos="681"/>
              </w:tabs>
              <w:jc w:val="left"/>
            </w:pPr>
            <w:r w:rsidRPr="00C003FA">
              <w:t>1.9</w:t>
            </w:r>
          </w:p>
        </w:tc>
        <w:tc>
          <w:tcPr>
            <w:tcW w:w="1584" w:type="dxa"/>
            <w:vAlign w:val="bottom"/>
          </w:tcPr>
          <w:p w:rsidR="00715E8D" w:rsidRPr="00C003FA" w:rsidRDefault="00715E8D" w:rsidP="006C0B9E">
            <w:pPr>
              <w:keepNext/>
              <w:tabs>
                <w:tab w:val="decimal" w:pos="720"/>
              </w:tabs>
              <w:jc w:val="left"/>
            </w:pPr>
            <w:r w:rsidRPr="00C003FA">
              <w:t>320.6</w:t>
            </w:r>
          </w:p>
        </w:tc>
        <w:tc>
          <w:tcPr>
            <w:tcW w:w="1584" w:type="dxa"/>
            <w:vAlign w:val="bottom"/>
          </w:tcPr>
          <w:p w:rsidR="00715E8D" w:rsidRPr="00C003FA" w:rsidRDefault="00715E8D" w:rsidP="006C0B9E">
            <w:pPr>
              <w:keepNext/>
              <w:tabs>
                <w:tab w:val="decimal" w:pos="576"/>
              </w:tabs>
              <w:jc w:val="left"/>
            </w:pPr>
            <w:r w:rsidRPr="00C003FA">
              <w:t>0.7</w:t>
            </w:r>
          </w:p>
        </w:tc>
      </w:tr>
      <w:tr w:rsidR="00715E8D" w:rsidRPr="00C003FA" w:rsidTr="006C0B9E">
        <w:trPr>
          <w:jc w:val="center"/>
        </w:trPr>
        <w:tc>
          <w:tcPr>
            <w:tcW w:w="1584" w:type="dxa"/>
            <w:vAlign w:val="bottom"/>
          </w:tcPr>
          <w:p w:rsidR="00715E8D" w:rsidRPr="00C003FA" w:rsidRDefault="00715E8D" w:rsidP="006C0B9E">
            <w:pPr>
              <w:keepNext/>
              <w:jc w:val="center"/>
            </w:pPr>
            <w:r w:rsidRPr="00C003FA">
              <w:t>2016</w:t>
            </w:r>
          </w:p>
        </w:tc>
        <w:tc>
          <w:tcPr>
            <w:tcW w:w="1584" w:type="dxa"/>
            <w:vAlign w:val="bottom"/>
          </w:tcPr>
          <w:p w:rsidR="00715E8D" w:rsidRPr="00C003FA" w:rsidRDefault="00715E8D" w:rsidP="006C0B9E">
            <w:pPr>
              <w:keepNext/>
              <w:tabs>
                <w:tab w:val="decimal" w:pos="648"/>
              </w:tabs>
              <w:jc w:val="left"/>
            </w:pPr>
            <w:r w:rsidRPr="00C003FA">
              <w:t>5.5</w:t>
            </w:r>
          </w:p>
        </w:tc>
        <w:tc>
          <w:tcPr>
            <w:tcW w:w="1584" w:type="dxa"/>
            <w:vAlign w:val="bottom"/>
          </w:tcPr>
          <w:p w:rsidR="00715E8D" w:rsidRPr="00C003FA" w:rsidRDefault="00715E8D" w:rsidP="006C0B9E">
            <w:pPr>
              <w:keepNext/>
              <w:tabs>
                <w:tab w:val="decimal" w:pos="681"/>
              </w:tabs>
              <w:jc w:val="left"/>
            </w:pPr>
            <w:r w:rsidRPr="00C003FA">
              <w:t>1.6</w:t>
            </w:r>
          </w:p>
        </w:tc>
        <w:tc>
          <w:tcPr>
            <w:tcW w:w="1584" w:type="dxa"/>
            <w:vAlign w:val="bottom"/>
          </w:tcPr>
          <w:p w:rsidR="00715E8D" w:rsidRPr="00C003FA" w:rsidRDefault="00715E8D" w:rsidP="006C0B9E">
            <w:pPr>
              <w:keepNext/>
              <w:tabs>
                <w:tab w:val="decimal" w:pos="720"/>
              </w:tabs>
              <w:jc w:val="left"/>
            </w:pPr>
            <w:r w:rsidRPr="00C003FA">
              <w:t>322.9</w:t>
            </w:r>
          </w:p>
        </w:tc>
        <w:tc>
          <w:tcPr>
            <w:tcW w:w="1584" w:type="dxa"/>
            <w:vAlign w:val="bottom"/>
          </w:tcPr>
          <w:p w:rsidR="00715E8D" w:rsidRPr="00C003FA" w:rsidRDefault="00715E8D" w:rsidP="006C0B9E">
            <w:pPr>
              <w:keepNext/>
              <w:tabs>
                <w:tab w:val="decimal" w:pos="576"/>
              </w:tabs>
              <w:jc w:val="left"/>
            </w:pPr>
            <w:r w:rsidRPr="00C003FA">
              <w:t>0.7</w:t>
            </w:r>
          </w:p>
        </w:tc>
      </w:tr>
      <w:tr w:rsidR="00715E8D" w:rsidRPr="00C003FA" w:rsidTr="006C0B9E">
        <w:trPr>
          <w:jc w:val="center"/>
        </w:trPr>
        <w:tc>
          <w:tcPr>
            <w:tcW w:w="1584" w:type="dxa"/>
            <w:vAlign w:val="bottom"/>
          </w:tcPr>
          <w:p w:rsidR="00715E8D" w:rsidRPr="00C003FA" w:rsidRDefault="00715E8D" w:rsidP="006C0B9E">
            <w:pPr>
              <w:keepNext/>
              <w:jc w:val="center"/>
            </w:pPr>
            <w:r w:rsidRPr="00C003FA">
              <w:t>2017</w:t>
            </w:r>
          </w:p>
        </w:tc>
        <w:tc>
          <w:tcPr>
            <w:tcW w:w="1584" w:type="dxa"/>
            <w:vAlign w:val="bottom"/>
          </w:tcPr>
          <w:p w:rsidR="00715E8D" w:rsidRPr="00C003FA" w:rsidRDefault="00715E8D" w:rsidP="006C0B9E">
            <w:pPr>
              <w:keepNext/>
              <w:tabs>
                <w:tab w:val="decimal" w:pos="648"/>
              </w:tabs>
              <w:jc w:val="left"/>
            </w:pPr>
            <w:r w:rsidRPr="00C003FA">
              <w:t>5.6</w:t>
            </w:r>
          </w:p>
        </w:tc>
        <w:tc>
          <w:tcPr>
            <w:tcW w:w="1584" w:type="dxa"/>
            <w:vAlign w:val="bottom"/>
          </w:tcPr>
          <w:p w:rsidR="00715E8D" w:rsidRPr="00C003FA" w:rsidRDefault="00715E8D" w:rsidP="006C0B9E">
            <w:pPr>
              <w:keepNext/>
              <w:tabs>
                <w:tab w:val="decimal" w:pos="681"/>
              </w:tabs>
              <w:jc w:val="left"/>
            </w:pPr>
            <w:r w:rsidRPr="00C003FA">
              <w:t>1.3</w:t>
            </w:r>
          </w:p>
        </w:tc>
        <w:tc>
          <w:tcPr>
            <w:tcW w:w="1584" w:type="dxa"/>
            <w:vAlign w:val="bottom"/>
          </w:tcPr>
          <w:p w:rsidR="00715E8D" w:rsidRPr="00C003FA" w:rsidRDefault="00715E8D" w:rsidP="006C0B9E">
            <w:pPr>
              <w:keepNext/>
              <w:tabs>
                <w:tab w:val="decimal" w:pos="720"/>
              </w:tabs>
              <w:jc w:val="left"/>
            </w:pPr>
            <w:r w:rsidRPr="00C003FA">
              <w:t>325.0</w:t>
            </w:r>
          </w:p>
        </w:tc>
        <w:tc>
          <w:tcPr>
            <w:tcW w:w="1584" w:type="dxa"/>
            <w:vAlign w:val="bottom"/>
          </w:tcPr>
          <w:p w:rsidR="00715E8D" w:rsidRPr="00C003FA" w:rsidRDefault="00715E8D" w:rsidP="006C0B9E">
            <w:pPr>
              <w:keepNext/>
              <w:tabs>
                <w:tab w:val="decimal" w:pos="576"/>
              </w:tabs>
              <w:jc w:val="left"/>
            </w:pPr>
            <w:r w:rsidRPr="00C003FA">
              <w:t>0.6</w:t>
            </w:r>
          </w:p>
        </w:tc>
      </w:tr>
      <w:tr w:rsidR="00715E8D" w:rsidRPr="00C003FA" w:rsidTr="006C0B9E">
        <w:trPr>
          <w:jc w:val="center"/>
        </w:trPr>
        <w:tc>
          <w:tcPr>
            <w:tcW w:w="1584" w:type="dxa"/>
            <w:vAlign w:val="bottom"/>
          </w:tcPr>
          <w:p w:rsidR="00715E8D" w:rsidRPr="00C003FA" w:rsidRDefault="00715E8D" w:rsidP="006C0B9E">
            <w:pPr>
              <w:keepNext/>
              <w:jc w:val="center"/>
            </w:pPr>
            <w:r w:rsidRPr="00C003FA">
              <w:t>2018</w:t>
            </w:r>
          </w:p>
        </w:tc>
        <w:tc>
          <w:tcPr>
            <w:tcW w:w="1584" w:type="dxa"/>
            <w:vAlign w:val="bottom"/>
          </w:tcPr>
          <w:p w:rsidR="00715E8D" w:rsidRPr="00C003FA" w:rsidRDefault="00715E8D" w:rsidP="006C0B9E">
            <w:pPr>
              <w:keepNext/>
              <w:tabs>
                <w:tab w:val="decimal" w:pos="648"/>
              </w:tabs>
              <w:jc w:val="left"/>
            </w:pPr>
            <w:r w:rsidRPr="00C003FA">
              <w:t>5.7</w:t>
            </w:r>
          </w:p>
        </w:tc>
        <w:tc>
          <w:tcPr>
            <w:tcW w:w="1584" w:type="dxa"/>
            <w:vAlign w:val="bottom"/>
          </w:tcPr>
          <w:p w:rsidR="00715E8D" w:rsidRPr="00C003FA" w:rsidRDefault="00715E8D" w:rsidP="006C0B9E">
            <w:pPr>
              <w:keepNext/>
              <w:tabs>
                <w:tab w:val="decimal" w:pos="681"/>
              </w:tabs>
              <w:jc w:val="left"/>
            </w:pPr>
            <w:r w:rsidRPr="00C003FA">
              <w:t>1.4</w:t>
            </w:r>
          </w:p>
        </w:tc>
        <w:tc>
          <w:tcPr>
            <w:tcW w:w="1584" w:type="dxa"/>
            <w:vAlign w:val="bottom"/>
          </w:tcPr>
          <w:p w:rsidR="00715E8D" w:rsidRPr="00C003FA" w:rsidRDefault="00715E8D" w:rsidP="006C0B9E">
            <w:pPr>
              <w:keepNext/>
              <w:tabs>
                <w:tab w:val="decimal" w:pos="720"/>
              </w:tabs>
              <w:jc w:val="left"/>
            </w:pPr>
            <w:r w:rsidRPr="00C003FA">
              <w:t>326.7</w:t>
            </w:r>
          </w:p>
        </w:tc>
        <w:tc>
          <w:tcPr>
            <w:tcW w:w="1584" w:type="dxa"/>
            <w:vAlign w:val="bottom"/>
          </w:tcPr>
          <w:p w:rsidR="00715E8D" w:rsidRPr="00C003FA" w:rsidRDefault="00715E8D" w:rsidP="006C0B9E">
            <w:pPr>
              <w:keepNext/>
              <w:tabs>
                <w:tab w:val="decimal" w:pos="576"/>
              </w:tabs>
              <w:jc w:val="left"/>
            </w:pPr>
            <w:r w:rsidRPr="00C003FA">
              <w:t>0.5</w:t>
            </w:r>
          </w:p>
        </w:tc>
      </w:tr>
      <w:tr w:rsidR="00715E8D" w:rsidRPr="00C003FA" w:rsidTr="006C0B9E">
        <w:trPr>
          <w:jc w:val="center"/>
        </w:trPr>
        <w:tc>
          <w:tcPr>
            <w:tcW w:w="1584" w:type="dxa"/>
            <w:vAlign w:val="bottom"/>
          </w:tcPr>
          <w:p w:rsidR="00715E8D" w:rsidRPr="00C003FA" w:rsidRDefault="00715E8D" w:rsidP="006C0B9E">
            <w:pPr>
              <w:keepNext/>
              <w:jc w:val="center"/>
            </w:pPr>
            <w:r w:rsidRPr="00C003FA">
              <w:t>2019</w:t>
            </w:r>
          </w:p>
        </w:tc>
        <w:tc>
          <w:tcPr>
            <w:tcW w:w="1584" w:type="dxa"/>
            <w:vAlign w:val="bottom"/>
          </w:tcPr>
          <w:p w:rsidR="00715E8D" w:rsidRPr="00C003FA" w:rsidRDefault="00715E8D" w:rsidP="006C0B9E">
            <w:pPr>
              <w:keepNext/>
              <w:tabs>
                <w:tab w:val="decimal" w:pos="648"/>
              </w:tabs>
              <w:jc w:val="left"/>
            </w:pPr>
            <w:r w:rsidRPr="00C003FA">
              <w:t>5.8</w:t>
            </w:r>
          </w:p>
        </w:tc>
        <w:tc>
          <w:tcPr>
            <w:tcW w:w="1584" w:type="dxa"/>
            <w:vAlign w:val="bottom"/>
          </w:tcPr>
          <w:p w:rsidR="00715E8D" w:rsidRPr="00C003FA" w:rsidRDefault="00715E8D" w:rsidP="006C0B9E">
            <w:pPr>
              <w:keepNext/>
              <w:tabs>
                <w:tab w:val="decimal" w:pos="681"/>
              </w:tabs>
              <w:jc w:val="left"/>
            </w:pPr>
            <w:r w:rsidRPr="00C003FA">
              <w:t>1.3</w:t>
            </w:r>
          </w:p>
        </w:tc>
        <w:tc>
          <w:tcPr>
            <w:tcW w:w="1584" w:type="dxa"/>
            <w:vAlign w:val="bottom"/>
          </w:tcPr>
          <w:p w:rsidR="00715E8D" w:rsidRPr="00C003FA" w:rsidRDefault="00715E8D" w:rsidP="006C0B9E">
            <w:pPr>
              <w:keepNext/>
              <w:tabs>
                <w:tab w:val="decimal" w:pos="720"/>
              </w:tabs>
              <w:jc w:val="left"/>
            </w:pPr>
            <w:r w:rsidRPr="00C003FA">
              <w:t>328.2</w:t>
            </w:r>
          </w:p>
        </w:tc>
        <w:tc>
          <w:tcPr>
            <w:tcW w:w="1584" w:type="dxa"/>
            <w:vAlign w:val="bottom"/>
          </w:tcPr>
          <w:p w:rsidR="00715E8D" w:rsidRPr="00C003FA" w:rsidRDefault="00715E8D" w:rsidP="006C0B9E">
            <w:pPr>
              <w:keepNext/>
              <w:tabs>
                <w:tab w:val="decimal" w:pos="576"/>
              </w:tabs>
              <w:jc w:val="left"/>
            </w:pPr>
            <w:r w:rsidRPr="00C003FA">
              <w:t>0.5</w:t>
            </w:r>
          </w:p>
        </w:tc>
      </w:tr>
    </w:tbl>
    <w:p w:rsidR="005162B7" w:rsidRPr="008E459C" w:rsidRDefault="005162B7" w:rsidP="005162B7">
      <w:pPr>
        <w:pStyle w:val="OStablenotes"/>
        <w:keepNext w:val="0"/>
        <w:spacing w:before="80" w:after="0"/>
        <w:rPr>
          <w:spacing w:val="-3"/>
        </w:rPr>
      </w:pPr>
      <w:r>
        <w:rPr>
          <w:spacing w:val="-3"/>
        </w:rPr>
        <w:t>________________________</w:t>
      </w:r>
    </w:p>
    <w:p w:rsidR="005942B3" w:rsidRDefault="00715E8D" w:rsidP="00940E5F">
      <w:pPr>
        <w:pStyle w:val="OStablenotes"/>
        <w:spacing w:before="80" w:after="0"/>
      </w:pPr>
      <w:r>
        <w:t>Note: Figures for 2010 through 2018 are estimates. The U.S. 2019</w:t>
      </w:r>
      <w:r w:rsidR="005942B3">
        <w:t xml:space="preserve"> co</w:t>
      </w:r>
      <w:r>
        <w:t>unt is an estimate, and the 2019</w:t>
      </w:r>
      <w:r w:rsidR="005942B3">
        <w:t xml:space="preserve"> count for Colorado is a forecast.</w:t>
      </w:r>
    </w:p>
    <w:p w:rsidR="005942B3" w:rsidRPr="00940E5F" w:rsidRDefault="005942B3" w:rsidP="00940E5F">
      <w:pPr>
        <w:pStyle w:val="OStablesources"/>
        <w:spacing w:before="80"/>
      </w:pPr>
      <w:r>
        <w:t>Sources:</w:t>
      </w:r>
      <w:r>
        <w:tab/>
        <w:t xml:space="preserve">Colorado Division of Local Government, State Demography Office; U.S. Census Bureau, </w:t>
      </w:r>
      <w:r w:rsidRPr="00940E5F">
        <w:t>Population Estimates Program.</w:t>
      </w:r>
    </w:p>
    <w:p w:rsidR="005942B3" w:rsidRDefault="005942B3" w:rsidP="005942B3">
      <w:pPr>
        <w:pStyle w:val="BodyText1"/>
      </w:pPr>
      <w:r w:rsidRPr="005942B3">
        <w:t>The following table provides the age distribution for the most recent year available for the State’s population and the population nationwide.</w:t>
      </w:r>
    </w:p>
    <w:tbl>
      <w:tblPr>
        <w:tblStyle w:val="TableGrid1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4"/>
        <w:gridCol w:w="1584"/>
        <w:gridCol w:w="1584"/>
        <w:gridCol w:w="1584"/>
        <w:gridCol w:w="1584"/>
      </w:tblGrid>
      <w:tr w:rsidR="006C0B9E" w:rsidRPr="00C003FA" w:rsidTr="006C0B9E">
        <w:trPr>
          <w:jc w:val="center"/>
        </w:trPr>
        <w:tc>
          <w:tcPr>
            <w:tcW w:w="7920" w:type="dxa"/>
            <w:gridSpan w:val="5"/>
            <w:vAlign w:val="bottom"/>
          </w:tcPr>
          <w:p w:rsidR="006C0B9E" w:rsidRPr="00C003FA" w:rsidRDefault="006C0B9E" w:rsidP="006C0B9E">
            <w:pPr>
              <w:keepNext/>
              <w:spacing w:after="240"/>
              <w:jc w:val="center"/>
              <w:rPr>
                <w:b/>
              </w:rPr>
            </w:pPr>
            <w:r w:rsidRPr="00C003FA">
              <w:rPr>
                <w:b/>
              </w:rPr>
              <w:t>Age Distribution</w:t>
            </w:r>
            <w:r w:rsidRPr="00C003FA">
              <w:rPr>
                <w:b/>
              </w:rPr>
              <w:br/>
              <w:t>As of July 1,</w:t>
            </w:r>
          </w:p>
        </w:tc>
      </w:tr>
      <w:tr w:rsidR="006C0B9E" w:rsidRPr="00C003FA" w:rsidTr="006C0B9E">
        <w:trPr>
          <w:jc w:val="center"/>
        </w:trPr>
        <w:tc>
          <w:tcPr>
            <w:tcW w:w="1584" w:type="dxa"/>
            <w:vAlign w:val="bottom"/>
          </w:tcPr>
          <w:p w:rsidR="006C0B9E" w:rsidRPr="00C003FA" w:rsidRDefault="006C0B9E" w:rsidP="006C0B9E">
            <w:pPr>
              <w:keepNext/>
              <w:spacing w:after="60"/>
              <w:jc w:val="center"/>
              <w:rPr>
                <w:b/>
              </w:rPr>
            </w:pPr>
          </w:p>
        </w:tc>
        <w:tc>
          <w:tcPr>
            <w:tcW w:w="3168" w:type="dxa"/>
            <w:gridSpan w:val="2"/>
            <w:vAlign w:val="bottom"/>
          </w:tcPr>
          <w:p w:rsidR="006C0B9E" w:rsidRPr="00C003FA" w:rsidRDefault="006C0B9E" w:rsidP="006C0B9E">
            <w:pPr>
              <w:keepNext/>
              <w:pBdr>
                <w:bottom w:val="single" w:sz="4" w:space="1" w:color="auto"/>
              </w:pBdr>
              <w:spacing w:after="60"/>
              <w:jc w:val="center"/>
              <w:rPr>
                <w:b/>
              </w:rPr>
            </w:pPr>
            <w:r w:rsidRPr="00C003FA">
              <w:rPr>
                <w:b/>
              </w:rPr>
              <w:t>Colorado, 2019</w:t>
            </w:r>
          </w:p>
        </w:tc>
        <w:tc>
          <w:tcPr>
            <w:tcW w:w="3168" w:type="dxa"/>
            <w:gridSpan w:val="2"/>
            <w:vAlign w:val="bottom"/>
          </w:tcPr>
          <w:p w:rsidR="006C0B9E" w:rsidRPr="00C003FA" w:rsidRDefault="006C0B9E" w:rsidP="006C0B9E">
            <w:pPr>
              <w:keepNext/>
              <w:pBdr>
                <w:bottom w:val="single" w:sz="4" w:space="1" w:color="auto"/>
              </w:pBdr>
              <w:spacing w:after="60"/>
              <w:jc w:val="center"/>
              <w:rPr>
                <w:b/>
              </w:rPr>
            </w:pPr>
            <w:r w:rsidRPr="00C003FA">
              <w:rPr>
                <w:b/>
              </w:rPr>
              <w:t>United States, 2019</w:t>
            </w:r>
          </w:p>
        </w:tc>
      </w:tr>
      <w:tr w:rsidR="006C0B9E" w:rsidRPr="00C003FA" w:rsidTr="006C0B9E">
        <w:trPr>
          <w:jc w:val="center"/>
        </w:trPr>
        <w:tc>
          <w:tcPr>
            <w:tcW w:w="1584" w:type="dxa"/>
            <w:vAlign w:val="bottom"/>
          </w:tcPr>
          <w:p w:rsidR="006C0B9E" w:rsidRPr="00C003FA" w:rsidRDefault="006C0B9E" w:rsidP="006C0B9E">
            <w:pPr>
              <w:keepNext/>
              <w:pBdr>
                <w:bottom w:val="single" w:sz="4" w:space="1" w:color="auto"/>
              </w:pBdr>
              <w:spacing w:after="120"/>
              <w:jc w:val="center"/>
              <w:rPr>
                <w:b/>
              </w:rPr>
            </w:pPr>
          </w:p>
        </w:tc>
        <w:tc>
          <w:tcPr>
            <w:tcW w:w="1584" w:type="dxa"/>
            <w:vAlign w:val="bottom"/>
          </w:tcPr>
          <w:p w:rsidR="006C0B9E" w:rsidRPr="00C003FA" w:rsidRDefault="006C0B9E" w:rsidP="006C0B9E">
            <w:pPr>
              <w:keepNext/>
              <w:pBdr>
                <w:bottom w:val="single" w:sz="4" w:space="1" w:color="auto"/>
              </w:pBdr>
              <w:spacing w:after="120"/>
              <w:jc w:val="center"/>
              <w:rPr>
                <w:b/>
              </w:rPr>
            </w:pPr>
            <w:r w:rsidRPr="00C003FA">
              <w:rPr>
                <w:b/>
              </w:rPr>
              <w:t>Population (millions)</w:t>
            </w:r>
          </w:p>
        </w:tc>
        <w:tc>
          <w:tcPr>
            <w:tcW w:w="1584" w:type="dxa"/>
            <w:vAlign w:val="bottom"/>
          </w:tcPr>
          <w:p w:rsidR="006C0B9E" w:rsidRPr="00C003FA" w:rsidRDefault="006C0B9E" w:rsidP="006C0B9E">
            <w:pPr>
              <w:keepNext/>
              <w:pBdr>
                <w:bottom w:val="single" w:sz="4" w:space="1" w:color="auto"/>
              </w:pBdr>
              <w:spacing w:after="120"/>
              <w:jc w:val="center"/>
              <w:rPr>
                <w:b/>
              </w:rPr>
            </w:pPr>
            <w:r w:rsidRPr="00C003FA">
              <w:rPr>
                <w:b/>
              </w:rPr>
              <w:t>% of total</w:t>
            </w:r>
          </w:p>
        </w:tc>
        <w:tc>
          <w:tcPr>
            <w:tcW w:w="1584" w:type="dxa"/>
            <w:vAlign w:val="bottom"/>
          </w:tcPr>
          <w:p w:rsidR="006C0B9E" w:rsidRPr="00C003FA" w:rsidRDefault="006C0B9E" w:rsidP="006C0B9E">
            <w:pPr>
              <w:keepNext/>
              <w:pBdr>
                <w:bottom w:val="single" w:sz="4" w:space="1" w:color="auto"/>
              </w:pBdr>
              <w:spacing w:after="120"/>
              <w:jc w:val="center"/>
              <w:rPr>
                <w:b/>
              </w:rPr>
            </w:pPr>
            <w:r w:rsidRPr="00C003FA">
              <w:rPr>
                <w:b/>
              </w:rPr>
              <w:t>Population (millions)</w:t>
            </w:r>
          </w:p>
        </w:tc>
        <w:tc>
          <w:tcPr>
            <w:tcW w:w="1584" w:type="dxa"/>
            <w:vAlign w:val="bottom"/>
          </w:tcPr>
          <w:p w:rsidR="006C0B9E" w:rsidRPr="00C003FA" w:rsidRDefault="006C0B9E" w:rsidP="006C0B9E">
            <w:pPr>
              <w:keepNext/>
              <w:pBdr>
                <w:bottom w:val="single" w:sz="4" w:space="1" w:color="auto"/>
              </w:pBdr>
              <w:spacing w:after="120"/>
              <w:jc w:val="center"/>
              <w:rPr>
                <w:b/>
              </w:rPr>
            </w:pPr>
            <w:r w:rsidRPr="00C003FA">
              <w:rPr>
                <w:b/>
              </w:rPr>
              <w:t>% of total</w:t>
            </w:r>
          </w:p>
        </w:tc>
      </w:tr>
      <w:tr w:rsidR="006C0B9E" w:rsidRPr="00C003FA" w:rsidTr="006C0B9E">
        <w:trPr>
          <w:jc w:val="center"/>
        </w:trPr>
        <w:tc>
          <w:tcPr>
            <w:tcW w:w="1584" w:type="dxa"/>
            <w:vAlign w:val="bottom"/>
          </w:tcPr>
          <w:p w:rsidR="006C0B9E" w:rsidRPr="00C003FA" w:rsidRDefault="006C0B9E" w:rsidP="006C0B9E">
            <w:pPr>
              <w:keepNext/>
              <w:jc w:val="center"/>
            </w:pPr>
            <w:r w:rsidRPr="00C003FA">
              <w:t>Under 18</w:t>
            </w:r>
          </w:p>
        </w:tc>
        <w:tc>
          <w:tcPr>
            <w:tcW w:w="1584" w:type="dxa"/>
            <w:vAlign w:val="bottom"/>
          </w:tcPr>
          <w:p w:rsidR="006C0B9E" w:rsidRPr="00C003FA" w:rsidRDefault="006C0B9E" w:rsidP="006C0B9E">
            <w:pPr>
              <w:keepNext/>
              <w:tabs>
                <w:tab w:val="decimal" w:pos="648"/>
              </w:tabs>
              <w:jc w:val="left"/>
            </w:pPr>
            <w:r w:rsidRPr="00C003FA">
              <w:t>1.26</w:t>
            </w:r>
          </w:p>
        </w:tc>
        <w:tc>
          <w:tcPr>
            <w:tcW w:w="1584" w:type="dxa"/>
            <w:vAlign w:val="bottom"/>
          </w:tcPr>
          <w:p w:rsidR="006C0B9E" w:rsidRPr="00C003FA" w:rsidRDefault="006C0B9E" w:rsidP="006C0B9E">
            <w:pPr>
              <w:keepNext/>
              <w:tabs>
                <w:tab w:val="decimal" w:pos="774"/>
              </w:tabs>
              <w:jc w:val="left"/>
            </w:pPr>
            <w:r w:rsidRPr="00C003FA">
              <w:t>21.9%</w:t>
            </w:r>
          </w:p>
        </w:tc>
        <w:tc>
          <w:tcPr>
            <w:tcW w:w="1584" w:type="dxa"/>
            <w:vAlign w:val="bottom"/>
          </w:tcPr>
          <w:p w:rsidR="006C0B9E" w:rsidRPr="00C003FA" w:rsidRDefault="006C0B9E" w:rsidP="006C0B9E">
            <w:pPr>
              <w:keepNext/>
              <w:tabs>
                <w:tab w:val="decimal" w:pos="720"/>
              </w:tabs>
              <w:jc w:val="left"/>
            </w:pPr>
            <w:r w:rsidRPr="00C003FA">
              <w:t>73.04</w:t>
            </w:r>
          </w:p>
        </w:tc>
        <w:tc>
          <w:tcPr>
            <w:tcW w:w="1584" w:type="dxa"/>
            <w:vAlign w:val="bottom"/>
          </w:tcPr>
          <w:p w:rsidR="006C0B9E" w:rsidRPr="00C003FA" w:rsidRDefault="006C0B9E" w:rsidP="006C0B9E">
            <w:pPr>
              <w:keepNext/>
              <w:tabs>
                <w:tab w:val="decimal" w:pos="846"/>
              </w:tabs>
              <w:jc w:val="left"/>
            </w:pPr>
            <w:r w:rsidRPr="00C003FA">
              <w:t>22.3%</w:t>
            </w:r>
          </w:p>
        </w:tc>
      </w:tr>
      <w:tr w:rsidR="006C0B9E" w:rsidRPr="00C003FA" w:rsidTr="006C0B9E">
        <w:trPr>
          <w:jc w:val="center"/>
        </w:trPr>
        <w:tc>
          <w:tcPr>
            <w:tcW w:w="1584" w:type="dxa"/>
            <w:vAlign w:val="bottom"/>
          </w:tcPr>
          <w:p w:rsidR="006C0B9E" w:rsidRPr="00C003FA" w:rsidRDefault="006C0B9E" w:rsidP="006C0B9E">
            <w:pPr>
              <w:keepNext/>
              <w:jc w:val="center"/>
            </w:pPr>
            <w:r w:rsidRPr="00C003FA">
              <w:t>18 to 24</w:t>
            </w:r>
          </w:p>
        </w:tc>
        <w:tc>
          <w:tcPr>
            <w:tcW w:w="1584" w:type="dxa"/>
            <w:vAlign w:val="bottom"/>
          </w:tcPr>
          <w:p w:rsidR="006C0B9E" w:rsidRPr="00C003FA" w:rsidRDefault="006C0B9E" w:rsidP="006C0B9E">
            <w:pPr>
              <w:keepNext/>
              <w:tabs>
                <w:tab w:val="decimal" w:pos="648"/>
              </w:tabs>
              <w:jc w:val="left"/>
            </w:pPr>
            <w:r w:rsidRPr="00C003FA">
              <w:t>0.56</w:t>
            </w:r>
          </w:p>
        </w:tc>
        <w:tc>
          <w:tcPr>
            <w:tcW w:w="1584" w:type="dxa"/>
            <w:vAlign w:val="bottom"/>
          </w:tcPr>
          <w:p w:rsidR="006C0B9E" w:rsidRPr="00C003FA" w:rsidRDefault="006C0B9E" w:rsidP="006C0B9E">
            <w:pPr>
              <w:keepNext/>
              <w:tabs>
                <w:tab w:val="decimal" w:pos="774"/>
              </w:tabs>
              <w:jc w:val="left"/>
            </w:pPr>
            <w:r w:rsidRPr="00C003FA">
              <w:t>9.7</w:t>
            </w:r>
          </w:p>
        </w:tc>
        <w:tc>
          <w:tcPr>
            <w:tcW w:w="1584" w:type="dxa"/>
            <w:vAlign w:val="bottom"/>
          </w:tcPr>
          <w:p w:rsidR="006C0B9E" w:rsidRPr="00C003FA" w:rsidRDefault="006C0B9E" w:rsidP="006C0B9E">
            <w:pPr>
              <w:keepNext/>
              <w:tabs>
                <w:tab w:val="decimal" w:pos="720"/>
              </w:tabs>
              <w:jc w:val="left"/>
            </w:pPr>
            <w:r w:rsidRPr="00C003FA">
              <w:t>30.22</w:t>
            </w:r>
          </w:p>
        </w:tc>
        <w:tc>
          <w:tcPr>
            <w:tcW w:w="1584" w:type="dxa"/>
            <w:vAlign w:val="bottom"/>
          </w:tcPr>
          <w:p w:rsidR="006C0B9E" w:rsidRPr="00C003FA" w:rsidRDefault="006C0B9E" w:rsidP="006C0B9E">
            <w:pPr>
              <w:keepNext/>
              <w:tabs>
                <w:tab w:val="decimal" w:pos="846"/>
              </w:tabs>
              <w:jc w:val="left"/>
            </w:pPr>
            <w:r w:rsidRPr="00C003FA">
              <w:t>9.2</w:t>
            </w:r>
          </w:p>
        </w:tc>
      </w:tr>
      <w:tr w:rsidR="006C0B9E" w:rsidRPr="00C003FA" w:rsidTr="006C0B9E">
        <w:trPr>
          <w:jc w:val="center"/>
        </w:trPr>
        <w:tc>
          <w:tcPr>
            <w:tcW w:w="1584" w:type="dxa"/>
            <w:vAlign w:val="bottom"/>
          </w:tcPr>
          <w:p w:rsidR="006C0B9E" w:rsidRPr="00C003FA" w:rsidRDefault="006C0B9E" w:rsidP="006C0B9E">
            <w:pPr>
              <w:keepNext/>
              <w:jc w:val="center"/>
            </w:pPr>
            <w:r w:rsidRPr="00C003FA">
              <w:t>25 to 44</w:t>
            </w:r>
          </w:p>
        </w:tc>
        <w:tc>
          <w:tcPr>
            <w:tcW w:w="1584" w:type="dxa"/>
            <w:vAlign w:val="bottom"/>
          </w:tcPr>
          <w:p w:rsidR="006C0B9E" w:rsidRPr="00C003FA" w:rsidRDefault="006C0B9E" w:rsidP="006C0B9E">
            <w:pPr>
              <w:keepNext/>
              <w:tabs>
                <w:tab w:val="decimal" w:pos="648"/>
              </w:tabs>
              <w:jc w:val="left"/>
            </w:pPr>
            <w:r w:rsidRPr="00C003FA">
              <w:t>1.66</w:t>
            </w:r>
          </w:p>
        </w:tc>
        <w:tc>
          <w:tcPr>
            <w:tcW w:w="1584" w:type="dxa"/>
            <w:vAlign w:val="bottom"/>
          </w:tcPr>
          <w:p w:rsidR="006C0B9E" w:rsidRPr="00C003FA" w:rsidRDefault="006C0B9E" w:rsidP="006C0B9E">
            <w:pPr>
              <w:keepNext/>
              <w:tabs>
                <w:tab w:val="decimal" w:pos="774"/>
              </w:tabs>
              <w:jc w:val="left"/>
            </w:pPr>
            <w:r w:rsidRPr="00C003FA">
              <w:t>28.8</w:t>
            </w:r>
          </w:p>
        </w:tc>
        <w:tc>
          <w:tcPr>
            <w:tcW w:w="1584" w:type="dxa"/>
            <w:vAlign w:val="bottom"/>
          </w:tcPr>
          <w:p w:rsidR="006C0B9E" w:rsidRPr="00C003FA" w:rsidRDefault="006C0B9E" w:rsidP="006C0B9E">
            <w:pPr>
              <w:keepNext/>
              <w:tabs>
                <w:tab w:val="decimal" w:pos="720"/>
              </w:tabs>
              <w:jc w:val="left"/>
            </w:pPr>
            <w:r w:rsidRPr="00C003FA">
              <w:t>87.60</w:t>
            </w:r>
          </w:p>
        </w:tc>
        <w:tc>
          <w:tcPr>
            <w:tcW w:w="1584" w:type="dxa"/>
            <w:vAlign w:val="bottom"/>
          </w:tcPr>
          <w:p w:rsidR="006C0B9E" w:rsidRPr="00C003FA" w:rsidRDefault="006C0B9E" w:rsidP="006C0B9E">
            <w:pPr>
              <w:keepNext/>
              <w:tabs>
                <w:tab w:val="decimal" w:pos="846"/>
              </w:tabs>
              <w:jc w:val="left"/>
            </w:pPr>
            <w:r w:rsidRPr="00C003FA">
              <w:t>26.7</w:t>
            </w:r>
          </w:p>
        </w:tc>
      </w:tr>
      <w:tr w:rsidR="006C0B9E" w:rsidRPr="00C003FA" w:rsidTr="006C0B9E">
        <w:trPr>
          <w:jc w:val="center"/>
        </w:trPr>
        <w:tc>
          <w:tcPr>
            <w:tcW w:w="1584" w:type="dxa"/>
            <w:vAlign w:val="bottom"/>
          </w:tcPr>
          <w:p w:rsidR="006C0B9E" w:rsidRPr="00C003FA" w:rsidRDefault="006C0B9E" w:rsidP="006C0B9E">
            <w:pPr>
              <w:keepNext/>
              <w:jc w:val="center"/>
            </w:pPr>
            <w:r w:rsidRPr="00C003FA">
              <w:t>45 to 64</w:t>
            </w:r>
          </w:p>
        </w:tc>
        <w:tc>
          <w:tcPr>
            <w:tcW w:w="1584" w:type="dxa"/>
            <w:vAlign w:val="bottom"/>
          </w:tcPr>
          <w:p w:rsidR="006C0B9E" w:rsidRPr="00C003FA" w:rsidRDefault="006C0B9E" w:rsidP="006C0B9E">
            <w:pPr>
              <w:keepNext/>
              <w:tabs>
                <w:tab w:val="decimal" w:pos="648"/>
              </w:tabs>
              <w:jc w:val="left"/>
            </w:pPr>
            <w:r w:rsidRPr="00C003FA">
              <w:t>1.44</w:t>
            </w:r>
          </w:p>
        </w:tc>
        <w:tc>
          <w:tcPr>
            <w:tcW w:w="1584" w:type="dxa"/>
            <w:vAlign w:val="bottom"/>
          </w:tcPr>
          <w:p w:rsidR="006C0B9E" w:rsidRPr="00C003FA" w:rsidRDefault="006C0B9E" w:rsidP="006C0B9E">
            <w:pPr>
              <w:keepNext/>
              <w:tabs>
                <w:tab w:val="decimal" w:pos="774"/>
              </w:tabs>
              <w:jc w:val="left"/>
            </w:pPr>
            <w:r w:rsidRPr="00C003FA">
              <w:t>24.9</w:t>
            </w:r>
          </w:p>
        </w:tc>
        <w:tc>
          <w:tcPr>
            <w:tcW w:w="1584" w:type="dxa"/>
            <w:vAlign w:val="bottom"/>
          </w:tcPr>
          <w:p w:rsidR="006C0B9E" w:rsidRPr="00C003FA" w:rsidRDefault="006C0B9E" w:rsidP="006C0B9E">
            <w:pPr>
              <w:keepNext/>
              <w:tabs>
                <w:tab w:val="decimal" w:pos="720"/>
              </w:tabs>
              <w:jc w:val="left"/>
            </w:pPr>
            <w:r w:rsidRPr="00C003FA">
              <w:t>83.32</w:t>
            </w:r>
          </w:p>
        </w:tc>
        <w:tc>
          <w:tcPr>
            <w:tcW w:w="1584" w:type="dxa"/>
            <w:vAlign w:val="bottom"/>
          </w:tcPr>
          <w:p w:rsidR="006C0B9E" w:rsidRPr="00C003FA" w:rsidRDefault="006C0B9E" w:rsidP="006C0B9E">
            <w:pPr>
              <w:keepNext/>
              <w:tabs>
                <w:tab w:val="decimal" w:pos="846"/>
              </w:tabs>
              <w:jc w:val="left"/>
            </w:pPr>
            <w:r w:rsidRPr="00C003FA">
              <w:t>25.4</w:t>
            </w:r>
          </w:p>
        </w:tc>
      </w:tr>
      <w:tr w:rsidR="006C0B9E" w:rsidRPr="00C003FA" w:rsidTr="006C0B9E">
        <w:trPr>
          <w:jc w:val="center"/>
        </w:trPr>
        <w:tc>
          <w:tcPr>
            <w:tcW w:w="1584" w:type="dxa"/>
            <w:vAlign w:val="bottom"/>
          </w:tcPr>
          <w:p w:rsidR="006C0B9E" w:rsidRPr="00C003FA" w:rsidRDefault="006C0B9E" w:rsidP="006C0B9E">
            <w:pPr>
              <w:keepNext/>
              <w:jc w:val="center"/>
            </w:pPr>
            <w:r w:rsidRPr="00C003FA">
              <w:t>65+</w:t>
            </w:r>
          </w:p>
        </w:tc>
        <w:tc>
          <w:tcPr>
            <w:tcW w:w="1584" w:type="dxa"/>
            <w:vAlign w:val="bottom"/>
          </w:tcPr>
          <w:p w:rsidR="006C0B9E" w:rsidRPr="00C003FA" w:rsidRDefault="006C0B9E" w:rsidP="006C0B9E">
            <w:pPr>
              <w:keepNext/>
              <w:tabs>
                <w:tab w:val="decimal" w:pos="648"/>
              </w:tabs>
              <w:jc w:val="left"/>
              <w:rPr>
                <w:u w:val="single"/>
              </w:rPr>
            </w:pPr>
            <w:r w:rsidRPr="00C003FA">
              <w:rPr>
                <w:u w:val="single"/>
              </w:rPr>
              <w:t>0.84</w:t>
            </w:r>
          </w:p>
        </w:tc>
        <w:tc>
          <w:tcPr>
            <w:tcW w:w="1584" w:type="dxa"/>
            <w:vAlign w:val="bottom"/>
          </w:tcPr>
          <w:p w:rsidR="006C0B9E" w:rsidRPr="00C003FA" w:rsidRDefault="006C0B9E" w:rsidP="006C0B9E">
            <w:pPr>
              <w:keepNext/>
              <w:tabs>
                <w:tab w:val="decimal" w:pos="774"/>
              </w:tabs>
              <w:jc w:val="left"/>
              <w:rPr>
                <w:u w:val="single"/>
              </w:rPr>
            </w:pPr>
            <w:r w:rsidRPr="00C003FA">
              <w:rPr>
                <w:u w:val="single"/>
              </w:rPr>
              <w:t xml:space="preserve">  14.6</w:t>
            </w:r>
          </w:p>
        </w:tc>
        <w:tc>
          <w:tcPr>
            <w:tcW w:w="1584" w:type="dxa"/>
            <w:vAlign w:val="bottom"/>
          </w:tcPr>
          <w:p w:rsidR="006C0B9E" w:rsidRPr="00C003FA" w:rsidRDefault="006C0B9E" w:rsidP="006C0B9E">
            <w:pPr>
              <w:keepNext/>
              <w:tabs>
                <w:tab w:val="decimal" w:pos="720"/>
              </w:tabs>
              <w:jc w:val="left"/>
              <w:rPr>
                <w:u w:val="single"/>
              </w:rPr>
            </w:pPr>
            <w:r w:rsidRPr="00C003FA">
              <w:rPr>
                <w:u w:val="single"/>
              </w:rPr>
              <w:t xml:space="preserve">  54.06</w:t>
            </w:r>
          </w:p>
        </w:tc>
        <w:tc>
          <w:tcPr>
            <w:tcW w:w="1584" w:type="dxa"/>
            <w:vAlign w:val="bottom"/>
          </w:tcPr>
          <w:p w:rsidR="006C0B9E" w:rsidRPr="00C003FA" w:rsidRDefault="006C0B9E" w:rsidP="006C0B9E">
            <w:pPr>
              <w:keepNext/>
              <w:tabs>
                <w:tab w:val="decimal" w:pos="846"/>
              </w:tabs>
              <w:jc w:val="left"/>
              <w:rPr>
                <w:u w:val="single"/>
              </w:rPr>
            </w:pPr>
            <w:r w:rsidRPr="00C003FA">
              <w:rPr>
                <w:u w:val="single"/>
              </w:rPr>
              <w:t xml:space="preserve">  16.5</w:t>
            </w:r>
          </w:p>
        </w:tc>
      </w:tr>
      <w:tr w:rsidR="006C0B9E" w:rsidRPr="00C003FA" w:rsidTr="006C0B9E">
        <w:trPr>
          <w:jc w:val="center"/>
        </w:trPr>
        <w:tc>
          <w:tcPr>
            <w:tcW w:w="1584" w:type="dxa"/>
            <w:vAlign w:val="bottom"/>
          </w:tcPr>
          <w:p w:rsidR="006C0B9E" w:rsidRPr="00C003FA" w:rsidRDefault="006C0B9E" w:rsidP="006C0B9E">
            <w:pPr>
              <w:keepNext/>
              <w:jc w:val="center"/>
            </w:pPr>
            <w:r w:rsidRPr="00C003FA">
              <w:t>Total</w:t>
            </w:r>
          </w:p>
        </w:tc>
        <w:tc>
          <w:tcPr>
            <w:tcW w:w="1584" w:type="dxa"/>
            <w:vAlign w:val="bottom"/>
          </w:tcPr>
          <w:p w:rsidR="006C0B9E" w:rsidRPr="00C003FA" w:rsidRDefault="006C0B9E" w:rsidP="006C0B9E">
            <w:pPr>
              <w:keepNext/>
              <w:tabs>
                <w:tab w:val="decimal" w:pos="648"/>
              </w:tabs>
              <w:jc w:val="left"/>
            </w:pPr>
            <w:r w:rsidRPr="00C003FA">
              <w:t>5.77</w:t>
            </w:r>
          </w:p>
        </w:tc>
        <w:tc>
          <w:tcPr>
            <w:tcW w:w="1584" w:type="dxa"/>
            <w:vAlign w:val="bottom"/>
          </w:tcPr>
          <w:p w:rsidR="006C0B9E" w:rsidRPr="00C003FA" w:rsidRDefault="006C0B9E" w:rsidP="006C0B9E">
            <w:pPr>
              <w:keepNext/>
              <w:tabs>
                <w:tab w:val="decimal" w:pos="774"/>
              </w:tabs>
              <w:jc w:val="left"/>
            </w:pPr>
            <w:r w:rsidRPr="00C003FA">
              <w:t>100.0</w:t>
            </w:r>
          </w:p>
        </w:tc>
        <w:tc>
          <w:tcPr>
            <w:tcW w:w="1584" w:type="dxa"/>
            <w:vAlign w:val="bottom"/>
          </w:tcPr>
          <w:p w:rsidR="006C0B9E" w:rsidRPr="00C003FA" w:rsidRDefault="006C0B9E" w:rsidP="006C0B9E">
            <w:pPr>
              <w:keepNext/>
              <w:tabs>
                <w:tab w:val="decimal" w:pos="720"/>
              </w:tabs>
              <w:jc w:val="left"/>
            </w:pPr>
            <w:r w:rsidRPr="00C003FA">
              <w:t>328.24</w:t>
            </w:r>
          </w:p>
        </w:tc>
        <w:tc>
          <w:tcPr>
            <w:tcW w:w="1584" w:type="dxa"/>
            <w:vAlign w:val="bottom"/>
          </w:tcPr>
          <w:p w:rsidR="006C0B9E" w:rsidRPr="00C003FA" w:rsidRDefault="006C0B9E" w:rsidP="006C0B9E">
            <w:pPr>
              <w:keepNext/>
              <w:tabs>
                <w:tab w:val="decimal" w:pos="846"/>
              </w:tabs>
              <w:jc w:val="left"/>
            </w:pPr>
            <w:r w:rsidRPr="00C003FA">
              <w:t>100.0</w:t>
            </w:r>
          </w:p>
        </w:tc>
      </w:tr>
      <w:tr w:rsidR="006C0B9E" w:rsidRPr="00C003FA" w:rsidTr="006C0B9E">
        <w:trPr>
          <w:jc w:val="center"/>
        </w:trPr>
        <w:tc>
          <w:tcPr>
            <w:tcW w:w="1584" w:type="dxa"/>
            <w:vAlign w:val="bottom"/>
          </w:tcPr>
          <w:p w:rsidR="006C0B9E" w:rsidRPr="00C003FA" w:rsidRDefault="006C0B9E" w:rsidP="006C0B9E">
            <w:pPr>
              <w:keepNext/>
              <w:jc w:val="center"/>
            </w:pPr>
          </w:p>
        </w:tc>
        <w:tc>
          <w:tcPr>
            <w:tcW w:w="1584" w:type="dxa"/>
            <w:vAlign w:val="bottom"/>
          </w:tcPr>
          <w:p w:rsidR="006C0B9E" w:rsidRPr="00C003FA" w:rsidRDefault="006C0B9E" w:rsidP="006C0B9E">
            <w:pPr>
              <w:keepNext/>
              <w:tabs>
                <w:tab w:val="decimal" w:pos="648"/>
              </w:tabs>
              <w:jc w:val="left"/>
            </w:pPr>
          </w:p>
        </w:tc>
        <w:tc>
          <w:tcPr>
            <w:tcW w:w="1584" w:type="dxa"/>
            <w:vAlign w:val="bottom"/>
          </w:tcPr>
          <w:p w:rsidR="006C0B9E" w:rsidRPr="00C003FA" w:rsidRDefault="006C0B9E" w:rsidP="006C0B9E">
            <w:pPr>
              <w:keepNext/>
              <w:tabs>
                <w:tab w:val="decimal" w:pos="774"/>
              </w:tabs>
              <w:jc w:val="left"/>
            </w:pPr>
          </w:p>
        </w:tc>
        <w:tc>
          <w:tcPr>
            <w:tcW w:w="1584" w:type="dxa"/>
            <w:vAlign w:val="bottom"/>
          </w:tcPr>
          <w:p w:rsidR="006C0B9E" w:rsidRPr="00C003FA" w:rsidRDefault="006C0B9E" w:rsidP="006C0B9E">
            <w:pPr>
              <w:keepNext/>
              <w:tabs>
                <w:tab w:val="decimal" w:pos="720"/>
              </w:tabs>
              <w:jc w:val="left"/>
            </w:pPr>
          </w:p>
        </w:tc>
        <w:tc>
          <w:tcPr>
            <w:tcW w:w="1584" w:type="dxa"/>
            <w:vAlign w:val="bottom"/>
          </w:tcPr>
          <w:p w:rsidR="006C0B9E" w:rsidRPr="00C003FA" w:rsidRDefault="006C0B9E" w:rsidP="006C0B9E">
            <w:pPr>
              <w:keepNext/>
              <w:tabs>
                <w:tab w:val="decimal" w:pos="846"/>
              </w:tabs>
              <w:jc w:val="left"/>
            </w:pPr>
          </w:p>
        </w:tc>
      </w:tr>
      <w:tr w:rsidR="006C0B9E" w:rsidRPr="00C003FA" w:rsidTr="006C0B9E">
        <w:trPr>
          <w:jc w:val="center"/>
        </w:trPr>
        <w:tc>
          <w:tcPr>
            <w:tcW w:w="1584" w:type="dxa"/>
            <w:vAlign w:val="bottom"/>
          </w:tcPr>
          <w:p w:rsidR="006C0B9E" w:rsidRPr="00C003FA" w:rsidRDefault="006C0B9E" w:rsidP="006C0B9E">
            <w:pPr>
              <w:keepNext/>
              <w:jc w:val="center"/>
              <w:rPr>
                <w:vertAlign w:val="superscript"/>
              </w:rPr>
            </w:pPr>
            <w:r w:rsidRPr="00C003FA">
              <w:t>Median Age</w:t>
            </w:r>
            <w:r w:rsidRPr="00C003FA">
              <w:rPr>
                <w:vertAlign w:val="superscript"/>
              </w:rPr>
              <w:t>1</w:t>
            </w:r>
          </w:p>
        </w:tc>
        <w:tc>
          <w:tcPr>
            <w:tcW w:w="3168" w:type="dxa"/>
            <w:gridSpan w:val="2"/>
            <w:vAlign w:val="bottom"/>
          </w:tcPr>
          <w:p w:rsidR="006C0B9E" w:rsidRPr="00C003FA" w:rsidRDefault="006C0B9E" w:rsidP="006C0B9E">
            <w:pPr>
              <w:keepNext/>
              <w:jc w:val="center"/>
            </w:pPr>
            <w:r w:rsidRPr="00C003FA">
              <w:t>37.2</w:t>
            </w:r>
          </w:p>
        </w:tc>
        <w:tc>
          <w:tcPr>
            <w:tcW w:w="3168" w:type="dxa"/>
            <w:gridSpan w:val="2"/>
            <w:vAlign w:val="bottom"/>
          </w:tcPr>
          <w:p w:rsidR="006C0B9E" w:rsidRPr="00C003FA" w:rsidRDefault="006C0B9E" w:rsidP="006C0B9E">
            <w:pPr>
              <w:keepNext/>
              <w:jc w:val="center"/>
            </w:pPr>
            <w:r w:rsidRPr="00C003FA">
              <w:t>38.2</w:t>
            </w:r>
          </w:p>
        </w:tc>
      </w:tr>
    </w:tbl>
    <w:p w:rsidR="005162B7" w:rsidRPr="008E459C" w:rsidRDefault="005162B7" w:rsidP="005162B7">
      <w:pPr>
        <w:pStyle w:val="OStablenotes"/>
        <w:keepNext w:val="0"/>
        <w:spacing w:before="80" w:after="0"/>
        <w:rPr>
          <w:spacing w:val="-3"/>
        </w:rPr>
      </w:pPr>
      <w:r>
        <w:rPr>
          <w:spacing w:val="-3"/>
        </w:rPr>
        <w:t>________________________</w:t>
      </w:r>
    </w:p>
    <w:p w:rsidR="002F1FD0" w:rsidRDefault="002F1FD0" w:rsidP="00940E5F">
      <w:pPr>
        <w:pStyle w:val="OStablenotes"/>
        <w:spacing w:before="80" w:after="0"/>
      </w:pPr>
      <w:r w:rsidRPr="003A4160">
        <w:rPr>
          <w:vertAlign w:val="superscript"/>
        </w:rPr>
        <w:t>1</w:t>
      </w:r>
      <w:r>
        <w:tab/>
        <w:t>U.S. median age is for 2018.</w:t>
      </w:r>
    </w:p>
    <w:p w:rsidR="005942B3" w:rsidRDefault="005942B3" w:rsidP="00940E5F">
      <w:pPr>
        <w:pStyle w:val="OStablenotes"/>
        <w:spacing w:before="80" w:after="0"/>
      </w:pPr>
      <w:r>
        <w:t>Note: Totals may not ad</w:t>
      </w:r>
      <w:r w:rsidR="002F1FD0">
        <w:t>d due to rounding. The U.S. 2019</w:t>
      </w:r>
      <w:r>
        <w:t xml:space="preserve"> count is an</w:t>
      </w:r>
      <w:r w:rsidR="002F1FD0">
        <w:t xml:space="preserve"> estimate, and the Colorado 2019</w:t>
      </w:r>
      <w:r>
        <w:t xml:space="preserve"> count is a forecast.</w:t>
      </w:r>
    </w:p>
    <w:p w:rsidR="005942B3" w:rsidRDefault="005942B3" w:rsidP="00940E5F">
      <w:pPr>
        <w:pStyle w:val="OStablesources"/>
        <w:spacing w:before="80"/>
      </w:pPr>
      <w:r>
        <w:t>Sources:</w:t>
      </w:r>
      <w:r>
        <w:tab/>
        <w:t>Colorado Division of Local Government, State Demography Office; U.S. Census Bureau, Population Estimates Program.</w:t>
      </w:r>
    </w:p>
    <w:p w:rsidR="005162B7" w:rsidRDefault="005162B7">
      <w:pPr>
        <w:spacing w:after="160" w:line="259" w:lineRule="auto"/>
        <w:jc w:val="left"/>
        <w:rPr>
          <w:rFonts w:eastAsia="Times New Roman" w:cs="Times New Roman"/>
          <w:b/>
          <w:bCs/>
          <w:szCs w:val="22"/>
        </w:rPr>
      </w:pPr>
      <w:r>
        <w:br w:type="page"/>
      </w:r>
    </w:p>
    <w:p w:rsidR="005942B3" w:rsidRDefault="005942B3" w:rsidP="00940E5F">
      <w:pPr>
        <w:pStyle w:val="OSappendixsubheading0"/>
      </w:pPr>
      <w:r>
        <w:t>Income</w:t>
      </w:r>
    </w:p>
    <w:p w:rsidR="005942B3" w:rsidRDefault="005942B3" w:rsidP="00940E5F">
      <w:pPr>
        <w:pStyle w:val="BodyText1"/>
      </w:pPr>
      <w:r>
        <w:t>The following table provides annual per capita personal income figures for Colorado, the Rocky Mountain Region, and the United States.</w:t>
      </w:r>
    </w:p>
    <w:tbl>
      <w:tblPr>
        <w:tblStyle w:val="TableGrid1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6"/>
        <w:gridCol w:w="1336"/>
        <w:gridCol w:w="1336"/>
        <w:gridCol w:w="1336"/>
        <w:gridCol w:w="1336"/>
      </w:tblGrid>
      <w:tr w:rsidR="002F1FD0" w:rsidRPr="00C003FA" w:rsidTr="00A4689B">
        <w:trPr>
          <w:jc w:val="center"/>
        </w:trPr>
        <w:tc>
          <w:tcPr>
            <w:tcW w:w="9350" w:type="dxa"/>
            <w:gridSpan w:val="7"/>
          </w:tcPr>
          <w:p w:rsidR="002F1FD0" w:rsidRPr="00C003FA" w:rsidRDefault="002F1FD0" w:rsidP="00A4689B">
            <w:pPr>
              <w:keepNext/>
              <w:spacing w:after="240"/>
              <w:jc w:val="center"/>
              <w:rPr>
                <w:b/>
              </w:rPr>
            </w:pPr>
            <w:r w:rsidRPr="00C003FA">
              <w:rPr>
                <w:b/>
              </w:rPr>
              <w:t>Per Capita Personal Income in Current Dollars</w:t>
            </w:r>
            <w:r w:rsidRPr="00C003FA">
              <w:rPr>
                <w:b/>
                <w:vertAlign w:val="superscript"/>
              </w:rPr>
              <w:t>1</w:t>
            </w:r>
          </w:p>
        </w:tc>
      </w:tr>
      <w:tr w:rsidR="002F1FD0" w:rsidRPr="00C003FA" w:rsidTr="00A4689B">
        <w:trPr>
          <w:jc w:val="center"/>
        </w:trPr>
        <w:tc>
          <w:tcPr>
            <w:tcW w:w="1335" w:type="dxa"/>
          </w:tcPr>
          <w:p w:rsidR="002F1FD0" w:rsidRPr="00C003FA" w:rsidRDefault="002F1FD0" w:rsidP="00A4689B">
            <w:pPr>
              <w:keepNext/>
              <w:spacing w:after="60"/>
            </w:pPr>
          </w:p>
        </w:tc>
        <w:tc>
          <w:tcPr>
            <w:tcW w:w="2671" w:type="dxa"/>
            <w:gridSpan w:val="2"/>
            <w:vAlign w:val="bottom"/>
          </w:tcPr>
          <w:p w:rsidR="002F1FD0" w:rsidRPr="00C003FA" w:rsidRDefault="002F1FD0" w:rsidP="00A4689B">
            <w:pPr>
              <w:keepNext/>
              <w:pBdr>
                <w:bottom w:val="single" w:sz="4" w:space="1" w:color="auto"/>
              </w:pBdr>
              <w:spacing w:after="60"/>
              <w:jc w:val="center"/>
              <w:rPr>
                <w:b/>
              </w:rPr>
            </w:pPr>
            <w:r w:rsidRPr="00C003FA">
              <w:rPr>
                <w:b/>
              </w:rPr>
              <w:t>Colorado</w:t>
            </w:r>
          </w:p>
        </w:tc>
        <w:tc>
          <w:tcPr>
            <w:tcW w:w="2672" w:type="dxa"/>
            <w:gridSpan w:val="2"/>
            <w:vAlign w:val="bottom"/>
          </w:tcPr>
          <w:p w:rsidR="002F1FD0" w:rsidRPr="00C003FA" w:rsidRDefault="002F1FD0" w:rsidP="00A4689B">
            <w:pPr>
              <w:keepNext/>
              <w:pBdr>
                <w:bottom w:val="single" w:sz="4" w:space="1" w:color="auto"/>
              </w:pBdr>
              <w:spacing w:after="60"/>
              <w:jc w:val="center"/>
              <w:rPr>
                <w:b/>
              </w:rPr>
            </w:pPr>
            <w:r w:rsidRPr="00C003FA">
              <w:rPr>
                <w:b/>
              </w:rPr>
              <w:t>Rocky Mountain Region</w:t>
            </w:r>
            <w:r w:rsidRPr="00C003FA">
              <w:rPr>
                <w:b/>
                <w:vertAlign w:val="superscript"/>
              </w:rPr>
              <w:t>2</w:t>
            </w:r>
          </w:p>
        </w:tc>
        <w:tc>
          <w:tcPr>
            <w:tcW w:w="2672" w:type="dxa"/>
            <w:gridSpan w:val="2"/>
            <w:vAlign w:val="bottom"/>
          </w:tcPr>
          <w:p w:rsidR="002F1FD0" w:rsidRPr="00C003FA" w:rsidRDefault="002F1FD0" w:rsidP="00A4689B">
            <w:pPr>
              <w:keepNext/>
              <w:pBdr>
                <w:bottom w:val="single" w:sz="4" w:space="1" w:color="auto"/>
              </w:pBdr>
              <w:spacing w:after="60"/>
              <w:jc w:val="center"/>
              <w:rPr>
                <w:b/>
              </w:rPr>
            </w:pPr>
            <w:r w:rsidRPr="00C003FA">
              <w:rPr>
                <w:b/>
              </w:rPr>
              <w:t>United States</w:t>
            </w:r>
          </w:p>
        </w:tc>
      </w:tr>
      <w:tr w:rsidR="002F1FD0" w:rsidRPr="00C003FA" w:rsidTr="00A4689B">
        <w:trPr>
          <w:jc w:val="center"/>
        </w:trPr>
        <w:tc>
          <w:tcPr>
            <w:tcW w:w="1335" w:type="dxa"/>
          </w:tcPr>
          <w:p w:rsidR="002F1FD0" w:rsidRPr="00C003FA" w:rsidRDefault="002F1FD0" w:rsidP="00A4689B">
            <w:pPr>
              <w:keepNext/>
              <w:spacing w:after="120"/>
            </w:pPr>
          </w:p>
        </w:tc>
        <w:tc>
          <w:tcPr>
            <w:tcW w:w="1335" w:type="dxa"/>
            <w:vAlign w:val="bottom"/>
          </w:tcPr>
          <w:p w:rsidR="002F1FD0" w:rsidRPr="00C003FA" w:rsidRDefault="002F1FD0" w:rsidP="00A4689B">
            <w:pPr>
              <w:keepNext/>
              <w:pBdr>
                <w:bottom w:val="single" w:sz="4" w:space="1" w:color="auto"/>
              </w:pBdr>
              <w:spacing w:after="120"/>
              <w:jc w:val="center"/>
              <w:rPr>
                <w:b/>
              </w:rPr>
            </w:pPr>
            <w:r w:rsidRPr="00C003FA">
              <w:rPr>
                <w:b/>
              </w:rPr>
              <w:t>Income</w:t>
            </w:r>
          </w:p>
        </w:tc>
        <w:tc>
          <w:tcPr>
            <w:tcW w:w="1336" w:type="dxa"/>
            <w:vAlign w:val="bottom"/>
          </w:tcPr>
          <w:p w:rsidR="002F1FD0" w:rsidRPr="00C003FA" w:rsidRDefault="002F1FD0" w:rsidP="00A4689B">
            <w:pPr>
              <w:keepNext/>
              <w:pBdr>
                <w:bottom w:val="single" w:sz="4" w:space="1" w:color="auto"/>
              </w:pBdr>
              <w:spacing w:after="120"/>
              <w:jc w:val="center"/>
              <w:rPr>
                <w:b/>
              </w:rPr>
            </w:pPr>
            <w:r w:rsidRPr="00C003FA">
              <w:rPr>
                <w:b/>
              </w:rPr>
              <w:t>% Change</w:t>
            </w:r>
          </w:p>
        </w:tc>
        <w:tc>
          <w:tcPr>
            <w:tcW w:w="1336" w:type="dxa"/>
            <w:vAlign w:val="bottom"/>
          </w:tcPr>
          <w:p w:rsidR="002F1FD0" w:rsidRPr="00C003FA" w:rsidRDefault="002F1FD0" w:rsidP="00A4689B">
            <w:pPr>
              <w:keepNext/>
              <w:pBdr>
                <w:bottom w:val="single" w:sz="4" w:space="1" w:color="auto"/>
              </w:pBdr>
              <w:spacing w:after="120"/>
              <w:jc w:val="center"/>
              <w:rPr>
                <w:b/>
              </w:rPr>
            </w:pPr>
            <w:r w:rsidRPr="00C003FA">
              <w:rPr>
                <w:b/>
              </w:rPr>
              <w:t>Income</w:t>
            </w:r>
          </w:p>
        </w:tc>
        <w:tc>
          <w:tcPr>
            <w:tcW w:w="1336" w:type="dxa"/>
            <w:vAlign w:val="bottom"/>
          </w:tcPr>
          <w:p w:rsidR="002F1FD0" w:rsidRPr="00C003FA" w:rsidRDefault="002F1FD0" w:rsidP="00A4689B">
            <w:pPr>
              <w:keepNext/>
              <w:pBdr>
                <w:bottom w:val="single" w:sz="4" w:space="1" w:color="auto"/>
              </w:pBdr>
              <w:spacing w:after="120"/>
              <w:jc w:val="center"/>
              <w:rPr>
                <w:b/>
              </w:rPr>
            </w:pPr>
            <w:r w:rsidRPr="00C003FA">
              <w:rPr>
                <w:b/>
              </w:rPr>
              <w:t>% Change</w:t>
            </w:r>
          </w:p>
        </w:tc>
        <w:tc>
          <w:tcPr>
            <w:tcW w:w="1336" w:type="dxa"/>
            <w:vAlign w:val="bottom"/>
          </w:tcPr>
          <w:p w:rsidR="002F1FD0" w:rsidRPr="00C003FA" w:rsidRDefault="002F1FD0" w:rsidP="00A4689B">
            <w:pPr>
              <w:keepNext/>
              <w:pBdr>
                <w:bottom w:val="single" w:sz="4" w:space="1" w:color="auto"/>
              </w:pBdr>
              <w:spacing w:after="120"/>
              <w:jc w:val="center"/>
              <w:rPr>
                <w:b/>
              </w:rPr>
            </w:pPr>
            <w:r w:rsidRPr="00C003FA">
              <w:rPr>
                <w:b/>
              </w:rPr>
              <w:t>Income</w:t>
            </w:r>
          </w:p>
        </w:tc>
        <w:tc>
          <w:tcPr>
            <w:tcW w:w="1336" w:type="dxa"/>
            <w:vAlign w:val="bottom"/>
          </w:tcPr>
          <w:p w:rsidR="002F1FD0" w:rsidRPr="00C003FA" w:rsidRDefault="002F1FD0" w:rsidP="00A4689B">
            <w:pPr>
              <w:keepNext/>
              <w:pBdr>
                <w:bottom w:val="single" w:sz="4" w:space="1" w:color="auto"/>
              </w:pBdr>
              <w:spacing w:after="120"/>
              <w:jc w:val="center"/>
              <w:rPr>
                <w:b/>
              </w:rPr>
            </w:pPr>
            <w:r w:rsidRPr="00C003FA">
              <w:rPr>
                <w:b/>
              </w:rPr>
              <w:t>% Change</w:t>
            </w:r>
          </w:p>
        </w:tc>
      </w:tr>
      <w:tr w:rsidR="002F1FD0" w:rsidRPr="00C003FA" w:rsidTr="00A4689B">
        <w:trPr>
          <w:jc w:val="center"/>
        </w:trPr>
        <w:tc>
          <w:tcPr>
            <w:tcW w:w="1335" w:type="dxa"/>
          </w:tcPr>
          <w:p w:rsidR="002F1FD0" w:rsidRPr="00C003FA" w:rsidRDefault="002F1FD0" w:rsidP="00A4689B">
            <w:pPr>
              <w:keepNext/>
              <w:jc w:val="center"/>
            </w:pPr>
            <w:r w:rsidRPr="00C003FA">
              <w:t>2015</w:t>
            </w:r>
          </w:p>
        </w:tc>
        <w:tc>
          <w:tcPr>
            <w:tcW w:w="1335" w:type="dxa"/>
          </w:tcPr>
          <w:p w:rsidR="002F1FD0" w:rsidRPr="00C003FA" w:rsidRDefault="002F1FD0" w:rsidP="00A4689B">
            <w:pPr>
              <w:keepNext/>
              <w:tabs>
                <w:tab w:val="decimal" w:pos="897"/>
              </w:tabs>
            </w:pPr>
            <w:r w:rsidRPr="00C003FA">
              <w:t>$52,147</w:t>
            </w:r>
          </w:p>
        </w:tc>
        <w:tc>
          <w:tcPr>
            <w:tcW w:w="1336" w:type="dxa"/>
          </w:tcPr>
          <w:p w:rsidR="002F1FD0" w:rsidRPr="00C003FA" w:rsidRDefault="002F1FD0" w:rsidP="00A4689B">
            <w:pPr>
              <w:keepNext/>
              <w:tabs>
                <w:tab w:val="decimal" w:pos="552"/>
              </w:tabs>
            </w:pPr>
            <w:r w:rsidRPr="00C003FA">
              <w:t>2.8%</w:t>
            </w:r>
          </w:p>
        </w:tc>
        <w:tc>
          <w:tcPr>
            <w:tcW w:w="1336" w:type="dxa"/>
          </w:tcPr>
          <w:p w:rsidR="002F1FD0" w:rsidRPr="00C003FA" w:rsidRDefault="002F1FD0" w:rsidP="00A4689B">
            <w:pPr>
              <w:keepNext/>
              <w:tabs>
                <w:tab w:val="decimal" w:pos="836"/>
              </w:tabs>
            </w:pPr>
            <w:r w:rsidRPr="00C003FA">
              <w:t>$47,029</w:t>
            </w:r>
          </w:p>
        </w:tc>
        <w:tc>
          <w:tcPr>
            <w:tcW w:w="1336" w:type="dxa"/>
          </w:tcPr>
          <w:p w:rsidR="002F1FD0" w:rsidRPr="00C003FA" w:rsidRDefault="002F1FD0" w:rsidP="00A4689B">
            <w:pPr>
              <w:keepNext/>
              <w:tabs>
                <w:tab w:val="decimal" w:pos="580"/>
              </w:tabs>
            </w:pPr>
            <w:r w:rsidRPr="00C003FA">
              <w:t>3.8%</w:t>
            </w:r>
          </w:p>
        </w:tc>
        <w:tc>
          <w:tcPr>
            <w:tcW w:w="1336" w:type="dxa"/>
          </w:tcPr>
          <w:p w:rsidR="002F1FD0" w:rsidRPr="00C003FA" w:rsidRDefault="002F1FD0" w:rsidP="00A4689B">
            <w:pPr>
              <w:keepNext/>
              <w:tabs>
                <w:tab w:val="decimal" w:pos="864"/>
              </w:tabs>
            </w:pPr>
            <w:r w:rsidRPr="00C003FA">
              <w:t>$48,994</w:t>
            </w:r>
          </w:p>
        </w:tc>
        <w:tc>
          <w:tcPr>
            <w:tcW w:w="1336" w:type="dxa"/>
          </w:tcPr>
          <w:p w:rsidR="002F1FD0" w:rsidRPr="00C003FA" w:rsidRDefault="002F1FD0" w:rsidP="00A4689B">
            <w:pPr>
              <w:keepNext/>
              <w:tabs>
                <w:tab w:val="decimal" w:pos="428"/>
              </w:tabs>
            </w:pPr>
            <w:r w:rsidRPr="00C003FA">
              <w:t>4.1%</w:t>
            </w:r>
          </w:p>
        </w:tc>
      </w:tr>
      <w:tr w:rsidR="002F1FD0" w:rsidRPr="00C003FA" w:rsidTr="00A4689B">
        <w:trPr>
          <w:jc w:val="center"/>
        </w:trPr>
        <w:tc>
          <w:tcPr>
            <w:tcW w:w="1335" w:type="dxa"/>
          </w:tcPr>
          <w:p w:rsidR="002F1FD0" w:rsidRPr="00C003FA" w:rsidRDefault="002F1FD0" w:rsidP="00A4689B">
            <w:pPr>
              <w:keepNext/>
              <w:jc w:val="center"/>
            </w:pPr>
            <w:r w:rsidRPr="00C003FA">
              <w:t>2016</w:t>
            </w:r>
          </w:p>
        </w:tc>
        <w:tc>
          <w:tcPr>
            <w:tcW w:w="1335" w:type="dxa"/>
          </w:tcPr>
          <w:p w:rsidR="002F1FD0" w:rsidRPr="00C003FA" w:rsidRDefault="002F1FD0" w:rsidP="00A4689B">
            <w:pPr>
              <w:keepNext/>
              <w:tabs>
                <w:tab w:val="decimal" w:pos="897"/>
              </w:tabs>
            </w:pPr>
            <w:r w:rsidRPr="00C003FA">
              <w:t>52,278</w:t>
            </w:r>
          </w:p>
        </w:tc>
        <w:tc>
          <w:tcPr>
            <w:tcW w:w="1336" w:type="dxa"/>
          </w:tcPr>
          <w:p w:rsidR="002F1FD0" w:rsidRPr="00C003FA" w:rsidRDefault="002F1FD0" w:rsidP="00A4689B">
            <w:pPr>
              <w:keepNext/>
              <w:tabs>
                <w:tab w:val="decimal" w:pos="552"/>
              </w:tabs>
            </w:pPr>
            <w:r w:rsidRPr="00C003FA">
              <w:t>0.3</w:t>
            </w:r>
          </w:p>
        </w:tc>
        <w:tc>
          <w:tcPr>
            <w:tcW w:w="1336" w:type="dxa"/>
          </w:tcPr>
          <w:p w:rsidR="002F1FD0" w:rsidRPr="00C003FA" w:rsidRDefault="002F1FD0" w:rsidP="00A4689B">
            <w:pPr>
              <w:keepNext/>
              <w:tabs>
                <w:tab w:val="decimal" w:pos="836"/>
              </w:tabs>
            </w:pPr>
            <w:r w:rsidRPr="00C003FA">
              <w:t>47,472</w:t>
            </w:r>
          </w:p>
        </w:tc>
        <w:tc>
          <w:tcPr>
            <w:tcW w:w="1336" w:type="dxa"/>
          </w:tcPr>
          <w:p w:rsidR="002F1FD0" w:rsidRPr="00C003FA" w:rsidRDefault="002F1FD0" w:rsidP="00A4689B">
            <w:pPr>
              <w:keepNext/>
              <w:tabs>
                <w:tab w:val="decimal" w:pos="580"/>
              </w:tabs>
            </w:pPr>
            <w:r w:rsidRPr="00C003FA">
              <w:t>0.9</w:t>
            </w:r>
          </w:p>
        </w:tc>
        <w:tc>
          <w:tcPr>
            <w:tcW w:w="1336" w:type="dxa"/>
          </w:tcPr>
          <w:p w:rsidR="002F1FD0" w:rsidRPr="00C003FA" w:rsidRDefault="002F1FD0" w:rsidP="00A4689B">
            <w:pPr>
              <w:keepNext/>
              <w:tabs>
                <w:tab w:val="decimal" w:pos="864"/>
              </w:tabs>
            </w:pPr>
            <w:r w:rsidRPr="00C003FA">
              <w:t>49,890</w:t>
            </w:r>
          </w:p>
        </w:tc>
        <w:tc>
          <w:tcPr>
            <w:tcW w:w="1336" w:type="dxa"/>
          </w:tcPr>
          <w:p w:rsidR="002F1FD0" w:rsidRPr="00C003FA" w:rsidRDefault="002F1FD0" w:rsidP="00A4689B">
            <w:pPr>
              <w:keepNext/>
              <w:tabs>
                <w:tab w:val="decimal" w:pos="428"/>
              </w:tabs>
            </w:pPr>
            <w:r w:rsidRPr="00C003FA">
              <w:t>1.8</w:t>
            </w:r>
          </w:p>
        </w:tc>
      </w:tr>
      <w:tr w:rsidR="002F1FD0" w:rsidRPr="00C003FA" w:rsidTr="00A4689B">
        <w:trPr>
          <w:jc w:val="center"/>
        </w:trPr>
        <w:tc>
          <w:tcPr>
            <w:tcW w:w="1335" w:type="dxa"/>
          </w:tcPr>
          <w:p w:rsidR="002F1FD0" w:rsidRPr="00C003FA" w:rsidRDefault="002F1FD0" w:rsidP="00A4689B">
            <w:pPr>
              <w:keepNext/>
              <w:jc w:val="center"/>
            </w:pPr>
            <w:r w:rsidRPr="00C003FA">
              <w:t>2017</w:t>
            </w:r>
          </w:p>
        </w:tc>
        <w:tc>
          <w:tcPr>
            <w:tcW w:w="1335" w:type="dxa"/>
          </w:tcPr>
          <w:p w:rsidR="002F1FD0" w:rsidRPr="00C003FA" w:rsidRDefault="002F1FD0" w:rsidP="00A4689B">
            <w:pPr>
              <w:keepNext/>
              <w:tabs>
                <w:tab w:val="decimal" w:pos="897"/>
              </w:tabs>
            </w:pPr>
            <w:r w:rsidRPr="00C003FA">
              <w:t>55,374</w:t>
            </w:r>
          </w:p>
        </w:tc>
        <w:tc>
          <w:tcPr>
            <w:tcW w:w="1336" w:type="dxa"/>
          </w:tcPr>
          <w:p w:rsidR="002F1FD0" w:rsidRPr="00C003FA" w:rsidRDefault="002F1FD0" w:rsidP="00A4689B">
            <w:pPr>
              <w:keepNext/>
              <w:tabs>
                <w:tab w:val="decimal" w:pos="552"/>
              </w:tabs>
            </w:pPr>
            <w:r w:rsidRPr="00C003FA">
              <w:t>5.9</w:t>
            </w:r>
          </w:p>
        </w:tc>
        <w:tc>
          <w:tcPr>
            <w:tcW w:w="1336" w:type="dxa"/>
          </w:tcPr>
          <w:p w:rsidR="002F1FD0" w:rsidRPr="00C003FA" w:rsidRDefault="002F1FD0" w:rsidP="00A4689B">
            <w:pPr>
              <w:keepNext/>
              <w:tabs>
                <w:tab w:val="decimal" w:pos="836"/>
              </w:tabs>
            </w:pPr>
            <w:r w:rsidRPr="00C003FA">
              <w:t>49,744</w:t>
            </w:r>
          </w:p>
        </w:tc>
        <w:tc>
          <w:tcPr>
            <w:tcW w:w="1336" w:type="dxa"/>
          </w:tcPr>
          <w:p w:rsidR="002F1FD0" w:rsidRPr="00C003FA" w:rsidRDefault="002F1FD0" w:rsidP="00A4689B">
            <w:pPr>
              <w:keepNext/>
              <w:tabs>
                <w:tab w:val="decimal" w:pos="580"/>
              </w:tabs>
            </w:pPr>
            <w:r w:rsidRPr="00C003FA">
              <w:t>4.8</w:t>
            </w:r>
          </w:p>
        </w:tc>
        <w:tc>
          <w:tcPr>
            <w:tcW w:w="1336" w:type="dxa"/>
          </w:tcPr>
          <w:p w:rsidR="002F1FD0" w:rsidRPr="00C003FA" w:rsidRDefault="002F1FD0" w:rsidP="00A4689B">
            <w:pPr>
              <w:keepNext/>
              <w:tabs>
                <w:tab w:val="decimal" w:pos="864"/>
              </w:tabs>
            </w:pPr>
            <w:r w:rsidRPr="00C003FA">
              <w:t>51,910</w:t>
            </w:r>
          </w:p>
        </w:tc>
        <w:tc>
          <w:tcPr>
            <w:tcW w:w="1336" w:type="dxa"/>
          </w:tcPr>
          <w:p w:rsidR="002F1FD0" w:rsidRPr="00C003FA" w:rsidRDefault="002F1FD0" w:rsidP="00A4689B">
            <w:pPr>
              <w:keepNext/>
              <w:tabs>
                <w:tab w:val="decimal" w:pos="428"/>
              </w:tabs>
            </w:pPr>
            <w:r w:rsidRPr="00C003FA">
              <w:t>4.0</w:t>
            </w:r>
          </w:p>
        </w:tc>
      </w:tr>
      <w:tr w:rsidR="002F1FD0" w:rsidRPr="00C003FA" w:rsidTr="00A4689B">
        <w:trPr>
          <w:jc w:val="center"/>
        </w:trPr>
        <w:tc>
          <w:tcPr>
            <w:tcW w:w="1335" w:type="dxa"/>
          </w:tcPr>
          <w:p w:rsidR="002F1FD0" w:rsidRPr="00C003FA" w:rsidRDefault="002F1FD0" w:rsidP="00A4689B">
            <w:pPr>
              <w:keepNext/>
              <w:jc w:val="center"/>
            </w:pPr>
            <w:r w:rsidRPr="00C003FA">
              <w:t>2018</w:t>
            </w:r>
          </w:p>
        </w:tc>
        <w:tc>
          <w:tcPr>
            <w:tcW w:w="1335" w:type="dxa"/>
          </w:tcPr>
          <w:p w:rsidR="002F1FD0" w:rsidRPr="00C003FA" w:rsidRDefault="002F1FD0" w:rsidP="00A4689B">
            <w:pPr>
              <w:keepNext/>
              <w:tabs>
                <w:tab w:val="decimal" w:pos="897"/>
              </w:tabs>
            </w:pPr>
            <w:r w:rsidRPr="00C003FA">
              <w:t>58,500</w:t>
            </w:r>
          </w:p>
        </w:tc>
        <w:tc>
          <w:tcPr>
            <w:tcW w:w="1336" w:type="dxa"/>
          </w:tcPr>
          <w:p w:rsidR="002F1FD0" w:rsidRPr="00C003FA" w:rsidRDefault="002F1FD0" w:rsidP="00A4689B">
            <w:pPr>
              <w:keepNext/>
              <w:tabs>
                <w:tab w:val="decimal" w:pos="552"/>
              </w:tabs>
            </w:pPr>
            <w:r w:rsidRPr="00C003FA">
              <w:t>5.6</w:t>
            </w:r>
          </w:p>
        </w:tc>
        <w:tc>
          <w:tcPr>
            <w:tcW w:w="1336" w:type="dxa"/>
          </w:tcPr>
          <w:p w:rsidR="002F1FD0" w:rsidRPr="00C003FA" w:rsidRDefault="002F1FD0" w:rsidP="00A4689B">
            <w:pPr>
              <w:keepNext/>
              <w:tabs>
                <w:tab w:val="decimal" w:pos="836"/>
              </w:tabs>
            </w:pPr>
            <w:r w:rsidRPr="00C003FA">
              <w:t>52,458</w:t>
            </w:r>
          </w:p>
        </w:tc>
        <w:tc>
          <w:tcPr>
            <w:tcW w:w="1336" w:type="dxa"/>
          </w:tcPr>
          <w:p w:rsidR="002F1FD0" w:rsidRPr="00C003FA" w:rsidRDefault="002F1FD0" w:rsidP="00A4689B">
            <w:pPr>
              <w:keepNext/>
              <w:tabs>
                <w:tab w:val="decimal" w:pos="580"/>
              </w:tabs>
            </w:pPr>
            <w:r w:rsidRPr="00C003FA">
              <w:t>5.5</w:t>
            </w:r>
          </w:p>
        </w:tc>
        <w:tc>
          <w:tcPr>
            <w:tcW w:w="1336" w:type="dxa"/>
          </w:tcPr>
          <w:p w:rsidR="002F1FD0" w:rsidRPr="00C003FA" w:rsidRDefault="002F1FD0" w:rsidP="00A4689B">
            <w:pPr>
              <w:keepNext/>
              <w:tabs>
                <w:tab w:val="decimal" w:pos="864"/>
              </w:tabs>
            </w:pPr>
            <w:r w:rsidRPr="00C003FA">
              <w:t>54,526</w:t>
            </w:r>
          </w:p>
        </w:tc>
        <w:tc>
          <w:tcPr>
            <w:tcW w:w="1336" w:type="dxa"/>
          </w:tcPr>
          <w:p w:rsidR="002F1FD0" w:rsidRPr="00C003FA" w:rsidRDefault="002F1FD0" w:rsidP="00A4689B">
            <w:pPr>
              <w:keepNext/>
              <w:tabs>
                <w:tab w:val="decimal" w:pos="428"/>
              </w:tabs>
            </w:pPr>
            <w:r w:rsidRPr="00C003FA">
              <w:t>5.0</w:t>
            </w:r>
          </w:p>
        </w:tc>
      </w:tr>
      <w:tr w:rsidR="002F1FD0" w:rsidRPr="00C003FA" w:rsidTr="00A4689B">
        <w:trPr>
          <w:jc w:val="center"/>
        </w:trPr>
        <w:tc>
          <w:tcPr>
            <w:tcW w:w="1335" w:type="dxa"/>
          </w:tcPr>
          <w:p w:rsidR="002F1FD0" w:rsidRPr="00C003FA" w:rsidRDefault="002F1FD0" w:rsidP="00A4689B">
            <w:pPr>
              <w:keepNext/>
              <w:jc w:val="center"/>
            </w:pPr>
            <w:r w:rsidRPr="00C003FA">
              <w:t>2019</w:t>
            </w:r>
          </w:p>
        </w:tc>
        <w:tc>
          <w:tcPr>
            <w:tcW w:w="1335" w:type="dxa"/>
          </w:tcPr>
          <w:p w:rsidR="002F1FD0" w:rsidRPr="00C003FA" w:rsidRDefault="002F1FD0" w:rsidP="00A4689B">
            <w:pPr>
              <w:keepNext/>
              <w:tabs>
                <w:tab w:val="decimal" w:pos="897"/>
              </w:tabs>
            </w:pPr>
            <w:r w:rsidRPr="00C003FA">
              <w:t>61,348</w:t>
            </w:r>
          </w:p>
        </w:tc>
        <w:tc>
          <w:tcPr>
            <w:tcW w:w="1336" w:type="dxa"/>
          </w:tcPr>
          <w:p w:rsidR="002F1FD0" w:rsidRPr="00C003FA" w:rsidRDefault="002F1FD0" w:rsidP="00A4689B">
            <w:pPr>
              <w:keepNext/>
              <w:tabs>
                <w:tab w:val="decimal" w:pos="552"/>
              </w:tabs>
            </w:pPr>
            <w:r w:rsidRPr="00C003FA">
              <w:t>4.9</w:t>
            </w:r>
          </w:p>
        </w:tc>
        <w:tc>
          <w:tcPr>
            <w:tcW w:w="1336" w:type="dxa"/>
          </w:tcPr>
          <w:p w:rsidR="002F1FD0" w:rsidRPr="00C003FA" w:rsidRDefault="002F1FD0" w:rsidP="00A4689B">
            <w:pPr>
              <w:keepNext/>
              <w:tabs>
                <w:tab w:val="decimal" w:pos="836"/>
              </w:tabs>
            </w:pPr>
            <w:r w:rsidRPr="00C003FA">
              <w:t>54,769</w:t>
            </w:r>
          </w:p>
        </w:tc>
        <w:tc>
          <w:tcPr>
            <w:tcW w:w="1336" w:type="dxa"/>
          </w:tcPr>
          <w:p w:rsidR="002F1FD0" w:rsidRPr="00C003FA" w:rsidRDefault="002F1FD0" w:rsidP="00A4689B">
            <w:pPr>
              <w:keepNext/>
              <w:tabs>
                <w:tab w:val="decimal" w:pos="580"/>
              </w:tabs>
            </w:pPr>
            <w:r w:rsidRPr="00C003FA">
              <w:t>4.4</w:t>
            </w:r>
          </w:p>
        </w:tc>
        <w:tc>
          <w:tcPr>
            <w:tcW w:w="1336" w:type="dxa"/>
          </w:tcPr>
          <w:p w:rsidR="002F1FD0" w:rsidRPr="00C003FA" w:rsidRDefault="002F1FD0" w:rsidP="00A4689B">
            <w:pPr>
              <w:keepNext/>
              <w:tabs>
                <w:tab w:val="decimal" w:pos="864"/>
              </w:tabs>
            </w:pPr>
            <w:r w:rsidRPr="00C003FA">
              <w:t>56,663</w:t>
            </w:r>
          </w:p>
        </w:tc>
        <w:tc>
          <w:tcPr>
            <w:tcW w:w="1336" w:type="dxa"/>
          </w:tcPr>
          <w:p w:rsidR="002F1FD0" w:rsidRPr="00C003FA" w:rsidRDefault="002F1FD0" w:rsidP="00A4689B">
            <w:pPr>
              <w:keepNext/>
              <w:tabs>
                <w:tab w:val="decimal" w:pos="428"/>
              </w:tabs>
            </w:pPr>
            <w:r w:rsidRPr="00C003FA">
              <w:t>3.9</w:t>
            </w:r>
          </w:p>
        </w:tc>
      </w:tr>
    </w:tbl>
    <w:p w:rsidR="005162B7" w:rsidRPr="008E459C" w:rsidRDefault="005162B7" w:rsidP="005162B7">
      <w:pPr>
        <w:pStyle w:val="OStablenotes"/>
        <w:keepNext w:val="0"/>
        <w:spacing w:before="80" w:after="0"/>
        <w:rPr>
          <w:spacing w:val="-3"/>
        </w:rPr>
      </w:pPr>
      <w:r>
        <w:rPr>
          <w:spacing w:val="-3"/>
        </w:rPr>
        <w:t>________________________</w:t>
      </w:r>
    </w:p>
    <w:p w:rsidR="005942B3" w:rsidRDefault="005942B3" w:rsidP="00940E5F">
      <w:pPr>
        <w:pStyle w:val="OStablenotes"/>
        <w:spacing w:before="80" w:after="0"/>
      </w:pPr>
      <w:r w:rsidRPr="0077595C">
        <w:rPr>
          <w:vertAlign w:val="superscript"/>
        </w:rPr>
        <w:t>1</w:t>
      </w:r>
      <w:r>
        <w:tab/>
        <w:t xml:space="preserve">Per capita personal income is total personal income divided by the July 1 population estimate. </w:t>
      </w:r>
    </w:p>
    <w:p w:rsidR="005942B3" w:rsidRDefault="005942B3" w:rsidP="00940E5F">
      <w:pPr>
        <w:pStyle w:val="OStablenotes"/>
        <w:spacing w:before="80" w:after="0"/>
      </w:pPr>
      <w:r w:rsidRPr="0077595C">
        <w:rPr>
          <w:vertAlign w:val="superscript"/>
        </w:rPr>
        <w:t>2</w:t>
      </w:r>
      <w:r>
        <w:tab/>
        <w:t xml:space="preserve">The Rocky Mountain Region includes Colorado, Idaho, Montana, Utah, and Wyoming. </w:t>
      </w:r>
    </w:p>
    <w:p w:rsidR="005942B3" w:rsidRDefault="005942B3" w:rsidP="00940E5F">
      <w:pPr>
        <w:pStyle w:val="OStablesources"/>
        <w:spacing w:before="80"/>
      </w:pPr>
      <w:r>
        <w:t>Source:</w:t>
      </w:r>
      <w:r>
        <w:tab/>
        <w:t>U.S. Bureau of Economic Analysis.</w:t>
      </w:r>
    </w:p>
    <w:p w:rsidR="005942B3" w:rsidRDefault="005942B3" w:rsidP="00940E5F">
      <w:pPr>
        <w:pStyle w:val="OSappendixsubheading0"/>
      </w:pPr>
      <w:r>
        <w:t>Employment</w:t>
      </w:r>
    </w:p>
    <w:p w:rsidR="005942B3" w:rsidRDefault="005942B3" w:rsidP="00940E5F">
      <w:pPr>
        <w:pStyle w:val="BodyText1"/>
      </w:pPr>
      <w:r>
        <w:t>The following t</w:t>
      </w:r>
      <w:r w:rsidRPr="00940E5F">
        <w:t>a</w:t>
      </w:r>
      <w:r>
        <w:t>ble provides labor force, total employment, and unemployment statistics for the State.</w:t>
      </w:r>
    </w:p>
    <w:tbl>
      <w:tblPr>
        <w:tblStyle w:val="TableGrid1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1425"/>
        <w:gridCol w:w="1425"/>
        <w:gridCol w:w="1470"/>
        <w:gridCol w:w="1380"/>
        <w:gridCol w:w="1425"/>
        <w:gridCol w:w="1425"/>
      </w:tblGrid>
      <w:tr w:rsidR="00A86411" w:rsidRPr="00C003FA" w:rsidTr="00A4689B">
        <w:trPr>
          <w:jc w:val="center"/>
        </w:trPr>
        <w:tc>
          <w:tcPr>
            <w:tcW w:w="9360" w:type="dxa"/>
            <w:gridSpan w:val="7"/>
            <w:vAlign w:val="bottom"/>
          </w:tcPr>
          <w:p w:rsidR="00A86411" w:rsidRPr="00C003FA" w:rsidRDefault="00A86411" w:rsidP="00A4689B">
            <w:pPr>
              <w:keepNext/>
              <w:spacing w:after="240"/>
              <w:jc w:val="center"/>
              <w:rPr>
                <w:b/>
              </w:rPr>
            </w:pPr>
            <w:r w:rsidRPr="00C003FA">
              <w:rPr>
                <w:b/>
              </w:rPr>
              <w:t>Civilian Labor Force, Total Employment, and Unemployment Rates</w:t>
            </w:r>
            <w:r w:rsidRPr="00C003FA">
              <w:rPr>
                <w:b/>
              </w:rPr>
              <w:br/>
              <w:t>(Not Seasonally Adjusted)</w:t>
            </w:r>
          </w:p>
        </w:tc>
      </w:tr>
      <w:tr w:rsidR="00A86411" w:rsidRPr="00C003FA" w:rsidTr="00A4689B">
        <w:trPr>
          <w:trHeight w:val="432"/>
          <w:jc w:val="center"/>
        </w:trPr>
        <w:tc>
          <w:tcPr>
            <w:tcW w:w="810" w:type="dxa"/>
            <w:vMerge w:val="restart"/>
            <w:vAlign w:val="bottom"/>
          </w:tcPr>
          <w:p w:rsidR="00A86411" w:rsidRPr="00C003FA" w:rsidRDefault="00A86411" w:rsidP="00A4689B">
            <w:pPr>
              <w:keepNext/>
              <w:spacing w:after="120"/>
              <w:jc w:val="left"/>
            </w:pPr>
          </w:p>
        </w:tc>
        <w:tc>
          <w:tcPr>
            <w:tcW w:w="1425" w:type="dxa"/>
            <w:vMerge w:val="restart"/>
            <w:vAlign w:val="bottom"/>
          </w:tcPr>
          <w:p w:rsidR="00A86411" w:rsidRPr="00C003FA" w:rsidRDefault="00A86411" w:rsidP="00A4689B">
            <w:pPr>
              <w:keepNext/>
              <w:pBdr>
                <w:bottom w:val="single" w:sz="4" w:space="1" w:color="auto"/>
              </w:pBdr>
              <w:spacing w:after="120"/>
              <w:jc w:val="center"/>
              <w:rPr>
                <w:b/>
              </w:rPr>
            </w:pPr>
            <w:r w:rsidRPr="00C003FA">
              <w:rPr>
                <w:b/>
              </w:rPr>
              <w:t>Colorado Civilian Labor Force (thousands)</w:t>
            </w:r>
          </w:p>
        </w:tc>
        <w:tc>
          <w:tcPr>
            <w:tcW w:w="1425" w:type="dxa"/>
            <w:vMerge w:val="restart"/>
            <w:vAlign w:val="bottom"/>
          </w:tcPr>
          <w:p w:rsidR="00A86411" w:rsidRPr="00C003FA" w:rsidRDefault="00A86411" w:rsidP="00A4689B">
            <w:pPr>
              <w:keepNext/>
              <w:pBdr>
                <w:bottom w:val="single" w:sz="4" w:space="1" w:color="auto"/>
              </w:pBdr>
              <w:spacing w:after="120"/>
              <w:jc w:val="center"/>
              <w:rPr>
                <w:b/>
              </w:rPr>
            </w:pPr>
            <w:r w:rsidRPr="00C003FA">
              <w:rPr>
                <w:b/>
              </w:rPr>
              <w:t>% Change</w:t>
            </w:r>
          </w:p>
        </w:tc>
        <w:tc>
          <w:tcPr>
            <w:tcW w:w="1470" w:type="dxa"/>
            <w:vMerge w:val="restart"/>
            <w:vAlign w:val="bottom"/>
          </w:tcPr>
          <w:p w:rsidR="00A86411" w:rsidRPr="00C003FA" w:rsidRDefault="00A86411" w:rsidP="00A4689B">
            <w:pPr>
              <w:keepNext/>
              <w:pBdr>
                <w:bottom w:val="single" w:sz="4" w:space="1" w:color="auto"/>
              </w:pBdr>
              <w:spacing w:after="120"/>
              <w:jc w:val="center"/>
              <w:rPr>
                <w:b/>
              </w:rPr>
            </w:pPr>
            <w:r w:rsidRPr="00C003FA">
              <w:rPr>
                <w:b/>
              </w:rPr>
              <w:t>Colorado Total Employment (thousands)</w:t>
            </w:r>
            <w:r w:rsidRPr="00C003FA">
              <w:rPr>
                <w:b/>
                <w:vertAlign w:val="superscript"/>
              </w:rPr>
              <w:t>1</w:t>
            </w:r>
          </w:p>
        </w:tc>
        <w:tc>
          <w:tcPr>
            <w:tcW w:w="1380" w:type="dxa"/>
            <w:vMerge w:val="restart"/>
            <w:vAlign w:val="bottom"/>
          </w:tcPr>
          <w:p w:rsidR="00A86411" w:rsidRPr="00C003FA" w:rsidRDefault="00A86411" w:rsidP="00A4689B">
            <w:pPr>
              <w:keepNext/>
              <w:pBdr>
                <w:bottom w:val="single" w:sz="4" w:space="1" w:color="auto"/>
              </w:pBdr>
              <w:spacing w:after="120"/>
              <w:jc w:val="center"/>
              <w:rPr>
                <w:b/>
              </w:rPr>
            </w:pPr>
            <w:r w:rsidRPr="00C003FA">
              <w:rPr>
                <w:b/>
              </w:rPr>
              <w:t>% Change</w:t>
            </w:r>
          </w:p>
        </w:tc>
        <w:tc>
          <w:tcPr>
            <w:tcW w:w="2850" w:type="dxa"/>
            <w:gridSpan w:val="2"/>
            <w:vAlign w:val="bottom"/>
          </w:tcPr>
          <w:p w:rsidR="00A86411" w:rsidRPr="00C003FA" w:rsidRDefault="00A86411" w:rsidP="00A4689B">
            <w:pPr>
              <w:keepNext/>
              <w:pBdr>
                <w:bottom w:val="single" w:sz="4" w:space="1" w:color="auto"/>
              </w:pBdr>
              <w:spacing w:after="60"/>
              <w:jc w:val="center"/>
              <w:rPr>
                <w:b/>
              </w:rPr>
            </w:pPr>
            <w:r w:rsidRPr="00C003FA">
              <w:rPr>
                <w:b/>
              </w:rPr>
              <w:t>Annual Average Unemployment Rate</w:t>
            </w:r>
          </w:p>
        </w:tc>
      </w:tr>
      <w:tr w:rsidR="00A86411" w:rsidRPr="00C003FA" w:rsidTr="00A4689B">
        <w:trPr>
          <w:jc w:val="center"/>
        </w:trPr>
        <w:tc>
          <w:tcPr>
            <w:tcW w:w="810" w:type="dxa"/>
            <w:vMerge/>
            <w:vAlign w:val="bottom"/>
          </w:tcPr>
          <w:p w:rsidR="00A86411" w:rsidRPr="00C003FA" w:rsidRDefault="00A86411" w:rsidP="00A4689B">
            <w:pPr>
              <w:keepNext/>
              <w:jc w:val="left"/>
            </w:pPr>
          </w:p>
        </w:tc>
        <w:tc>
          <w:tcPr>
            <w:tcW w:w="1425" w:type="dxa"/>
            <w:vMerge/>
            <w:vAlign w:val="bottom"/>
          </w:tcPr>
          <w:p w:rsidR="00A86411" w:rsidRPr="00C003FA" w:rsidRDefault="00A86411" w:rsidP="00A4689B">
            <w:pPr>
              <w:keepNext/>
              <w:spacing w:after="240"/>
              <w:jc w:val="center"/>
              <w:rPr>
                <w:b/>
              </w:rPr>
            </w:pPr>
          </w:p>
        </w:tc>
        <w:tc>
          <w:tcPr>
            <w:tcW w:w="1425" w:type="dxa"/>
            <w:vMerge/>
            <w:vAlign w:val="bottom"/>
          </w:tcPr>
          <w:p w:rsidR="00A86411" w:rsidRPr="00C003FA" w:rsidRDefault="00A86411" w:rsidP="00A4689B">
            <w:pPr>
              <w:keepNext/>
              <w:spacing w:after="240"/>
              <w:jc w:val="center"/>
              <w:rPr>
                <w:b/>
              </w:rPr>
            </w:pPr>
          </w:p>
        </w:tc>
        <w:tc>
          <w:tcPr>
            <w:tcW w:w="1470" w:type="dxa"/>
            <w:vMerge/>
            <w:vAlign w:val="bottom"/>
          </w:tcPr>
          <w:p w:rsidR="00A86411" w:rsidRPr="00C003FA" w:rsidRDefault="00A86411" w:rsidP="00A4689B">
            <w:pPr>
              <w:keepNext/>
              <w:spacing w:after="240"/>
              <w:jc w:val="center"/>
              <w:rPr>
                <w:b/>
              </w:rPr>
            </w:pPr>
          </w:p>
        </w:tc>
        <w:tc>
          <w:tcPr>
            <w:tcW w:w="1380" w:type="dxa"/>
            <w:vMerge/>
            <w:vAlign w:val="bottom"/>
          </w:tcPr>
          <w:p w:rsidR="00A86411" w:rsidRPr="00C003FA" w:rsidRDefault="00A86411" w:rsidP="00A4689B">
            <w:pPr>
              <w:keepNext/>
              <w:spacing w:after="240"/>
              <w:jc w:val="center"/>
              <w:rPr>
                <w:b/>
              </w:rPr>
            </w:pPr>
          </w:p>
        </w:tc>
        <w:tc>
          <w:tcPr>
            <w:tcW w:w="1425" w:type="dxa"/>
            <w:vAlign w:val="bottom"/>
          </w:tcPr>
          <w:p w:rsidR="00A86411" w:rsidRPr="00C003FA" w:rsidRDefault="00A86411" w:rsidP="00A4689B">
            <w:pPr>
              <w:keepNext/>
              <w:pBdr>
                <w:bottom w:val="single" w:sz="4" w:space="1" w:color="auto"/>
              </w:pBdr>
              <w:spacing w:after="120"/>
              <w:jc w:val="center"/>
              <w:rPr>
                <w:b/>
              </w:rPr>
            </w:pPr>
            <w:r w:rsidRPr="00C003FA">
              <w:rPr>
                <w:b/>
              </w:rPr>
              <w:t>Colorado</w:t>
            </w:r>
          </w:p>
        </w:tc>
        <w:tc>
          <w:tcPr>
            <w:tcW w:w="1425" w:type="dxa"/>
            <w:vAlign w:val="bottom"/>
          </w:tcPr>
          <w:p w:rsidR="00A86411" w:rsidRPr="00C003FA" w:rsidRDefault="00A86411" w:rsidP="00A4689B">
            <w:pPr>
              <w:keepNext/>
              <w:pBdr>
                <w:bottom w:val="single" w:sz="4" w:space="1" w:color="auto"/>
              </w:pBdr>
              <w:spacing w:after="120"/>
              <w:jc w:val="center"/>
              <w:rPr>
                <w:b/>
              </w:rPr>
            </w:pPr>
            <w:r w:rsidRPr="00C003FA">
              <w:rPr>
                <w:b/>
              </w:rPr>
              <w:t>United States</w:t>
            </w:r>
          </w:p>
        </w:tc>
      </w:tr>
      <w:tr w:rsidR="00A86411" w:rsidRPr="00C003FA" w:rsidTr="00A4689B">
        <w:trPr>
          <w:jc w:val="center"/>
        </w:trPr>
        <w:tc>
          <w:tcPr>
            <w:tcW w:w="810" w:type="dxa"/>
            <w:vAlign w:val="bottom"/>
          </w:tcPr>
          <w:p w:rsidR="00A86411" w:rsidRPr="00C003FA" w:rsidRDefault="00A86411" w:rsidP="00A4689B">
            <w:pPr>
              <w:keepNext/>
              <w:jc w:val="center"/>
            </w:pPr>
            <w:r w:rsidRPr="00C003FA">
              <w:t>2015</w:t>
            </w:r>
          </w:p>
        </w:tc>
        <w:tc>
          <w:tcPr>
            <w:tcW w:w="1425" w:type="dxa"/>
            <w:vAlign w:val="bottom"/>
          </w:tcPr>
          <w:p w:rsidR="00A86411" w:rsidRPr="00C003FA" w:rsidRDefault="00A86411" w:rsidP="00A4689B">
            <w:pPr>
              <w:keepNext/>
              <w:jc w:val="center"/>
            </w:pPr>
            <w:r w:rsidRPr="00C003FA">
              <w:t>2,825.1</w:t>
            </w:r>
          </w:p>
        </w:tc>
        <w:tc>
          <w:tcPr>
            <w:tcW w:w="1425" w:type="dxa"/>
            <w:vAlign w:val="bottom"/>
          </w:tcPr>
          <w:p w:rsidR="00A86411" w:rsidRPr="00C003FA" w:rsidRDefault="00A86411" w:rsidP="00A4689B">
            <w:pPr>
              <w:keepNext/>
              <w:tabs>
                <w:tab w:val="decimal" w:pos="898"/>
              </w:tabs>
              <w:jc w:val="left"/>
            </w:pPr>
            <w:r w:rsidRPr="00C003FA">
              <w:t>–%</w:t>
            </w:r>
          </w:p>
        </w:tc>
        <w:tc>
          <w:tcPr>
            <w:tcW w:w="1470" w:type="dxa"/>
            <w:vAlign w:val="bottom"/>
          </w:tcPr>
          <w:p w:rsidR="00A86411" w:rsidRPr="00C003FA" w:rsidRDefault="00A86411" w:rsidP="00A4689B">
            <w:pPr>
              <w:keepNext/>
              <w:jc w:val="center"/>
            </w:pPr>
            <w:r w:rsidRPr="00C003FA">
              <w:t>2,714.8</w:t>
            </w:r>
          </w:p>
        </w:tc>
        <w:tc>
          <w:tcPr>
            <w:tcW w:w="1380" w:type="dxa"/>
            <w:vAlign w:val="bottom"/>
          </w:tcPr>
          <w:p w:rsidR="00A86411" w:rsidRPr="00C003FA" w:rsidRDefault="00A86411" w:rsidP="00A4689B">
            <w:pPr>
              <w:keepNext/>
              <w:tabs>
                <w:tab w:val="decimal" w:pos="707"/>
              </w:tabs>
              <w:jc w:val="center"/>
            </w:pPr>
            <w:r w:rsidRPr="00C003FA">
              <w:t>–%</w:t>
            </w:r>
          </w:p>
        </w:tc>
        <w:tc>
          <w:tcPr>
            <w:tcW w:w="1425" w:type="dxa"/>
            <w:vAlign w:val="bottom"/>
          </w:tcPr>
          <w:p w:rsidR="00A86411" w:rsidRPr="00C003FA" w:rsidRDefault="00A86411" w:rsidP="00A4689B">
            <w:pPr>
              <w:keepNext/>
              <w:tabs>
                <w:tab w:val="decimal" w:pos="612"/>
              </w:tabs>
              <w:jc w:val="left"/>
            </w:pPr>
            <w:r w:rsidRPr="00C003FA">
              <w:t>3.9</w:t>
            </w:r>
          </w:p>
        </w:tc>
        <w:tc>
          <w:tcPr>
            <w:tcW w:w="1425" w:type="dxa"/>
            <w:vAlign w:val="bottom"/>
          </w:tcPr>
          <w:p w:rsidR="00A86411" w:rsidRPr="00C003FA" w:rsidRDefault="00A86411" w:rsidP="00A4689B">
            <w:pPr>
              <w:keepNext/>
              <w:tabs>
                <w:tab w:val="decimal" w:pos="612"/>
              </w:tabs>
              <w:jc w:val="left"/>
            </w:pPr>
            <w:r w:rsidRPr="00C003FA">
              <w:t>5.3</w:t>
            </w:r>
          </w:p>
        </w:tc>
      </w:tr>
      <w:tr w:rsidR="00A86411" w:rsidRPr="00C003FA" w:rsidTr="00A4689B">
        <w:trPr>
          <w:jc w:val="center"/>
        </w:trPr>
        <w:tc>
          <w:tcPr>
            <w:tcW w:w="810" w:type="dxa"/>
            <w:vAlign w:val="bottom"/>
          </w:tcPr>
          <w:p w:rsidR="00A86411" w:rsidRPr="00C003FA" w:rsidRDefault="00A86411" w:rsidP="00A4689B">
            <w:pPr>
              <w:keepNext/>
              <w:jc w:val="center"/>
            </w:pPr>
            <w:r w:rsidRPr="00C003FA">
              <w:t>2016</w:t>
            </w:r>
          </w:p>
        </w:tc>
        <w:tc>
          <w:tcPr>
            <w:tcW w:w="1425" w:type="dxa"/>
            <w:vAlign w:val="bottom"/>
          </w:tcPr>
          <w:p w:rsidR="00A86411" w:rsidRPr="00C003FA" w:rsidRDefault="00A86411" w:rsidP="00A4689B">
            <w:pPr>
              <w:keepNext/>
              <w:jc w:val="center"/>
            </w:pPr>
            <w:r w:rsidRPr="00C003FA">
              <w:t>2,891.7</w:t>
            </w:r>
          </w:p>
        </w:tc>
        <w:tc>
          <w:tcPr>
            <w:tcW w:w="1425" w:type="dxa"/>
            <w:vAlign w:val="bottom"/>
          </w:tcPr>
          <w:p w:rsidR="00A86411" w:rsidRPr="00C003FA" w:rsidRDefault="00A86411" w:rsidP="00A4689B">
            <w:pPr>
              <w:keepNext/>
              <w:tabs>
                <w:tab w:val="decimal" w:pos="537"/>
              </w:tabs>
              <w:jc w:val="left"/>
            </w:pPr>
            <w:r w:rsidRPr="00C003FA">
              <w:t>2.4</w:t>
            </w:r>
          </w:p>
        </w:tc>
        <w:tc>
          <w:tcPr>
            <w:tcW w:w="1470" w:type="dxa"/>
            <w:vAlign w:val="bottom"/>
          </w:tcPr>
          <w:p w:rsidR="00A86411" w:rsidRPr="00C003FA" w:rsidRDefault="00A86411" w:rsidP="00A4689B">
            <w:pPr>
              <w:keepNext/>
              <w:jc w:val="center"/>
            </w:pPr>
            <w:r w:rsidRPr="00C003FA">
              <w:t>2,797.0</w:t>
            </w:r>
          </w:p>
        </w:tc>
        <w:tc>
          <w:tcPr>
            <w:tcW w:w="1380" w:type="dxa"/>
            <w:vAlign w:val="bottom"/>
          </w:tcPr>
          <w:p w:rsidR="00A86411" w:rsidRPr="00C003FA" w:rsidRDefault="00A86411" w:rsidP="00A4689B">
            <w:pPr>
              <w:keepNext/>
              <w:jc w:val="center"/>
            </w:pPr>
            <w:r w:rsidRPr="00C003FA">
              <w:t>3.0</w:t>
            </w:r>
          </w:p>
        </w:tc>
        <w:tc>
          <w:tcPr>
            <w:tcW w:w="1425" w:type="dxa"/>
            <w:vAlign w:val="bottom"/>
          </w:tcPr>
          <w:p w:rsidR="00A86411" w:rsidRPr="00C003FA" w:rsidRDefault="00A86411" w:rsidP="00A4689B">
            <w:pPr>
              <w:keepNext/>
              <w:tabs>
                <w:tab w:val="decimal" w:pos="612"/>
              </w:tabs>
              <w:jc w:val="left"/>
            </w:pPr>
            <w:r w:rsidRPr="00C003FA">
              <w:t>3.3</w:t>
            </w:r>
          </w:p>
        </w:tc>
        <w:tc>
          <w:tcPr>
            <w:tcW w:w="1425" w:type="dxa"/>
            <w:vAlign w:val="bottom"/>
          </w:tcPr>
          <w:p w:rsidR="00A86411" w:rsidRPr="00C003FA" w:rsidRDefault="00A86411" w:rsidP="00A4689B">
            <w:pPr>
              <w:keepNext/>
              <w:tabs>
                <w:tab w:val="decimal" w:pos="612"/>
              </w:tabs>
              <w:jc w:val="left"/>
            </w:pPr>
            <w:r w:rsidRPr="00C003FA">
              <w:t>4.9</w:t>
            </w:r>
          </w:p>
        </w:tc>
      </w:tr>
      <w:tr w:rsidR="00A86411" w:rsidRPr="00C003FA" w:rsidTr="00A4689B">
        <w:trPr>
          <w:jc w:val="center"/>
        </w:trPr>
        <w:tc>
          <w:tcPr>
            <w:tcW w:w="810" w:type="dxa"/>
            <w:vAlign w:val="bottom"/>
          </w:tcPr>
          <w:p w:rsidR="00A86411" w:rsidRPr="00C003FA" w:rsidRDefault="00A86411" w:rsidP="00A4689B">
            <w:pPr>
              <w:keepNext/>
              <w:jc w:val="center"/>
            </w:pPr>
            <w:r w:rsidRPr="00C003FA">
              <w:t>2017</w:t>
            </w:r>
          </w:p>
        </w:tc>
        <w:tc>
          <w:tcPr>
            <w:tcW w:w="1425" w:type="dxa"/>
            <w:vAlign w:val="bottom"/>
          </w:tcPr>
          <w:p w:rsidR="00A86411" w:rsidRPr="00C003FA" w:rsidRDefault="00A86411" w:rsidP="00A4689B">
            <w:pPr>
              <w:keepNext/>
              <w:jc w:val="center"/>
            </w:pPr>
            <w:r w:rsidRPr="00C003FA">
              <w:t>2,986.5</w:t>
            </w:r>
          </w:p>
        </w:tc>
        <w:tc>
          <w:tcPr>
            <w:tcW w:w="1425" w:type="dxa"/>
            <w:vAlign w:val="bottom"/>
          </w:tcPr>
          <w:p w:rsidR="00A86411" w:rsidRPr="00C003FA" w:rsidRDefault="00A86411" w:rsidP="00A4689B">
            <w:pPr>
              <w:keepNext/>
              <w:tabs>
                <w:tab w:val="decimal" w:pos="537"/>
              </w:tabs>
              <w:jc w:val="left"/>
            </w:pPr>
            <w:r w:rsidRPr="00C003FA">
              <w:t>3.3</w:t>
            </w:r>
          </w:p>
        </w:tc>
        <w:tc>
          <w:tcPr>
            <w:tcW w:w="1470" w:type="dxa"/>
            <w:vAlign w:val="bottom"/>
          </w:tcPr>
          <w:p w:rsidR="00A86411" w:rsidRPr="00C003FA" w:rsidRDefault="00A86411" w:rsidP="00A4689B">
            <w:pPr>
              <w:keepNext/>
              <w:jc w:val="center"/>
            </w:pPr>
            <w:r w:rsidRPr="00C003FA">
              <w:t>2,902.7</w:t>
            </w:r>
          </w:p>
        </w:tc>
        <w:tc>
          <w:tcPr>
            <w:tcW w:w="1380" w:type="dxa"/>
            <w:vAlign w:val="bottom"/>
          </w:tcPr>
          <w:p w:rsidR="00A86411" w:rsidRPr="00C003FA" w:rsidRDefault="00A86411" w:rsidP="00A4689B">
            <w:pPr>
              <w:keepNext/>
              <w:jc w:val="center"/>
            </w:pPr>
            <w:r w:rsidRPr="00C003FA">
              <w:t>3.8</w:t>
            </w:r>
          </w:p>
        </w:tc>
        <w:tc>
          <w:tcPr>
            <w:tcW w:w="1425" w:type="dxa"/>
            <w:vAlign w:val="bottom"/>
          </w:tcPr>
          <w:p w:rsidR="00A86411" w:rsidRPr="00C003FA" w:rsidRDefault="00A86411" w:rsidP="00A4689B">
            <w:pPr>
              <w:keepNext/>
              <w:tabs>
                <w:tab w:val="decimal" w:pos="612"/>
              </w:tabs>
              <w:jc w:val="left"/>
            </w:pPr>
            <w:r w:rsidRPr="00C003FA">
              <w:t>2.8</w:t>
            </w:r>
          </w:p>
        </w:tc>
        <w:tc>
          <w:tcPr>
            <w:tcW w:w="1425" w:type="dxa"/>
            <w:vAlign w:val="bottom"/>
          </w:tcPr>
          <w:p w:rsidR="00A86411" w:rsidRPr="00C003FA" w:rsidRDefault="00A86411" w:rsidP="00A4689B">
            <w:pPr>
              <w:keepNext/>
              <w:tabs>
                <w:tab w:val="decimal" w:pos="612"/>
              </w:tabs>
              <w:jc w:val="left"/>
            </w:pPr>
            <w:r w:rsidRPr="00C003FA">
              <w:t>4.4</w:t>
            </w:r>
          </w:p>
        </w:tc>
      </w:tr>
      <w:tr w:rsidR="00A86411" w:rsidRPr="00C003FA" w:rsidTr="00A4689B">
        <w:trPr>
          <w:jc w:val="center"/>
        </w:trPr>
        <w:tc>
          <w:tcPr>
            <w:tcW w:w="810" w:type="dxa"/>
            <w:vAlign w:val="bottom"/>
          </w:tcPr>
          <w:p w:rsidR="00A86411" w:rsidRPr="00C003FA" w:rsidRDefault="00A86411" w:rsidP="00A4689B">
            <w:pPr>
              <w:keepNext/>
              <w:jc w:val="center"/>
            </w:pPr>
            <w:r w:rsidRPr="00C003FA">
              <w:t>2018</w:t>
            </w:r>
          </w:p>
        </w:tc>
        <w:tc>
          <w:tcPr>
            <w:tcW w:w="1425" w:type="dxa"/>
            <w:vAlign w:val="bottom"/>
          </w:tcPr>
          <w:p w:rsidR="00A86411" w:rsidRPr="00C003FA" w:rsidRDefault="00A86411" w:rsidP="00A4689B">
            <w:pPr>
              <w:keepNext/>
              <w:jc w:val="center"/>
            </w:pPr>
            <w:r w:rsidRPr="00C003FA">
              <w:t>3,080.7</w:t>
            </w:r>
          </w:p>
        </w:tc>
        <w:tc>
          <w:tcPr>
            <w:tcW w:w="1425" w:type="dxa"/>
            <w:vAlign w:val="bottom"/>
          </w:tcPr>
          <w:p w:rsidR="00A86411" w:rsidRPr="00C003FA" w:rsidRDefault="00A86411" w:rsidP="00A4689B">
            <w:pPr>
              <w:keepNext/>
              <w:tabs>
                <w:tab w:val="decimal" w:pos="537"/>
              </w:tabs>
              <w:jc w:val="left"/>
            </w:pPr>
            <w:r w:rsidRPr="00C003FA">
              <w:t>3.2</w:t>
            </w:r>
          </w:p>
        </w:tc>
        <w:tc>
          <w:tcPr>
            <w:tcW w:w="1470" w:type="dxa"/>
            <w:vAlign w:val="bottom"/>
          </w:tcPr>
          <w:p w:rsidR="00A86411" w:rsidRPr="00C003FA" w:rsidRDefault="00A86411" w:rsidP="00A4689B">
            <w:pPr>
              <w:keepNext/>
              <w:jc w:val="center"/>
            </w:pPr>
            <w:r w:rsidRPr="00C003FA">
              <w:t>2,983.5</w:t>
            </w:r>
          </w:p>
        </w:tc>
        <w:tc>
          <w:tcPr>
            <w:tcW w:w="1380" w:type="dxa"/>
            <w:vAlign w:val="bottom"/>
          </w:tcPr>
          <w:p w:rsidR="00A86411" w:rsidRPr="00C003FA" w:rsidRDefault="00A86411" w:rsidP="00A4689B">
            <w:pPr>
              <w:keepNext/>
              <w:jc w:val="center"/>
            </w:pPr>
            <w:r w:rsidRPr="00C003FA">
              <w:t>2.8</w:t>
            </w:r>
          </w:p>
        </w:tc>
        <w:tc>
          <w:tcPr>
            <w:tcW w:w="1425" w:type="dxa"/>
            <w:vAlign w:val="bottom"/>
          </w:tcPr>
          <w:p w:rsidR="00A86411" w:rsidRPr="00C003FA" w:rsidRDefault="00A86411" w:rsidP="00A4689B">
            <w:pPr>
              <w:keepNext/>
              <w:tabs>
                <w:tab w:val="decimal" w:pos="612"/>
              </w:tabs>
              <w:jc w:val="left"/>
            </w:pPr>
            <w:r w:rsidRPr="00C003FA">
              <w:t>3.2</w:t>
            </w:r>
          </w:p>
        </w:tc>
        <w:tc>
          <w:tcPr>
            <w:tcW w:w="1425" w:type="dxa"/>
            <w:vAlign w:val="bottom"/>
          </w:tcPr>
          <w:p w:rsidR="00A86411" w:rsidRPr="00C003FA" w:rsidRDefault="00A86411" w:rsidP="00A4689B">
            <w:pPr>
              <w:keepNext/>
              <w:tabs>
                <w:tab w:val="decimal" w:pos="612"/>
              </w:tabs>
              <w:jc w:val="left"/>
            </w:pPr>
            <w:r w:rsidRPr="00C003FA">
              <w:t>3.9</w:t>
            </w:r>
          </w:p>
        </w:tc>
      </w:tr>
      <w:tr w:rsidR="00A86411" w:rsidRPr="00C003FA" w:rsidTr="00A4689B">
        <w:trPr>
          <w:jc w:val="center"/>
        </w:trPr>
        <w:tc>
          <w:tcPr>
            <w:tcW w:w="810" w:type="dxa"/>
            <w:vAlign w:val="bottom"/>
          </w:tcPr>
          <w:p w:rsidR="00A86411" w:rsidRPr="00C003FA" w:rsidRDefault="00A86411" w:rsidP="00A4689B">
            <w:pPr>
              <w:keepNext/>
              <w:jc w:val="center"/>
            </w:pPr>
            <w:r w:rsidRPr="00C003FA">
              <w:t>2019</w:t>
            </w:r>
          </w:p>
        </w:tc>
        <w:tc>
          <w:tcPr>
            <w:tcW w:w="1425" w:type="dxa"/>
            <w:vAlign w:val="bottom"/>
          </w:tcPr>
          <w:p w:rsidR="00A86411" w:rsidRPr="00C003FA" w:rsidRDefault="00A86411" w:rsidP="00A4689B">
            <w:pPr>
              <w:keepNext/>
              <w:jc w:val="center"/>
            </w:pPr>
            <w:r w:rsidRPr="00C003FA">
              <w:t>3,148.8</w:t>
            </w:r>
          </w:p>
        </w:tc>
        <w:tc>
          <w:tcPr>
            <w:tcW w:w="1425" w:type="dxa"/>
            <w:vAlign w:val="bottom"/>
          </w:tcPr>
          <w:p w:rsidR="00A86411" w:rsidRPr="00C003FA" w:rsidRDefault="00A86411" w:rsidP="00A4689B">
            <w:pPr>
              <w:keepNext/>
              <w:tabs>
                <w:tab w:val="decimal" w:pos="537"/>
              </w:tabs>
              <w:jc w:val="left"/>
            </w:pPr>
            <w:r w:rsidRPr="00C003FA">
              <w:t>2.2</w:t>
            </w:r>
          </w:p>
        </w:tc>
        <w:tc>
          <w:tcPr>
            <w:tcW w:w="1470" w:type="dxa"/>
            <w:vAlign w:val="bottom"/>
          </w:tcPr>
          <w:p w:rsidR="00A86411" w:rsidRPr="00C003FA" w:rsidRDefault="00A86411" w:rsidP="00A4689B">
            <w:pPr>
              <w:keepNext/>
              <w:jc w:val="center"/>
            </w:pPr>
            <w:r w:rsidRPr="00C003FA">
              <w:t>3,062.1</w:t>
            </w:r>
          </w:p>
        </w:tc>
        <w:tc>
          <w:tcPr>
            <w:tcW w:w="1380" w:type="dxa"/>
            <w:vAlign w:val="bottom"/>
          </w:tcPr>
          <w:p w:rsidR="00A86411" w:rsidRPr="00C003FA" w:rsidRDefault="00A86411" w:rsidP="00A4689B">
            <w:pPr>
              <w:keepNext/>
              <w:jc w:val="center"/>
            </w:pPr>
            <w:r w:rsidRPr="00C003FA">
              <w:t>2.6</w:t>
            </w:r>
          </w:p>
        </w:tc>
        <w:tc>
          <w:tcPr>
            <w:tcW w:w="1425" w:type="dxa"/>
            <w:vAlign w:val="bottom"/>
          </w:tcPr>
          <w:p w:rsidR="00A86411" w:rsidRPr="00C003FA" w:rsidRDefault="00A86411" w:rsidP="00A4689B">
            <w:pPr>
              <w:keepNext/>
              <w:tabs>
                <w:tab w:val="decimal" w:pos="612"/>
              </w:tabs>
              <w:jc w:val="left"/>
            </w:pPr>
            <w:r w:rsidRPr="00C003FA">
              <w:t>2.8</w:t>
            </w:r>
          </w:p>
        </w:tc>
        <w:tc>
          <w:tcPr>
            <w:tcW w:w="1425" w:type="dxa"/>
            <w:vAlign w:val="bottom"/>
          </w:tcPr>
          <w:p w:rsidR="00A86411" w:rsidRPr="00C003FA" w:rsidRDefault="00A86411" w:rsidP="00A4689B">
            <w:pPr>
              <w:keepNext/>
              <w:tabs>
                <w:tab w:val="decimal" w:pos="612"/>
              </w:tabs>
              <w:jc w:val="left"/>
            </w:pPr>
            <w:r w:rsidRPr="00C003FA">
              <w:t>3.7</w:t>
            </w:r>
          </w:p>
        </w:tc>
      </w:tr>
      <w:tr w:rsidR="00A86411" w:rsidRPr="00C003FA" w:rsidTr="00A4689B">
        <w:trPr>
          <w:jc w:val="center"/>
        </w:trPr>
        <w:tc>
          <w:tcPr>
            <w:tcW w:w="9360" w:type="dxa"/>
            <w:gridSpan w:val="7"/>
            <w:vAlign w:val="bottom"/>
          </w:tcPr>
          <w:p w:rsidR="00A86411" w:rsidRPr="00C003FA" w:rsidRDefault="00A86411" w:rsidP="00A4689B">
            <w:pPr>
              <w:keepNext/>
              <w:tabs>
                <w:tab w:val="decimal" w:pos="612"/>
              </w:tabs>
              <w:spacing w:before="240"/>
              <w:jc w:val="left"/>
            </w:pPr>
            <w:r w:rsidRPr="00C003FA">
              <w:t>Year-to-date averages through April:</w:t>
            </w:r>
          </w:p>
        </w:tc>
      </w:tr>
      <w:tr w:rsidR="00A86411" w:rsidRPr="00C003FA" w:rsidTr="00A4689B">
        <w:trPr>
          <w:jc w:val="center"/>
        </w:trPr>
        <w:tc>
          <w:tcPr>
            <w:tcW w:w="810" w:type="dxa"/>
            <w:vAlign w:val="bottom"/>
          </w:tcPr>
          <w:p w:rsidR="00A86411" w:rsidRPr="00C003FA" w:rsidRDefault="00A86411" w:rsidP="00A4689B">
            <w:pPr>
              <w:keepNext/>
              <w:jc w:val="center"/>
            </w:pPr>
            <w:r w:rsidRPr="00C003FA">
              <w:t>2019</w:t>
            </w:r>
          </w:p>
        </w:tc>
        <w:tc>
          <w:tcPr>
            <w:tcW w:w="1425" w:type="dxa"/>
            <w:vAlign w:val="bottom"/>
          </w:tcPr>
          <w:p w:rsidR="00A86411" w:rsidRPr="00C003FA" w:rsidRDefault="00A86411" w:rsidP="00A4689B">
            <w:pPr>
              <w:keepNext/>
              <w:jc w:val="center"/>
            </w:pPr>
            <w:r w:rsidRPr="00C003FA">
              <w:t>3,110.9</w:t>
            </w:r>
          </w:p>
        </w:tc>
        <w:tc>
          <w:tcPr>
            <w:tcW w:w="1425" w:type="dxa"/>
            <w:vAlign w:val="bottom"/>
          </w:tcPr>
          <w:p w:rsidR="00A86411" w:rsidRPr="00C003FA" w:rsidRDefault="00A86411" w:rsidP="00A4689B">
            <w:pPr>
              <w:keepNext/>
              <w:tabs>
                <w:tab w:val="decimal" w:pos="987"/>
              </w:tabs>
              <w:jc w:val="left"/>
            </w:pPr>
            <w:r w:rsidRPr="00C003FA">
              <w:t>–%</w:t>
            </w:r>
          </w:p>
        </w:tc>
        <w:tc>
          <w:tcPr>
            <w:tcW w:w="1470" w:type="dxa"/>
            <w:vAlign w:val="bottom"/>
          </w:tcPr>
          <w:p w:rsidR="00A86411" w:rsidRPr="00C003FA" w:rsidRDefault="00A86411" w:rsidP="00A4689B">
            <w:pPr>
              <w:keepNext/>
              <w:jc w:val="center"/>
            </w:pPr>
            <w:r w:rsidRPr="00C003FA">
              <w:t>3,011.7</w:t>
            </w:r>
          </w:p>
        </w:tc>
        <w:tc>
          <w:tcPr>
            <w:tcW w:w="1380" w:type="dxa"/>
            <w:vAlign w:val="bottom"/>
          </w:tcPr>
          <w:p w:rsidR="00A86411" w:rsidRPr="00C003FA" w:rsidRDefault="00A86411" w:rsidP="00A4689B">
            <w:pPr>
              <w:keepNext/>
              <w:tabs>
                <w:tab w:val="decimal" w:pos="975"/>
              </w:tabs>
              <w:jc w:val="left"/>
            </w:pPr>
            <w:r w:rsidRPr="00C003FA">
              <w:t>–%</w:t>
            </w:r>
          </w:p>
        </w:tc>
        <w:tc>
          <w:tcPr>
            <w:tcW w:w="1425" w:type="dxa"/>
            <w:vAlign w:val="bottom"/>
          </w:tcPr>
          <w:p w:rsidR="00A86411" w:rsidRPr="00C003FA" w:rsidRDefault="00A86411" w:rsidP="00A4689B">
            <w:pPr>
              <w:keepNext/>
              <w:tabs>
                <w:tab w:val="decimal" w:pos="602"/>
              </w:tabs>
              <w:jc w:val="left"/>
            </w:pPr>
            <w:r w:rsidRPr="00C003FA">
              <w:t>3.2%</w:t>
            </w:r>
          </w:p>
        </w:tc>
        <w:tc>
          <w:tcPr>
            <w:tcW w:w="1425" w:type="dxa"/>
            <w:vAlign w:val="bottom"/>
          </w:tcPr>
          <w:p w:rsidR="00A86411" w:rsidRPr="00C003FA" w:rsidRDefault="00A86411" w:rsidP="00A4689B">
            <w:pPr>
              <w:keepNext/>
              <w:tabs>
                <w:tab w:val="decimal" w:pos="602"/>
              </w:tabs>
              <w:jc w:val="left"/>
            </w:pPr>
            <w:r w:rsidRPr="00C003FA">
              <w:t>3.9%</w:t>
            </w:r>
          </w:p>
        </w:tc>
      </w:tr>
      <w:tr w:rsidR="00A86411" w:rsidRPr="00C003FA" w:rsidTr="00A4689B">
        <w:trPr>
          <w:jc w:val="center"/>
        </w:trPr>
        <w:tc>
          <w:tcPr>
            <w:tcW w:w="810" w:type="dxa"/>
            <w:vAlign w:val="bottom"/>
          </w:tcPr>
          <w:p w:rsidR="00A86411" w:rsidRPr="00C003FA" w:rsidRDefault="00A86411" w:rsidP="00A4689B">
            <w:pPr>
              <w:keepNext/>
              <w:jc w:val="center"/>
            </w:pPr>
            <w:r w:rsidRPr="00C003FA">
              <w:t>2020</w:t>
            </w:r>
          </w:p>
        </w:tc>
        <w:tc>
          <w:tcPr>
            <w:tcW w:w="1425" w:type="dxa"/>
            <w:vAlign w:val="bottom"/>
          </w:tcPr>
          <w:p w:rsidR="00A86411" w:rsidRPr="00C003FA" w:rsidRDefault="00A86411" w:rsidP="00A4689B">
            <w:pPr>
              <w:keepNext/>
              <w:jc w:val="center"/>
            </w:pPr>
            <w:r w:rsidRPr="00C003FA">
              <w:t>3,131.6</w:t>
            </w:r>
          </w:p>
        </w:tc>
        <w:tc>
          <w:tcPr>
            <w:tcW w:w="1425" w:type="dxa"/>
            <w:vAlign w:val="bottom"/>
          </w:tcPr>
          <w:p w:rsidR="00A86411" w:rsidRPr="00C003FA" w:rsidRDefault="00A86411" w:rsidP="00A4689B">
            <w:pPr>
              <w:keepNext/>
              <w:tabs>
                <w:tab w:val="decimal" w:pos="630"/>
              </w:tabs>
              <w:jc w:val="left"/>
            </w:pPr>
            <w:r w:rsidRPr="00C003FA">
              <w:t>0.7</w:t>
            </w:r>
          </w:p>
        </w:tc>
        <w:tc>
          <w:tcPr>
            <w:tcW w:w="1470" w:type="dxa"/>
            <w:vAlign w:val="bottom"/>
          </w:tcPr>
          <w:p w:rsidR="00A86411" w:rsidRPr="00C003FA" w:rsidRDefault="00A86411" w:rsidP="00A4689B">
            <w:pPr>
              <w:keepNext/>
              <w:jc w:val="center"/>
            </w:pPr>
            <w:r w:rsidRPr="00C003FA">
              <w:t>2,952.5</w:t>
            </w:r>
          </w:p>
        </w:tc>
        <w:tc>
          <w:tcPr>
            <w:tcW w:w="1380" w:type="dxa"/>
            <w:vAlign w:val="bottom"/>
          </w:tcPr>
          <w:p w:rsidR="00A86411" w:rsidRPr="00C003FA" w:rsidRDefault="00A86411" w:rsidP="00A4689B">
            <w:pPr>
              <w:keepNext/>
              <w:jc w:val="center"/>
            </w:pPr>
            <w:r w:rsidRPr="00C003FA">
              <w:t>-2.0</w:t>
            </w:r>
          </w:p>
        </w:tc>
        <w:tc>
          <w:tcPr>
            <w:tcW w:w="1425" w:type="dxa"/>
            <w:vAlign w:val="bottom"/>
          </w:tcPr>
          <w:p w:rsidR="00A86411" w:rsidRPr="00C003FA" w:rsidRDefault="00A86411" w:rsidP="00A4689B">
            <w:pPr>
              <w:keepNext/>
              <w:tabs>
                <w:tab w:val="decimal" w:pos="612"/>
              </w:tabs>
              <w:jc w:val="left"/>
            </w:pPr>
            <w:r w:rsidRPr="00C003FA">
              <w:t>5.7</w:t>
            </w:r>
          </w:p>
        </w:tc>
        <w:tc>
          <w:tcPr>
            <w:tcW w:w="1425" w:type="dxa"/>
            <w:vAlign w:val="bottom"/>
          </w:tcPr>
          <w:p w:rsidR="00A86411" w:rsidRPr="00C003FA" w:rsidRDefault="00A86411" w:rsidP="00A4689B">
            <w:pPr>
              <w:keepNext/>
              <w:tabs>
                <w:tab w:val="decimal" w:pos="612"/>
              </w:tabs>
              <w:jc w:val="left"/>
            </w:pPr>
            <w:r w:rsidRPr="00C003FA">
              <w:t>6.6</w:t>
            </w:r>
          </w:p>
        </w:tc>
      </w:tr>
    </w:tbl>
    <w:p w:rsidR="005162B7" w:rsidRPr="008E459C" w:rsidRDefault="005162B7" w:rsidP="005162B7">
      <w:pPr>
        <w:pStyle w:val="OStablenotes"/>
        <w:keepNext w:val="0"/>
        <w:spacing w:before="80" w:after="0"/>
        <w:rPr>
          <w:spacing w:val="-3"/>
        </w:rPr>
      </w:pPr>
      <w:r>
        <w:rPr>
          <w:spacing w:val="-3"/>
        </w:rPr>
        <w:t>________________________</w:t>
      </w:r>
    </w:p>
    <w:p w:rsidR="005942B3" w:rsidRDefault="005942B3" w:rsidP="00940E5F">
      <w:pPr>
        <w:pStyle w:val="OStablenotes"/>
        <w:spacing w:before="80" w:after="0"/>
      </w:pPr>
      <w:r w:rsidRPr="0077595C">
        <w:rPr>
          <w:vertAlign w:val="superscript"/>
        </w:rPr>
        <w:t>1</w:t>
      </w:r>
      <w:r>
        <w:tab/>
        <w:t>Includes the self-employed, unpaid family workers, and other groups not included in statistics that show employment by industry.</w:t>
      </w:r>
    </w:p>
    <w:p w:rsidR="005942B3" w:rsidRDefault="005942B3" w:rsidP="00940E5F">
      <w:pPr>
        <w:pStyle w:val="OStablesources"/>
        <w:spacing w:before="80"/>
      </w:pPr>
      <w:r>
        <w:t>Sources:</w:t>
      </w:r>
      <w:r>
        <w:tab/>
        <w:t>U.S. Bureau of Labor Statistics, Local Area Unemployment Statistics; Labor Force Statistics from the Current Population Survey.</w:t>
      </w:r>
    </w:p>
    <w:p w:rsidR="005162B7" w:rsidRDefault="005162B7">
      <w:pPr>
        <w:spacing w:after="160" w:line="259" w:lineRule="auto"/>
        <w:jc w:val="left"/>
        <w:rPr>
          <w:rFonts w:eastAsia="Times New Roman" w:cs="Times New Roman"/>
          <w:szCs w:val="24"/>
        </w:rPr>
      </w:pPr>
      <w:r>
        <w:br w:type="page"/>
      </w:r>
    </w:p>
    <w:p w:rsidR="005942B3" w:rsidRDefault="005942B3" w:rsidP="00940E5F">
      <w:pPr>
        <w:pStyle w:val="BodyText1"/>
      </w:pPr>
      <w:r w:rsidRPr="005942B3">
        <w:t>The following table shows Colorado employment by industry for the past five years. Industry designations are based on the North American Industrial Classification System. Employment includes only those workers covered by unemployment insurance; most workers in the state are covered.</w:t>
      </w:r>
    </w:p>
    <w:p w:rsidR="005942B3" w:rsidRDefault="005942B3" w:rsidP="006123A1"/>
    <w:tbl>
      <w:tblPr>
        <w:tblStyle w:val="TableGrid20"/>
        <w:tblW w:w="1132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6"/>
        <w:gridCol w:w="991"/>
        <w:gridCol w:w="989"/>
        <w:gridCol w:w="988"/>
        <w:gridCol w:w="988"/>
        <w:gridCol w:w="988"/>
        <w:gridCol w:w="990"/>
        <w:gridCol w:w="990"/>
        <w:gridCol w:w="845"/>
      </w:tblGrid>
      <w:tr w:rsidR="00A86411" w:rsidRPr="00C003FA" w:rsidTr="00A4689B">
        <w:trPr>
          <w:jc w:val="center"/>
        </w:trPr>
        <w:tc>
          <w:tcPr>
            <w:tcW w:w="11325" w:type="dxa"/>
            <w:gridSpan w:val="9"/>
            <w:vAlign w:val="bottom"/>
          </w:tcPr>
          <w:p w:rsidR="00A86411" w:rsidRPr="00C003FA" w:rsidRDefault="00A86411" w:rsidP="00A4689B">
            <w:pPr>
              <w:spacing w:after="240"/>
              <w:jc w:val="center"/>
              <w:rPr>
                <w:sz w:val="18"/>
              </w:rPr>
            </w:pPr>
            <w:r w:rsidRPr="00C003FA">
              <w:rPr>
                <w:sz w:val="18"/>
              </w:rPr>
              <w:t>Average Annual Number of Employees by Industry</w:t>
            </w:r>
          </w:p>
        </w:tc>
      </w:tr>
      <w:tr w:rsidR="00A86411" w:rsidRPr="00C003FA" w:rsidTr="00A4689B">
        <w:trPr>
          <w:jc w:val="center"/>
        </w:trPr>
        <w:tc>
          <w:tcPr>
            <w:tcW w:w="3556" w:type="dxa"/>
            <w:vAlign w:val="bottom"/>
          </w:tcPr>
          <w:p w:rsidR="00A86411" w:rsidRPr="00C003FA" w:rsidRDefault="00A86411" w:rsidP="00A4689B">
            <w:pPr>
              <w:spacing w:after="60"/>
              <w:jc w:val="left"/>
              <w:rPr>
                <w:sz w:val="18"/>
              </w:rPr>
            </w:pPr>
          </w:p>
        </w:tc>
        <w:tc>
          <w:tcPr>
            <w:tcW w:w="991" w:type="dxa"/>
            <w:vAlign w:val="bottom"/>
          </w:tcPr>
          <w:p w:rsidR="00A86411" w:rsidRPr="00C003FA" w:rsidRDefault="00A86411" w:rsidP="00A4689B">
            <w:pPr>
              <w:spacing w:after="60"/>
              <w:jc w:val="left"/>
              <w:rPr>
                <w:sz w:val="18"/>
              </w:rPr>
            </w:pPr>
          </w:p>
        </w:tc>
        <w:tc>
          <w:tcPr>
            <w:tcW w:w="989" w:type="dxa"/>
            <w:vAlign w:val="bottom"/>
          </w:tcPr>
          <w:p w:rsidR="00A86411" w:rsidRPr="00C003FA" w:rsidRDefault="00A86411" w:rsidP="00A4689B">
            <w:pPr>
              <w:spacing w:after="60"/>
              <w:jc w:val="left"/>
              <w:rPr>
                <w:sz w:val="18"/>
              </w:rPr>
            </w:pPr>
          </w:p>
        </w:tc>
        <w:tc>
          <w:tcPr>
            <w:tcW w:w="988" w:type="dxa"/>
            <w:vAlign w:val="bottom"/>
          </w:tcPr>
          <w:p w:rsidR="00A86411" w:rsidRPr="00C003FA" w:rsidRDefault="00A86411" w:rsidP="00A4689B">
            <w:pPr>
              <w:spacing w:after="60"/>
              <w:jc w:val="left"/>
              <w:rPr>
                <w:sz w:val="18"/>
              </w:rPr>
            </w:pPr>
          </w:p>
        </w:tc>
        <w:tc>
          <w:tcPr>
            <w:tcW w:w="988" w:type="dxa"/>
            <w:vAlign w:val="bottom"/>
          </w:tcPr>
          <w:p w:rsidR="00A86411" w:rsidRPr="00C003FA" w:rsidRDefault="00A86411" w:rsidP="00A4689B">
            <w:pPr>
              <w:spacing w:after="60"/>
              <w:jc w:val="left"/>
              <w:rPr>
                <w:sz w:val="18"/>
              </w:rPr>
            </w:pPr>
          </w:p>
        </w:tc>
        <w:tc>
          <w:tcPr>
            <w:tcW w:w="988" w:type="dxa"/>
            <w:vAlign w:val="bottom"/>
          </w:tcPr>
          <w:p w:rsidR="00A86411" w:rsidRPr="00C003FA" w:rsidRDefault="00A86411" w:rsidP="00A4689B">
            <w:pPr>
              <w:spacing w:after="60"/>
              <w:jc w:val="left"/>
              <w:rPr>
                <w:sz w:val="18"/>
              </w:rPr>
            </w:pPr>
          </w:p>
        </w:tc>
        <w:tc>
          <w:tcPr>
            <w:tcW w:w="2825" w:type="dxa"/>
            <w:gridSpan w:val="3"/>
            <w:vAlign w:val="bottom"/>
          </w:tcPr>
          <w:p w:rsidR="00A86411" w:rsidRPr="00C003FA" w:rsidRDefault="00A86411" w:rsidP="00A4689B">
            <w:pPr>
              <w:pBdr>
                <w:bottom w:val="single" w:sz="4" w:space="1" w:color="auto"/>
              </w:pBdr>
              <w:spacing w:after="60"/>
              <w:jc w:val="center"/>
              <w:rPr>
                <w:sz w:val="18"/>
              </w:rPr>
            </w:pPr>
            <w:r w:rsidRPr="00C003FA">
              <w:rPr>
                <w:sz w:val="18"/>
              </w:rPr>
              <w:t>Most Recent Quarter</w:t>
            </w:r>
          </w:p>
        </w:tc>
      </w:tr>
      <w:tr w:rsidR="00A86411" w:rsidRPr="00C003FA" w:rsidTr="00A4689B">
        <w:trPr>
          <w:jc w:val="center"/>
        </w:trPr>
        <w:tc>
          <w:tcPr>
            <w:tcW w:w="3556" w:type="dxa"/>
            <w:vAlign w:val="bottom"/>
          </w:tcPr>
          <w:p w:rsidR="00A86411" w:rsidRPr="00C003FA" w:rsidRDefault="00A86411" w:rsidP="00A4689B">
            <w:pPr>
              <w:pBdr>
                <w:bottom w:val="single" w:sz="4" w:space="1" w:color="auto"/>
              </w:pBdr>
              <w:spacing w:after="120"/>
              <w:jc w:val="center"/>
              <w:rPr>
                <w:sz w:val="18"/>
              </w:rPr>
            </w:pPr>
            <w:r w:rsidRPr="00C003FA">
              <w:rPr>
                <w:sz w:val="18"/>
              </w:rPr>
              <w:t>Industry</w:t>
            </w:r>
          </w:p>
        </w:tc>
        <w:tc>
          <w:tcPr>
            <w:tcW w:w="991" w:type="dxa"/>
            <w:vAlign w:val="bottom"/>
          </w:tcPr>
          <w:p w:rsidR="00A86411" w:rsidRPr="00C003FA" w:rsidRDefault="00A86411" w:rsidP="00A4689B">
            <w:pPr>
              <w:pBdr>
                <w:bottom w:val="single" w:sz="4" w:space="1" w:color="auto"/>
              </w:pBdr>
              <w:spacing w:after="120"/>
              <w:jc w:val="center"/>
              <w:rPr>
                <w:sz w:val="18"/>
              </w:rPr>
            </w:pPr>
            <w:r w:rsidRPr="00C003FA">
              <w:rPr>
                <w:sz w:val="18"/>
              </w:rPr>
              <w:t>2015</w:t>
            </w:r>
          </w:p>
        </w:tc>
        <w:tc>
          <w:tcPr>
            <w:tcW w:w="989" w:type="dxa"/>
            <w:vAlign w:val="bottom"/>
          </w:tcPr>
          <w:p w:rsidR="00A86411" w:rsidRPr="00C003FA" w:rsidRDefault="00A86411" w:rsidP="00A4689B">
            <w:pPr>
              <w:pBdr>
                <w:bottom w:val="single" w:sz="4" w:space="1" w:color="auto"/>
              </w:pBdr>
              <w:spacing w:after="120"/>
              <w:jc w:val="center"/>
              <w:rPr>
                <w:sz w:val="18"/>
              </w:rPr>
            </w:pPr>
            <w:r w:rsidRPr="00C003FA">
              <w:rPr>
                <w:sz w:val="18"/>
              </w:rPr>
              <w:t>2016</w:t>
            </w:r>
          </w:p>
        </w:tc>
        <w:tc>
          <w:tcPr>
            <w:tcW w:w="988" w:type="dxa"/>
            <w:vAlign w:val="bottom"/>
          </w:tcPr>
          <w:p w:rsidR="00A86411" w:rsidRPr="00C003FA" w:rsidRDefault="00A86411" w:rsidP="00A4689B">
            <w:pPr>
              <w:pBdr>
                <w:bottom w:val="single" w:sz="4" w:space="1" w:color="auto"/>
              </w:pBdr>
              <w:spacing w:after="120"/>
              <w:jc w:val="center"/>
              <w:rPr>
                <w:sz w:val="18"/>
              </w:rPr>
            </w:pPr>
            <w:r w:rsidRPr="00C003FA">
              <w:rPr>
                <w:sz w:val="18"/>
              </w:rPr>
              <w:t>2017</w:t>
            </w:r>
          </w:p>
        </w:tc>
        <w:tc>
          <w:tcPr>
            <w:tcW w:w="988" w:type="dxa"/>
            <w:vAlign w:val="bottom"/>
          </w:tcPr>
          <w:p w:rsidR="00A86411" w:rsidRPr="00C003FA" w:rsidRDefault="00A86411" w:rsidP="00A4689B">
            <w:pPr>
              <w:pBdr>
                <w:bottom w:val="single" w:sz="4" w:space="1" w:color="auto"/>
              </w:pBdr>
              <w:spacing w:after="120"/>
              <w:jc w:val="center"/>
              <w:rPr>
                <w:sz w:val="18"/>
              </w:rPr>
            </w:pPr>
            <w:r w:rsidRPr="00C003FA">
              <w:rPr>
                <w:sz w:val="18"/>
              </w:rPr>
              <w:t>2018</w:t>
            </w:r>
          </w:p>
        </w:tc>
        <w:tc>
          <w:tcPr>
            <w:tcW w:w="988" w:type="dxa"/>
            <w:vAlign w:val="bottom"/>
          </w:tcPr>
          <w:p w:rsidR="00A86411" w:rsidRPr="00C003FA" w:rsidRDefault="00A86411" w:rsidP="00A4689B">
            <w:pPr>
              <w:pBdr>
                <w:bottom w:val="single" w:sz="4" w:space="1" w:color="auto"/>
              </w:pBdr>
              <w:spacing w:after="120"/>
              <w:jc w:val="center"/>
              <w:rPr>
                <w:sz w:val="18"/>
              </w:rPr>
            </w:pPr>
            <w:r w:rsidRPr="00C003FA">
              <w:rPr>
                <w:sz w:val="18"/>
              </w:rPr>
              <w:t>2019</w:t>
            </w:r>
          </w:p>
        </w:tc>
        <w:tc>
          <w:tcPr>
            <w:tcW w:w="990" w:type="dxa"/>
            <w:vAlign w:val="bottom"/>
          </w:tcPr>
          <w:p w:rsidR="00A86411" w:rsidRPr="00C003FA" w:rsidRDefault="00A86411" w:rsidP="00A4689B">
            <w:pPr>
              <w:pBdr>
                <w:bottom w:val="single" w:sz="4" w:space="1" w:color="auto"/>
              </w:pBdr>
              <w:spacing w:after="120"/>
              <w:jc w:val="center"/>
              <w:rPr>
                <w:sz w:val="18"/>
              </w:rPr>
            </w:pPr>
            <w:r w:rsidRPr="00C003FA">
              <w:rPr>
                <w:sz w:val="18"/>
              </w:rPr>
              <w:t>2019Q3</w:t>
            </w:r>
          </w:p>
        </w:tc>
        <w:tc>
          <w:tcPr>
            <w:tcW w:w="990" w:type="dxa"/>
            <w:vAlign w:val="bottom"/>
          </w:tcPr>
          <w:p w:rsidR="00A86411" w:rsidRPr="00C003FA" w:rsidRDefault="00A86411" w:rsidP="00A4689B">
            <w:pPr>
              <w:pBdr>
                <w:bottom w:val="single" w:sz="4" w:space="1" w:color="auto"/>
              </w:pBdr>
              <w:spacing w:after="120"/>
              <w:jc w:val="center"/>
              <w:rPr>
                <w:sz w:val="18"/>
              </w:rPr>
            </w:pPr>
            <w:r w:rsidRPr="00C003FA">
              <w:rPr>
                <w:sz w:val="18"/>
              </w:rPr>
              <w:t>2019Q4</w:t>
            </w:r>
          </w:p>
        </w:tc>
        <w:tc>
          <w:tcPr>
            <w:tcW w:w="845" w:type="dxa"/>
            <w:vAlign w:val="bottom"/>
          </w:tcPr>
          <w:p w:rsidR="00A86411" w:rsidRPr="00C003FA" w:rsidRDefault="00A86411" w:rsidP="00A4689B">
            <w:pPr>
              <w:pBdr>
                <w:bottom w:val="single" w:sz="4" w:space="1" w:color="auto"/>
              </w:pBdr>
              <w:spacing w:after="120"/>
              <w:jc w:val="center"/>
              <w:rPr>
                <w:sz w:val="18"/>
              </w:rPr>
            </w:pPr>
            <w:r w:rsidRPr="00C003FA">
              <w:rPr>
                <w:sz w:val="18"/>
              </w:rPr>
              <w:t>%</w:t>
            </w:r>
            <w:r w:rsidRPr="00C003FA">
              <w:rPr>
                <w:sz w:val="18"/>
              </w:rPr>
              <w:br/>
              <w:t>Change</w:t>
            </w:r>
          </w:p>
        </w:tc>
      </w:tr>
      <w:tr w:rsidR="00A86411" w:rsidRPr="00C003FA" w:rsidTr="00A4689B">
        <w:trPr>
          <w:jc w:val="center"/>
        </w:trPr>
        <w:tc>
          <w:tcPr>
            <w:tcW w:w="3556" w:type="dxa"/>
            <w:vAlign w:val="bottom"/>
          </w:tcPr>
          <w:p w:rsidR="00A86411" w:rsidRPr="00C003FA" w:rsidRDefault="00A86411" w:rsidP="00A4689B">
            <w:pPr>
              <w:jc w:val="left"/>
              <w:rPr>
                <w:sz w:val="18"/>
              </w:rPr>
            </w:pPr>
            <w:r w:rsidRPr="00C003FA">
              <w:rPr>
                <w:sz w:val="18"/>
              </w:rPr>
              <w:t>Private Sector:</w:t>
            </w:r>
          </w:p>
        </w:tc>
        <w:tc>
          <w:tcPr>
            <w:tcW w:w="991" w:type="dxa"/>
            <w:vAlign w:val="bottom"/>
          </w:tcPr>
          <w:p w:rsidR="00A86411" w:rsidRPr="00C003FA" w:rsidRDefault="00A86411" w:rsidP="00A4689B">
            <w:pPr>
              <w:jc w:val="left"/>
              <w:rPr>
                <w:sz w:val="18"/>
              </w:rPr>
            </w:pPr>
          </w:p>
        </w:tc>
        <w:tc>
          <w:tcPr>
            <w:tcW w:w="989" w:type="dxa"/>
            <w:vAlign w:val="bottom"/>
          </w:tcPr>
          <w:p w:rsidR="00A86411" w:rsidRPr="00C003FA" w:rsidRDefault="00A86411" w:rsidP="00A4689B">
            <w:pPr>
              <w:jc w:val="left"/>
              <w:rPr>
                <w:sz w:val="18"/>
              </w:rPr>
            </w:pPr>
          </w:p>
        </w:tc>
        <w:tc>
          <w:tcPr>
            <w:tcW w:w="988" w:type="dxa"/>
            <w:vAlign w:val="bottom"/>
          </w:tcPr>
          <w:p w:rsidR="00A86411" w:rsidRPr="00C003FA" w:rsidRDefault="00A86411" w:rsidP="00A4689B">
            <w:pPr>
              <w:jc w:val="left"/>
              <w:rPr>
                <w:sz w:val="18"/>
              </w:rPr>
            </w:pPr>
          </w:p>
        </w:tc>
        <w:tc>
          <w:tcPr>
            <w:tcW w:w="988" w:type="dxa"/>
            <w:vAlign w:val="bottom"/>
          </w:tcPr>
          <w:p w:rsidR="00A86411" w:rsidRPr="00C003FA" w:rsidRDefault="00A86411" w:rsidP="00A4689B">
            <w:pPr>
              <w:jc w:val="left"/>
              <w:rPr>
                <w:sz w:val="18"/>
              </w:rPr>
            </w:pPr>
          </w:p>
        </w:tc>
        <w:tc>
          <w:tcPr>
            <w:tcW w:w="988" w:type="dxa"/>
            <w:vAlign w:val="bottom"/>
          </w:tcPr>
          <w:p w:rsidR="00A86411" w:rsidRPr="00C003FA" w:rsidRDefault="00A86411" w:rsidP="00A4689B">
            <w:pPr>
              <w:jc w:val="left"/>
              <w:rPr>
                <w:sz w:val="18"/>
              </w:rPr>
            </w:pPr>
          </w:p>
        </w:tc>
        <w:tc>
          <w:tcPr>
            <w:tcW w:w="990" w:type="dxa"/>
            <w:vAlign w:val="bottom"/>
          </w:tcPr>
          <w:p w:rsidR="00A86411" w:rsidRPr="00C003FA" w:rsidRDefault="00A86411" w:rsidP="00A4689B">
            <w:pPr>
              <w:jc w:val="left"/>
              <w:rPr>
                <w:sz w:val="18"/>
              </w:rPr>
            </w:pPr>
          </w:p>
        </w:tc>
        <w:tc>
          <w:tcPr>
            <w:tcW w:w="990" w:type="dxa"/>
            <w:vAlign w:val="bottom"/>
          </w:tcPr>
          <w:p w:rsidR="00A86411" w:rsidRPr="00C003FA" w:rsidRDefault="00A86411" w:rsidP="00A4689B">
            <w:pPr>
              <w:jc w:val="left"/>
              <w:rPr>
                <w:sz w:val="18"/>
              </w:rPr>
            </w:pPr>
          </w:p>
        </w:tc>
        <w:tc>
          <w:tcPr>
            <w:tcW w:w="845" w:type="dxa"/>
            <w:vAlign w:val="bottom"/>
          </w:tcPr>
          <w:p w:rsidR="00A86411" w:rsidRPr="00C003FA" w:rsidRDefault="00A86411" w:rsidP="00A4689B">
            <w:pPr>
              <w:jc w:val="left"/>
              <w:rPr>
                <w:sz w:val="18"/>
              </w:rPr>
            </w:pPr>
          </w:p>
        </w:tc>
      </w:tr>
      <w:tr w:rsidR="00A86411" w:rsidRPr="00C003FA" w:rsidTr="00A4689B">
        <w:trPr>
          <w:jc w:val="center"/>
        </w:trPr>
        <w:tc>
          <w:tcPr>
            <w:tcW w:w="3556" w:type="dxa"/>
            <w:vAlign w:val="bottom"/>
          </w:tcPr>
          <w:p w:rsidR="00A86411" w:rsidRPr="00C003FA" w:rsidRDefault="00A86411" w:rsidP="00A4689B">
            <w:pPr>
              <w:ind w:left="283" w:hanging="180"/>
              <w:jc w:val="left"/>
              <w:rPr>
                <w:sz w:val="18"/>
              </w:rPr>
            </w:pPr>
            <w:r w:rsidRPr="00C003FA">
              <w:rPr>
                <w:sz w:val="18"/>
              </w:rPr>
              <w:t>Agriculture, Forestry, Fishing, and Hunting</w:t>
            </w:r>
          </w:p>
        </w:tc>
        <w:tc>
          <w:tcPr>
            <w:tcW w:w="991" w:type="dxa"/>
            <w:vAlign w:val="bottom"/>
          </w:tcPr>
          <w:p w:rsidR="00A86411" w:rsidRPr="00C003FA" w:rsidRDefault="00A86411" w:rsidP="00A4689B">
            <w:pPr>
              <w:tabs>
                <w:tab w:val="decimal" w:pos="734"/>
              </w:tabs>
              <w:jc w:val="left"/>
              <w:rPr>
                <w:sz w:val="18"/>
              </w:rPr>
            </w:pPr>
            <w:r w:rsidRPr="00C003FA">
              <w:rPr>
                <w:sz w:val="18"/>
              </w:rPr>
              <w:t>15,624</w:t>
            </w:r>
          </w:p>
        </w:tc>
        <w:tc>
          <w:tcPr>
            <w:tcW w:w="989" w:type="dxa"/>
            <w:vAlign w:val="bottom"/>
          </w:tcPr>
          <w:p w:rsidR="00A86411" w:rsidRPr="00C003FA" w:rsidRDefault="00A86411" w:rsidP="00A4689B">
            <w:pPr>
              <w:tabs>
                <w:tab w:val="decimal" w:pos="734"/>
              </w:tabs>
              <w:jc w:val="left"/>
              <w:rPr>
                <w:sz w:val="18"/>
              </w:rPr>
            </w:pPr>
            <w:r w:rsidRPr="00C003FA">
              <w:rPr>
                <w:sz w:val="18"/>
              </w:rPr>
              <w:t>16,469</w:t>
            </w:r>
          </w:p>
        </w:tc>
        <w:tc>
          <w:tcPr>
            <w:tcW w:w="988" w:type="dxa"/>
            <w:vAlign w:val="bottom"/>
          </w:tcPr>
          <w:p w:rsidR="00A86411" w:rsidRPr="00C003FA" w:rsidRDefault="00A86411" w:rsidP="00A4689B">
            <w:pPr>
              <w:tabs>
                <w:tab w:val="decimal" w:pos="734"/>
              </w:tabs>
              <w:jc w:val="left"/>
              <w:rPr>
                <w:sz w:val="18"/>
              </w:rPr>
            </w:pPr>
            <w:r w:rsidRPr="00C003FA">
              <w:rPr>
                <w:sz w:val="18"/>
              </w:rPr>
              <w:t>17,598</w:t>
            </w:r>
          </w:p>
        </w:tc>
        <w:tc>
          <w:tcPr>
            <w:tcW w:w="988" w:type="dxa"/>
            <w:vAlign w:val="bottom"/>
          </w:tcPr>
          <w:p w:rsidR="00A86411" w:rsidRPr="00C003FA" w:rsidRDefault="00A86411" w:rsidP="00A4689B">
            <w:pPr>
              <w:tabs>
                <w:tab w:val="decimal" w:pos="734"/>
              </w:tabs>
              <w:jc w:val="left"/>
              <w:rPr>
                <w:sz w:val="18"/>
              </w:rPr>
            </w:pPr>
            <w:r w:rsidRPr="00C003FA">
              <w:rPr>
                <w:sz w:val="18"/>
              </w:rPr>
              <w:t>18,131</w:t>
            </w:r>
          </w:p>
        </w:tc>
        <w:tc>
          <w:tcPr>
            <w:tcW w:w="988" w:type="dxa"/>
            <w:vAlign w:val="bottom"/>
          </w:tcPr>
          <w:p w:rsidR="00A86411" w:rsidRPr="00C003FA" w:rsidRDefault="00A86411" w:rsidP="00A4689B">
            <w:pPr>
              <w:tabs>
                <w:tab w:val="decimal" w:pos="734"/>
              </w:tabs>
              <w:jc w:val="left"/>
              <w:rPr>
                <w:sz w:val="18"/>
              </w:rPr>
            </w:pPr>
            <w:r w:rsidRPr="00C003FA">
              <w:rPr>
                <w:sz w:val="18"/>
              </w:rPr>
              <w:t>19,743</w:t>
            </w:r>
          </w:p>
        </w:tc>
        <w:tc>
          <w:tcPr>
            <w:tcW w:w="990" w:type="dxa"/>
            <w:vAlign w:val="bottom"/>
          </w:tcPr>
          <w:p w:rsidR="00A86411" w:rsidRPr="00C003FA" w:rsidRDefault="00A86411" w:rsidP="00A4689B">
            <w:pPr>
              <w:tabs>
                <w:tab w:val="decimal" w:pos="734"/>
              </w:tabs>
              <w:jc w:val="left"/>
              <w:rPr>
                <w:sz w:val="18"/>
              </w:rPr>
            </w:pPr>
            <w:r w:rsidRPr="00C003FA">
              <w:rPr>
                <w:sz w:val="18"/>
              </w:rPr>
              <w:t>21,487</w:t>
            </w:r>
          </w:p>
        </w:tc>
        <w:tc>
          <w:tcPr>
            <w:tcW w:w="990" w:type="dxa"/>
            <w:vAlign w:val="bottom"/>
          </w:tcPr>
          <w:p w:rsidR="00A86411" w:rsidRPr="00C003FA" w:rsidRDefault="00A86411" w:rsidP="00A4689B">
            <w:pPr>
              <w:tabs>
                <w:tab w:val="decimal" w:pos="734"/>
              </w:tabs>
              <w:jc w:val="left"/>
              <w:rPr>
                <w:sz w:val="18"/>
              </w:rPr>
            </w:pPr>
            <w:r w:rsidRPr="00C003FA">
              <w:rPr>
                <w:sz w:val="18"/>
              </w:rPr>
              <w:t>19,928</w:t>
            </w:r>
          </w:p>
        </w:tc>
        <w:tc>
          <w:tcPr>
            <w:tcW w:w="845" w:type="dxa"/>
            <w:vAlign w:val="bottom"/>
          </w:tcPr>
          <w:p w:rsidR="00A86411" w:rsidRPr="00C003FA" w:rsidRDefault="00A86411" w:rsidP="00A4689B">
            <w:pPr>
              <w:tabs>
                <w:tab w:val="decimal" w:pos="284"/>
              </w:tabs>
              <w:jc w:val="left"/>
              <w:rPr>
                <w:sz w:val="18"/>
              </w:rPr>
            </w:pPr>
            <w:r w:rsidRPr="00C003FA">
              <w:rPr>
                <w:sz w:val="18"/>
              </w:rPr>
              <w:t>-7.3%</w:t>
            </w:r>
          </w:p>
        </w:tc>
      </w:tr>
      <w:tr w:rsidR="00A86411" w:rsidRPr="00C003FA" w:rsidTr="00A4689B">
        <w:trPr>
          <w:jc w:val="center"/>
        </w:trPr>
        <w:tc>
          <w:tcPr>
            <w:tcW w:w="3556" w:type="dxa"/>
            <w:vAlign w:val="bottom"/>
          </w:tcPr>
          <w:p w:rsidR="00A86411" w:rsidRPr="00C003FA" w:rsidRDefault="00A86411" w:rsidP="00A4689B">
            <w:pPr>
              <w:ind w:left="283" w:hanging="180"/>
              <w:jc w:val="left"/>
              <w:rPr>
                <w:sz w:val="18"/>
              </w:rPr>
            </w:pPr>
            <w:r w:rsidRPr="00C003FA">
              <w:rPr>
                <w:sz w:val="18"/>
              </w:rPr>
              <w:t>Mining</w:t>
            </w:r>
          </w:p>
        </w:tc>
        <w:tc>
          <w:tcPr>
            <w:tcW w:w="991" w:type="dxa"/>
            <w:vAlign w:val="bottom"/>
          </w:tcPr>
          <w:p w:rsidR="00A86411" w:rsidRPr="00C003FA" w:rsidRDefault="00A86411" w:rsidP="00A4689B">
            <w:pPr>
              <w:tabs>
                <w:tab w:val="decimal" w:pos="734"/>
              </w:tabs>
              <w:jc w:val="left"/>
              <w:rPr>
                <w:sz w:val="18"/>
              </w:rPr>
            </w:pPr>
            <w:r w:rsidRPr="00C003FA">
              <w:rPr>
                <w:sz w:val="18"/>
              </w:rPr>
              <w:t>30,565</w:t>
            </w:r>
          </w:p>
        </w:tc>
        <w:tc>
          <w:tcPr>
            <w:tcW w:w="989" w:type="dxa"/>
            <w:vAlign w:val="bottom"/>
          </w:tcPr>
          <w:p w:rsidR="00A86411" w:rsidRPr="00C003FA" w:rsidRDefault="00A86411" w:rsidP="00A4689B">
            <w:pPr>
              <w:tabs>
                <w:tab w:val="decimal" w:pos="734"/>
              </w:tabs>
              <w:jc w:val="left"/>
              <w:rPr>
                <w:sz w:val="18"/>
              </w:rPr>
            </w:pPr>
            <w:r w:rsidRPr="00C003FA">
              <w:rPr>
                <w:sz w:val="18"/>
              </w:rPr>
              <w:t>23,573</w:t>
            </w:r>
          </w:p>
        </w:tc>
        <w:tc>
          <w:tcPr>
            <w:tcW w:w="988" w:type="dxa"/>
            <w:vAlign w:val="bottom"/>
          </w:tcPr>
          <w:p w:rsidR="00A86411" w:rsidRPr="00C003FA" w:rsidRDefault="00A86411" w:rsidP="00A4689B">
            <w:pPr>
              <w:tabs>
                <w:tab w:val="decimal" w:pos="734"/>
              </w:tabs>
              <w:jc w:val="left"/>
              <w:rPr>
                <w:sz w:val="18"/>
              </w:rPr>
            </w:pPr>
            <w:r w:rsidRPr="00C003FA">
              <w:rPr>
                <w:sz w:val="18"/>
              </w:rPr>
              <w:t>25,578</w:t>
            </w:r>
          </w:p>
        </w:tc>
        <w:tc>
          <w:tcPr>
            <w:tcW w:w="988" w:type="dxa"/>
            <w:vAlign w:val="bottom"/>
          </w:tcPr>
          <w:p w:rsidR="00A86411" w:rsidRPr="00C003FA" w:rsidRDefault="00A86411" w:rsidP="00A4689B">
            <w:pPr>
              <w:tabs>
                <w:tab w:val="decimal" w:pos="734"/>
              </w:tabs>
              <w:jc w:val="left"/>
              <w:rPr>
                <w:sz w:val="18"/>
              </w:rPr>
            </w:pPr>
            <w:r w:rsidRPr="00C003FA">
              <w:rPr>
                <w:sz w:val="18"/>
              </w:rPr>
              <w:t>28,200</w:t>
            </w:r>
          </w:p>
        </w:tc>
        <w:tc>
          <w:tcPr>
            <w:tcW w:w="988" w:type="dxa"/>
            <w:vAlign w:val="bottom"/>
          </w:tcPr>
          <w:p w:rsidR="00A86411" w:rsidRPr="00C003FA" w:rsidRDefault="00A86411" w:rsidP="00A4689B">
            <w:pPr>
              <w:tabs>
                <w:tab w:val="decimal" w:pos="734"/>
              </w:tabs>
              <w:jc w:val="left"/>
              <w:rPr>
                <w:sz w:val="18"/>
              </w:rPr>
            </w:pPr>
            <w:r w:rsidRPr="00C003FA">
              <w:rPr>
                <w:sz w:val="18"/>
              </w:rPr>
              <w:t>28,635</w:t>
            </w:r>
          </w:p>
        </w:tc>
        <w:tc>
          <w:tcPr>
            <w:tcW w:w="990" w:type="dxa"/>
            <w:vAlign w:val="bottom"/>
          </w:tcPr>
          <w:p w:rsidR="00A86411" w:rsidRPr="00C003FA" w:rsidRDefault="00A86411" w:rsidP="00A4689B">
            <w:pPr>
              <w:tabs>
                <w:tab w:val="decimal" w:pos="734"/>
              </w:tabs>
              <w:jc w:val="left"/>
              <w:rPr>
                <w:sz w:val="18"/>
              </w:rPr>
            </w:pPr>
            <w:r w:rsidRPr="00C003FA">
              <w:rPr>
                <w:sz w:val="18"/>
              </w:rPr>
              <w:t>28,879</w:t>
            </w:r>
          </w:p>
        </w:tc>
        <w:tc>
          <w:tcPr>
            <w:tcW w:w="990" w:type="dxa"/>
            <w:vAlign w:val="bottom"/>
          </w:tcPr>
          <w:p w:rsidR="00A86411" w:rsidRPr="00C003FA" w:rsidRDefault="00A86411" w:rsidP="00A4689B">
            <w:pPr>
              <w:tabs>
                <w:tab w:val="decimal" w:pos="734"/>
              </w:tabs>
              <w:jc w:val="left"/>
              <w:rPr>
                <w:sz w:val="18"/>
              </w:rPr>
            </w:pPr>
            <w:r w:rsidRPr="00C003FA">
              <w:rPr>
                <w:sz w:val="18"/>
              </w:rPr>
              <w:t>27,442</w:t>
            </w:r>
          </w:p>
        </w:tc>
        <w:tc>
          <w:tcPr>
            <w:tcW w:w="845" w:type="dxa"/>
            <w:vAlign w:val="bottom"/>
          </w:tcPr>
          <w:p w:rsidR="00A86411" w:rsidRPr="00C003FA" w:rsidRDefault="00A86411" w:rsidP="00A4689B">
            <w:pPr>
              <w:tabs>
                <w:tab w:val="decimal" w:pos="284"/>
              </w:tabs>
              <w:jc w:val="left"/>
              <w:rPr>
                <w:sz w:val="18"/>
              </w:rPr>
            </w:pPr>
            <w:r w:rsidRPr="00C003FA">
              <w:rPr>
                <w:sz w:val="18"/>
              </w:rPr>
              <w:t>-5.0</w:t>
            </w:r>
          </w:p>
        </w:tc>
      </w:tr>
      <w:tr w:rsidR="00A86411" w:rsidRPr="00C003FA" w:rsidTr="00A4689B">
        <w:trPr>
          <w:jc w:val="center"/>
        </w:trPr>
        <w:tc>
          <w:tcPr>
            <w:tcW w:w="3556" w:type="dxa"/>
            <w:vAlign w:val="bottom"/>
          </w:tcPr>
          <w:p w:rsidR="00A86411" w:rsidRPr="00C003FA" w:rsidRDefault="00A86411" w:rsidP="00A4689B">
            <w:pPr>
              <w:ind w:left="283" w:hanging="180"/>
              <w:jc w:val="left"/>
              <w:rPr>
                <w:sz w:val="18"/>
              </w:rPr>
            </w:pPr>
            <w:r w:rsidRPr="00C003FA">
              <w:rPr>
                <w:sz w:val="18"/>
              </w:rPr>
              <w:t>Utilities</w:t>
            </w:r>
          </w:p>
        </w:tc>
        <w:tc>
          <w:tcPr>
            <w:tcW w:w="991" w:type="dxa"/>
            <w:vAlign w:val="bottom"/>
          </w:tcPr>
          <w:p w:rsidR="00A86411" w:rsidRPr="00C003FA" w:rsidRDefault="00A86411" w:rsidP="00A4689B">
            <w:pPr>
              <w:tabs>
                <w:tab w:val="decimal" w:pos="734"/>
              </w:tabs>
              <w:jc w:val="left"/>
              <w:rPr>
                <w:sz w:val="18"/>
              </w:rPr>
            </w:pPr>
            <w:r w:rsidRPr="00C003FA">
              <w:rPr>
                <w:sz w:val="18"/>
              </w:rPr>
              <w:t>8,202</w:t>
            </w:r>
          </w:p>
        </w:tc>
        <w:tc>
          <w:tcPr>
            <w:tcW w:w="989" w:type="dxa"/>
            <w:vAlign w:val="bottom"/>
          </w:tcPr>
          <w:p w:rsidR="00A86411" w:rsidRPr="00C003FA" w:rsidRDefault="00A86411" w:rsidP="00A4689B">
            <w:pPr>
              <w:tabs>
                <w:tab w:val="decimal" w:pos="734"/>
              </w:tabs>
              <w:jc w:val="left"/>
              <w:rPr>
                <w:sz w:val="18"/>
              </w:rPr>
            </w:pPr>
            <w:r w:rsidRPr="00C003FA">
              <w:rPr>
                <w:sz w:val="18"/>
              </w:rPr>
              <w:t>8,239</w:t>
            </w:r>
          </w:p>
        </w:tc>
        <w:tc>
          <w:tcPr>
            <w:tcW w:w="988" w:type="dxa"/>
            <w:vAlign w:val="bottom"/>
          </w:tcPr>
          <w:p w:rsidR="00A86411" w:rsidRPr="00C003FA" w:rsidRDefault="00A86411" w:rsidP="00A4689B">
            <w:pPr>
              <w:tabs>
                <w:tab w:val="decimal" w:pos="734"/>
              </w:tabs>
              <w:jc w:val="left"/>
              <w:rPr>
                <w:sz w:val="18"/>
              </w:rPr>
            </w:pPr>
            <w:r w:rsidRPr="00C003FA">
              <w:rPr>
                <w:sz w:val="18"/>
              </w:rPr>
              <w:t>8,079</w:t>
            </w:r>
          </w:p>
        </w:tc>
        <w:tc>
          <w:tcPr>
            <w:tcW w:w="988" w:type="dxa"/>
            <w:vAlign w:val="bottom"/>
          </w:tcPr>
          <w:p w:rsidR="00A86411" w:rsidRPr="00C003FA" w:rsidRDefault="00A86411" w:rsidP="00A4689B">
            <w:pPr>
              <w:tabs>
                <w:tab w:val="decimal" w:pos="734"/>
              </w:tabs>
              <w:jc w:val="left"/>
              <w:rPr>
                <w:sz w:val="18"/>
              </w:rPr>
            </w:pPr>
            <w:r w:rsidRPr="00C003FA">
              <w:rPr>
                <w:sz w:val="18"/>
              </w:rPr>
              <w:t>8,030</w:t>
            </w:r>
          </w:p>
        </w:tc>
        <w:tc>
          <w:tcPr>
            <w:tcW w:w="988" w:type="dxa"/>
            <w:vAlign w:val="bottom"/>
          </w:tcPr>
          <w:p w:rsidR="00A86411" w:rsidRPr="00C003FA" w:rsidRDefault="00A86411" w:rsidP="00A4689B">
            <w:pPr>
              <w:tabs>
                <w:tab w:val="decimal" w:pos="734"/>
              </w:tabs>
              <w:jc w:val="left"/>
              <w:rPr>
                <w:sz w:val="18"/>
              </w:rPr>
            </w:pPr>
            <w:r w:rsidRPr="00C003FA">
              <w:rPr>
                <w:sz w:val="18"/>
              </w:rPr>
              <w:t>8,168</w:t>
            </w:r>
          </w:p>
        </w:tc>
        <w:tc>
          <w:tcPr>
            <w:tcW w:w="990" w:type="dxa"/>
            <w:vAlign w:val="bottom"/>
          </w:tcPr>
          <w:p w:rsidR="00A86411" w:rsidRPr="00C003FA" w:rsidRDefault="00A86411" w:rsidP="00A4689B">
            <w:pPr>
              <w:tabs>
                <w:tab w:val="decimal" w:pos="734"/>
              </w:tabs>
              <w:jc w:val="left"/>
              <w:rPr>
                <w:sz w:val="18"/>
              </w:rPr>
            </w:pPr>
            <w:r w:rsidRPr="00C003FA">
              <w:rPr>
                <w:sz w:val="18"/>
              </w:rPr>
              <w:t>8,236</w:t>
            </w:r>
          </w:p>
        </w:tc>
        <w:tc>
          <w:tcPr>
            <w:tcW w:w="990" w:type="dxa"/>
            <w:vAlign w:val="bottom"/>
          </w:tcPr>
          <w:p w:rsidR="00A86411" w:rsidRPr="00C003FA" w:rsidRDefault="00A86411" w:rsidP="00A4689B">
            <w:pPr>
              <w:tabs>
                <w:tab w:val="decimal" w:pos="734"/>
              </w:tabs>
              <w:jc w:val="left"/>
              <w:rPr>
                <w:sz w:val="18"/>
              </w:rPr>
            </w:pPr>
            <w:r w:rsidRPr="00C003FA">
              <w:rPr>
                <w:sz w:val="18"/>
              </w:rPr>
              <w:t>8,197</w:t>
            </w:r>
          </w:p>
        </w:tc>
        <w:tc>
          <w:tcPr>
            <w:tcW w:w="845" w:type="dxa"/>
            <w:vAlign w:val="bottom"/>
          </w:tcPr>
          <w:p w:rsidR="00A86411" w:rsidRPr="00C003FA" w:rsidRDefault="00A86411" w:rsidP="00A4689B">
            <w:pPr>
              <w:tabs>
                <w:tab w:val="decimal" w:pos="284"/>
              </w:tabs>
              <w:jc w:val="left"/>
              <w:rPr>
                <w:sz w:val="18"/>
              </w:rPr>
            </w:pPr>
            <w:r w:rsidRPr="00C003FA">
              <w:rPr>
                <w:sz w:val="18"/>
              </w:rPr>
              <w:t>-0.5</w:t>
            </w:r>
          </w:p>
        </w:tc>
      </w:tr>
      <w:tr w:rsidR="00A86411" w:rsidRPr="00C003FA" w:rsidTr="00A4689B">
        <w:trPr>
          <w:jc w:val="center"/>
        </w:trPr>
        <w:tc>
          <w:tcPr>
            <w:tcW w:w="3556" w:type="dxa"/>
            <w:vAlign w:val="bottom"/>
          </w:tcPr>
          <w:p w:rsidR="00A86411" w:rsidRPr="00C003FA" w:rsidRDefault="00A86411" w:rsidP="00A4689B">
            <w:pPr>
              <w:ind w:left="283" w:hanging="180"/>
              <w:jc w:val="left"/>
              <w:rPr>
                <w:sz w:val="18"/>
              </w:rPr>
            </w:pPr>
            <w:r w:rsidRPr="00C003FA">
              <w:rPr>
                <w:sz w:val="18"/>
              </w:rPr>
              <w:t>Construction</w:t>
            </w:r>
          </w:p>
        </w:tc>
        <w:tc>
          <w:tcPr>
            <w:tcW w:w="991" w:type="dxa"/>
            <w:vAlign w:val="bottom"/>
          </w:tcPr>
          <w:p w:rsidR="00A86411" w:rsidRPr="00C003FA" w:rsidRDefault="00A86411" w:rsidP="00A4689B">
            <w:pPr>
              <w:tabs>
                <w:tab w:val="decimal" w:pos="734"/>
              </w:tabs>
              <w:jc w:val="left"/>
              <w:rPr>
                <w:sz w:val="18"/>
              </w:rPr>
            </w:pPr>
            <w:r w:rsidRPr="00C003FA">
              <w:rPr>
                <w:sz w:val="18"/>
              </w:rPr>
              <w:t>148,638</w:t>
            </w:r>
          </w:p>
        </w:tc>
        <w:tc>
          <w:tcPr>
            <w:tcW w:w="989" w:type="dxa"/>
            <w:vAlign w:val="bottom"/>
          </w:tcPr>
          <w:p w:rsidR="00A86411" w:rsidRPr="00C003FA" w:rsidRDefault="00A86411" w:rsidP="00A4689B">
            <w:pPr>
              <w:tabs>
                <w:tab w:val="decimal" w:pos="734"/>
              </w:tabs>
              <w:jc w:val="left"/>
              <w:rPr>
                <w:sz w:val="18"/>
              </w:rPr>
            </w:pPr>
            <w:r w:rsidRPr="00C003FA">
              <w:rPr>
                <w:sz w:val="18"/>
              </w:rPr>
              <w:t>155,139</w:t>
            </w:r>
          </w:p>
        </w:tc>
        <w:tc>
          <w:tcPr>
            <w:tcW w:w="988" w:type="dxa"/>
            <w:vAlign w:val="bottom"/>
          </w:tcPr>
          <w:p w:rsidR="00A86411" w:rsidRPr="00C003FA" w:rsidRDefault="00A86411" w:rsidP="00A4689B">
            <w:pPr>
              <w:tabs>
                <w:tab w:val="decimal" w:pos="734"/>
              </w:tabs>
              <w:jc w:val="left"/>
              <w:rPr>
                <w:sz w:val="18"/>
              </w:rPr>
            </w:pPr>
            <w:r w:rsidRPr="00C003FA">
              <w:rPr>
                <w:sz w:val="18"/>
              </w:rPr>
              <w:t>163,452</w:t>
            </w:r>
          </w:p>
        </w:tc>
        <w:tc>
          <w:tcPr>
            <w:tcW w:w="988" w:type="dxa"/>
            <w:vAlign w:val="bottom"/>
          </w:tcPr>
          <w:p w:rsidR="00A86411" w:rsidRPr="00C003FA" w:rsidRDefault="00A86411" w:rsidP="00A4689B">
            <w:pPr>
              <w:tabs>
                <w:tab w:val="decimal" w:pos="734"/>
              </w:tabs>
              <w:jc w:val="left"/>
              <w:rPr>
                <w:sz w:val="18"/>
              </w:rPr>
            </w:pPr>
            <w:r w:rsidRPr="00C003FA">
              <w:rPr>
                <w:sz w:val="18"/>
              </w:rPr>
              <w:t>173,063</w:t>
            </w:r>
          </w:p>
        </w:tc>
        <w:tc>
          <w:tcPr>
            <w:tcW w:w="988" w:type="dxa"/>
            <w:vAlign w:val="bottom"/>
          </w:tcPr>
          <w:p w:rsidR="00A86411" w:rsidRPr="00C003FA" w:rsidRDefault="00A86411" w:rsidP="00A4689B">
            <w:pPr>
              <w:tabs>
                <w:tab w:val="decimal" w:pos="734"/>
              </w:tabs>
              <w:jc w:val="left"/>
              <w:rPr>
                <w:sz w:val="18"/>
              </w:rPr>
            </w:pPr>
            <w:r w:rsidRPr="00C003FA">
              <w:rPr>
                <w:sz w:val="18"/>
              </w:rPr>
              <w:t>178,867</w:t>
            </w:r>
          </w:p>
        </w:tc>
        <w:tc>
          <w:tcPr>
            <w:tcW w:w="990" w:type="dxa"/>
            <w:vAlign w:val="bottom"/>
          </w:tcPr>
          <w:p w:rsidR="00A86411" w:rsidRPr="00C003FA" w:rsidRDefault="00A86411" w:rsidP="00A4689B">
            <w:pPr>
              <w:tabs>
                <w:tab w:val="decimal" w:pos="734"/>
              </w:tabs>
              <w:jc w:val="left"/>
              <w:rPr>
                <w:sz w:val="18"/>
              </w:rPr>
            </w:pPr>
            <w:r w:rsidRPr="00C003FA">
              <w:rPr>
                <w:sz w:val="18"/>
              </w:rPr>
              <w:t>184,398</w:t>
            </w:r>
          </w:p>
        </w:tc>
        <w:tc>
          <w:tcPr>
            <w:tcW w:w="990" w:type="dxa"/>
            <w:vAlign w:val="bottom"/>
          </w:tcPr>
          <w:p w:rsidR="00A86411" w:rsidRPr="00C003FA" w:rsidRDefault="00A86411" w:rsidP="00A4689B">
            <w:pPr>
              <w:tabs>
                <w:tab w:val="decimal" w:pos="734"/>
              </w:tabs>
              <w:jc w:val="left"/>
              <w:rPr>
                <w:sz w:val="18"/>
              </w:rPr>
            </w:pPr>
            <w:r w:rsidRPr="00C003FA">
              <w:rPr>
                <w:sz w:val="18"/>
              </w:rPr>
              <w:t>181,044</w:t>
            </w:r>
          </w:p>
        </w:tc>
        <w:tc>
          <w:tcPr>
            <w:tcW w:w="845" w:type="dxa"/>
            <w:vAlign w:val="bottom"/>
          </w:tcPr>
          <w:p w:rsidR="00A86411" w:rsidRPr="00C003FA" w:rsidRDefault="00A86411" w:rsidP="00A4689B">
            <w:pPr>
              <w:tabs>
                <w:tab w:val="decimal" w:pos="284"/>
              </w:tabs>
              <w:jc w:val="left"/>
              <w:rPr>
                <w:sz w:val="18"/>
              </w:rPr>
            </w:pPr>
            <w:r w:rsidRPr="00C003FA">
              <w:rPr>
                <w:sz w:val="18"/>
              </w:rPr>
              <w:t>-1.8</w:t>
            </w:r>
          </w:p>
        </w:tc>
      </w:tr>
      <w:tr w:rsidR="00A86411" w:rsidRPr="00C003FA" w:rsidTr="00A4689B">
        <w:trPr>
          <w:jc w:val="center"/>
        </w:trPr>
        <w:tc>
          <w:tcPr>
            <w:tcW w:w="3556" w:type="dxa"/>
            <w:vAlign w:val="bottom"/>
          </w:tcPr>
          <w:p w:rsidR="00A86411" w:rsidRPr="00C003FA" w:rsidRDefault="00A86411" w:rsidP="00A4689B">
            <w:pPr>
              <w:ind w:left="283" w:hanging="180"/>
              <w:jc w:val="left"/>
              <w:rPr>
                <w:sz w:val="18"/>
              </w:rPr>
            </w:pPr>
            <w:r w:rsidRPr="00C003FA">
              <w:rPr>
                <w:sz w:val="18"/>
              </w:rPr>
              <w:t>Manufacturing</w:t>
            </w:r>
          </w:p>
        </w:tc>
        <w:tc>
          <w:tcPr>
            <w:tcW w:w="991" w:type="dxa"/>
            <w:vAlign w:val="bottom"/>
          </w:tcPr>
          <w:p w:rsidR="00A86411" w:rsidRPr="00C003FA" w:rsidRDefault="00A86411" w:rsidP="00A4689B">
            <w:pPr>
              <w:tabs>
                <w:tab w:val="decimal" w:pos="734"/>
              </w:tabs>
              <w:jc w:val="left"/>
              <w:rPr>
                <w:sz w:val="18"/>
              </w:rPr>
            </w:pPr>
            <w:r w:rsidRPr="00C003FA">
              <w:rPr>
                <w:sz w:val="18"/>
              </w:rPr>
              <w:t>140,831</w:t>
            </w:r>
          </w:p>
        </w:tc>
        <w:tc>
          <w:tcPr>
            <w:tcW w:w="989" w:type="dxa"/>
            <w:vAlign w:val="bottom"/>
          </w:tcPr>
          <w:p w:rsidR="00A86411" w:rsidRPr="00C003FA" w:rsidRDefault="00A86411" w:rsidP="00A4689B">
            <w:pPr>
              <w:tabs>
                <w:tab w:val="decimal" w:pos="734"/>
              </w:tabs>
              <w:jc w:val="left"/>
              <w:rPr>
                <w:sz w:val="18"/>
              </w:rPr>
            </w:pPr>
            <w:r w:rsidRPr="00C003FA">
              <w:rPr>
                <w:sz w:val="18"/>
              </w:rPr>
              <w:t>142,381</w:t>
            </w:r>
          </w:p>
        </w:tc>
        <w:tc>
          <w:tcPr>
            <w:tcW w:w="988" w:type="dxa"/>
            <w:vAlign w:val="bottom"/>
          </w:tcPr>
          <w:p w:rsidR="00A86411" w:rsidRPr="00C003FA" w:rsidRDefault="00A86411" w:rsidP="00A4689B">
            <w:pPr>
              <w:tabs>
                <w:tab w:val="decimal" w:pos="734"/>
              </w:tabs>
              <w:jc w:val="left"/>
              <w:rPr>
                <w:sz w:val="18"/>
              </w:rPr>
            </w:pPr>
            <w:r w:rsidRPr="00C003FA">
              <w:rPr>
                <w:sz w:val="18"/>
              </w:rPr>
              <w:t>144,064</w:t>
            </w:r>
          </w:p>
        </w:tc>
        <w:tc>
          <w:tcPr>
            <w:tcW w:w="988" w:type="dxa"/>
            <w:vAlign w:val="bottom"/>
          </w:tcPr>
          <w:p w:rsidR="00A86411" w:rsidRPr="00C003FA" w:rsidRDefault="00A86411" w:rsidP="00A4689B">
            <w:pPr>
              <w:tabs>
                <w:tab w:val="decimal" w:pos="734"/>
              </w:tabs>
              <w:jc w:val="left"/>
              <w:rPr>
                <w:sz w:val="18"/>
              </w:rPr>
            </w:pPr>
            <w:r w:rsidRPr="00C003FA">
              <w:rPr>
                <w:sz w:val="18"/>
              </w:rPr>
              <w:t>147,270</w:t>
            </w:r>
          </w:p>
        </w:tc>
        <w:tc>
          <w:tcPr>
            <w:tcW w:w="988" w:type="dxa"/>
            <w:vAlign w:val="bottom"/>
          </w:tcPr>
          <w:p w:rsidR="00A86411" w:rsidRPr="00C003FA" w:rsidRDefault="00A86411" w:rsidP="00A4689B">
            <w:pPr>
              <w:tabs>
                <w:tab w:val="decimal" w:pos="734"/>
              </w:tabs>
              <w:jc w:val="left"/>
              <w:rPr>
                <w:sz w:val="18"/>
              </w:rPr>
            </w:pPr>
            <w:r w:rsidRPr="00C003FA">
              <w:rPr>
                <w:sz w:val="18"/>
              </w:rPr>
              <w:t>150,109</w:t>
            </w:r>
          </w:p>
        </w:tc>
        <w:tc>
          <w:tcPr>
            <w:tcW w:w="990" w:type="dxa"/>
            <w:vAlign w:val="bottom"/>
          </w:tcPr>
          <w:p w:rsidR="00A86411" w:rsidRPr="00C003FA" w:rsidRDefault="00A86411" w:rsidP="00A4689B">
            <w:pPr>
              <w:tabs>
                <w:tab w:val="decimal" w:pos="734"/>
              </w:tabs>
              <w:jc w:val="left"/>
              <w:rPr>
                <w:sz w:val="18"/>
              </w:rPr>
            </w:pPr>
            <w:r w:rsidRPr="00C003FA">
              <w:rPr>
                <w:sz w:val="18"/>
              </w:rPr>
              <w:t>151,009</w:t>
            </w:r>
          </w:p>
        </w:tc>
        <w:tc>
          <w:tcPr>
            <w:tcW w:w="990" w:type="dxa"/>
            <w:vAlign w:val="bottom"/>
          </w:tcPr>
          <w:p w:rsidR="00A86411" w:rsidRPr="00C003FA" w:rsidRDefault="00A86411" w:rsidP="00A4689B">
            <w:pPr>
              <w:tabs>
                <w:tab w:val="decimal" w:pos="734"/>
              </w:tabs>
              <w:jc w:val="left"/>
              <w:rPr>
                <w:sz w:val="18"/>
              </w:rPr>
            </w:pPr>
            <w:r w:rsidRPr="00C003FA">
              <w:rPr>
                <w:sz w:val="18"/>
              </w:rPr>
              <w:t>150,486</w:t>
            </w:r>
          </w:p>
        </w:tc>
        <w:tc>
          <w:tcPr>
            <w:tcW w:w="845" w:type="dxa"/>
            <w:vAlign w:val="bottom"/>
          </w:tcPr>
          <w:p w:rsidR="00A86411" w:rsidRPr="00C003FA" w:rsidRDefault="00A86411" w:rsidP="00A4689B">
            <w:pPr>
              <w:tabs>
                <w:tab w:val="decimal" w:pos="284"/>
              </w:tabs>
              <w:jc w:val="left"/>
              <w:rPr>
                <w:sz w:val="18"/>
              </w:rPr>
            </w:pPr>
            <w:r w:rsidRPr="00C003FA">
              <w:rPr>
                <w:sz w:val="18"/>
              </w:rPr>
              <w:t>-0.3</w:t>
            </w:r>
          </w:p>
        </w:tc>
      </w:tr>
      <w:tr w:rsidR="00A86411" w:rsidRPr="00C003FA" w:rsidTr="00A4689B">
        <w:trPr>
          <w:jc w:val="center"/>
        </w:trPr>
        <w:tc>
          <w:tcPr>
            <w:tcW w:w="3556" w:type="dxa"/>
            <w:vAlign w:val="bottom"/>
          </w:tcPr>
          <w:p w:rsidR="00A86411" w:rsidRPr="00C003FA" w:rsidRDefault="00A86411" w:rsidP="00A4689B">
            <w:pPr>
              <w:ind w:left="283" w:hanging="180"/>
              <w:jc w:val="left"/>
              <w:rPr>
                <w:sz w:val="18"/>
              </w:rPr>
            </w:pPr>
            <w:r w:rsidRPr="00C003FA">
              <w:rPr>
                <w:sz w:val="18"/>
              </w:rPr>
              <w:t>Wholesale Trade</w:t>
            </w:r>
          </w:p>
        </w:tc>
        <w:tc>
          <w:tcPr>
            <w:tcW w:w="991" w:type="dxa"/>
            <w:vAlign w:val="bottom"/>
          </w:tcPr>
          <w:p w:rsidR="00A86411" w:rsidRPr="00C003FA" w:rsidRDefault="00A86411" w:rsidP="00A4689B">
            <w:pPr>
              <w:tabs>
                <w:tab w:val="decimal" w:pos="734"/>
              </w:tabs>
              <w:jc w:val="left"/>
              <w:rPr>
                <w:sz w:val="18"/>
              </w:rPr>
            </w:pPr>
            <w:r w:rsidRPr="00C003FA">
              <w:rPr>
                <w:sz w:val="18"/>
              </w:rPr>
              <w:t>103,253</w:t>
            </w:r>
          </w:p>
        </w:tc>
        <w:tc>
          <w:tcPr>
            <w:tcW w:w="989" w:type="dxa"/>
            <w:vAlign w:val="bottom"/>
          </w:tcPr>
          <w:p w:rsidR="00A86411" w:rsidRPr="00C003FA" w:rsidRDefault="00A86411" w:rsidP="00A4689B">
            <w:pPr>
              <w:tabs>
                <w:tab w:val="decimal" w:pos="734"/>
              </w:tabs>
              <w:jc w:val="left"/>
              <w:rPr>
                <w:sz w:val="18"/>
              </w:rPr>
            </w:pPr>
            <w:r w:rsidRPr="00C003FA">
              <w:rPr>
                <w:sz w:val="18"/>
              </w:rPr>
              <w:t>104,882</w:t>
            </w:r>
          </w:p>
        </w:tc>
        <w:tc>
          <w:tcPr>
            <w:tcW w:w="988" w:type="dxa"/>
            <w:vAlign w:val="bottom"/>
          </w:tcPr>
          <w:p w:rsidR="00A86411" w:rsidRPr="00C003FA" w:rsidRDefault="00A86411" w:rsidP="00A4689B">
            <w:pPr>
              <w:tabs>
                <w:tab w:val="decimal" w:pos="734"/>
              </w:tabs>
              <w:jc w:val="left"/>
              <w:rPr>
                <w:sz w:val="18"/>
              </w:rPr>
            </w:pPr>
            <w:r w:rsidRPr="00C003FA">
              <w:rPr>
                <w:sz w:val="18"/>
              </w:rPr>
              <w:t>106,726</w:t>
            </w:r>
          </w:p>
        </w:tc>
        <w:tc>
          <w:tcPr>
            <w:tcW w:w="988" w:type="dxa"/>
            <w:vAlign w:val="bottom"/>
          </w:tcPr>
          <w:p w:rsidR="00A86411" w:rsidRPr="00C003FA" w:rsidRDefault="00A86411" w:rsidP="00A4689B">
            <w:pPr>
              <w:tabs>
                <w:tab w:val="decimal" w:pos="734"/>
              </w:tabs>
              <w:jc w:val="left"/>
              <w:rPr>
                <w:sz w:val="18"/>
              </w:rPr>
            </w:pPr>
            <w:r w:rsidRPr="00C003FA">
              <w:rPr>
                <w:sz w:val="18"/>
              </w:rPr>
              <w:t>108,257</w:t>
            </w:r>
          </w:p>
        </w:tc>
        <w:tc>
          <w:tcPr>
            <w:tcW w:w="988" w:type="dxa"/>
            <w:vAlign w:val="bottom"/>
          </w:tcPr>
          <w:p w:rsidR="00A86411" w:rsidRPr="00C003FA" w:rsidRDefault="00A86411" w:rsidP="00A4689B">
            <w:pPr>
              <w:tabs>
                <w:tab w:val="decimal" w:pos="734"/>
              </w:tabs>
              <w:jc w:val="left"/>
              <w:rPr>
                <w:sz w:val="18"/>
              </w:rPr>
            </w:pPr>
            <w:r w:rsidRPr="00C003FA">
              <w:rPr>
                <w:sz w:val="18"/>
              </w:rPr>
              <w:t>110,218</w:t>
            </w:r>
          </w:p>
        </w:tc>
        <w:tc>
          <w:tcPr>
            <w:tcW w:w="990" w:type="dxa"/>
            <w:vAlign w:val="bottom"/>
          </w:tcPr>
          <w:p w:rsidR="00A86411" w:rsidRPr="00C003FA" w:rsidRDefault="00A86411" w:rsidP="00A4689B">
            <w:pPr>
              <w:tabs>
                <w:tab w:val="decimal" w:pos="734"/>
              </w:tabs>
              <w:jc w:val="left"/>
              <w:rPr>
                <w:sz w:val="18"/>
              </w:rPr>
            </w:pPr>
            <w:r w:rsidRPr="00C003FA">
              <w:rPr>
                <w:sz w:val="18"/>
              </w:rPr>
              <w:t>110,913</w:t>
            </w:r>
          </w:p>
        </w:tc>
        <w:tc>
          <w:tcPr>
            <w:tcW w:w="990" w:type="dxa"/>
            <w:vAlign w:val="bottom"/>
          </w:tcPr>
          <w:p w:rsidR="00A86411" w:rsidRPr="00C003FA" w:rsidRDefault="00A86411" w:rsidP="00A4689B">
            <w:pPr>
              <w:tabs>
                <w:tab w:val="decimal" w:pos="734"/>
              </w:tabs>
              <w:jc w:val="left"/>
              <w:rPr>
                <w:sz w:val="18"/>
              </w:rPr>
            </w:pPr>
            <w:r w:rsidRPr="00C003FA">
              <w:rPr>
                <w:sz w:val="18"/>
              </w:rPr>
              <w:t>111,582</w:t>
            </w:r>
          </w:p>
        </w:tc>
        <w:tc>
          <w:tcPr>
            <w:tcW w:w="845" w:type="dxa"/>
            <w:vAlign w:val="bottom"/>
          </w:tcPr>
          <w:p w:rsidR="00A86411" w:rsidRPr="00C003FA" w:rsidRDefault="00A86411" w:rsidP="00A4689B">
            <w:pPr>
              <w:tabs>
                <w:tab w:val="decimal" w:pos="284"/>
              </w:tabs>
              <w:jc w:val="left"/>
              <w:rPr>
                <w:sz w:val="18"/>
              </w:rPr>
            </w:pPr>
            <w:r w:rsidRPr="00C003FA">
              <w:rPr>
                <w:sz w:val="18"/>
              </w:rPr>
              <w:t>0.6</w:t>
            </w:r>
          </w:p>
        </w:tc>
      </w:tr>
      <w:tr w:rsidR="00A86411" w:rsidRPr="00C003FA" w:rsidTr="00A4689B">
        <w:trPr>
          <w:jc w:val="center"/>
        </w:trPr>
        <w:tc>
          <w:tcPr>
            <w:tcW w:w="3556" w:type="dxa"/>
            <w:vAlign w:val="bottom"/>
          </w:tcPr>
          <w:p w:rsidR="00A86411" w:rsidRPr="00C003FA" w:rsidRDefault="00A86411" w:rsidP="00A4689B">
            <w:pPr>
              <w:ind w:left="283" w:hanging="180"/>
              <w:jc w:val="left"/>
              <w:rPr>
                <w:sz w:val="18"/>
              </w:rPr>
            </w:pPr>
            <w:r w:rsidRPr="00C003FA">
              <w:rPr>
                <w:sz w:val="18"/>
              </w:rPr>
              <w:t>Retail Trade</w:t>
            </w:r>
          </w:p>
        </w:tc>
        <w:tc>
          <w:tcPr>
            <w:tcW w:w="991" w:type="dxa"/>
            <w:vAlign w:val="bottom"/>
          </w:tcPr>
          <w:p w:rsidR="00A86411" w:rsidRPr="00C003FA" w:rsidRDefault="00A86411" w:rsidP="00A4689B">
            <w:pPr>
              <w:tabs>
                <w:tab w:val="decimal" w:pos="734"/>
              </w:tabs>
              <w:jc w:val="left"/>
              <w:rPr>
                <w:sz w:val="18"/>
              </w:rPr>
            </w:pPr>
            <w:r w:rsidRPr="00C003FA">
              <w:rPr>
                <w:sz w:val="18"/>
              </w:rPr>
              <w:t>263,104</w:t>
            </w:r>
          </w:p>
        </w:tc>
        <w:tc>
          <w:tcPr>
            <w:tcW w:w="989" w:type="dxa"/>
            <w:vAlign w:val="bottom"/>
          </w:tcPr>
          <w:p w:rsidR="00A86411" w:rsidRPr="00C003FA" w:rsidRDefault="00A86411" w:rsidP="00A4689B">
            <w:pPr>
              <w:tabs>
                <w:tab w:val="decimal" w:pos="734"/>
              </w:tabs>
              <w:jc w:val="left"/>
              <w:rPr>
                <w:sz w:val="18"/>
              </w:rPr>
            </w:pPr>
            <w:r w:rsidRPr="00C003FA">
              <w:rPr>
                <w:sz w:val="18"/>
              </w:rPr>
              <w:t>269,032</w:t>
            </w:r>
          </w:p>
        </w:tc>
        <w:tc>
          <w:tcPr>
            <w:tcW w:w="988" w:type="dxa"/>
            <w:vAlign w:val="bottom"/>
          </w:tcPr>
          <w:p w:rsidR="00A86411" w:rsidRPr="00C003FA" w:rsidRDefault="00A86411" w:rsidP="00A4689B">
            <w:pPr>
              <w:tabs>
                <w:tab w:val="decimal" w:pos="734"/>
              </w:tabs>
              <w:jc w:val="left"/>
              <w:rPr>
                <w:sz w:val="18"/>
              </w:rPr>
            </w:pPr>
            <w:r w:rsidRPr="00C003FA">
              <w:rPr>
                <w:sz w:val="18"/>
              </w:rPr>
              <w:t>270,783</w:t>
            </w:r>
          </w:p>
        </w:tc>
        <w:tc>
          <w:tcPr>
            <w:tcW w:w="988" w:type="dxa"/>
            <w:vAlign w:val="bottom"/>
          </w:tcPr>
          <w:p w:rsidR="00A86411" w:rsidRPr="00C003FA" w:rsidRDefault="00A86411" w:rsidP="00A4689B">
            <w:pPr>
              <w:tabs>
                <w:tab w:val="decimal" w:pos="734"/>
              </w:tabs>
              <w:jc w:val="left"/>
              <w:rPr>
                <w:sz w:val="18"/>
              </w:rPr>
            </w:pPr>
            <w:r w:rsidRPr="00C003FA">
              <w:rPr>
                <w:sz w:val="18"/>
              </w:rPr>
              <w:t>272,644</w:t>
            </w:r>
          </w:p>
        </w:tc>
        <w:tc>
          <w:tcPr>
            <w:tcW w:w="988" w:type="dxa"/>
            <w:vAlign w:val="bottom"/>
          </w:tcPr>
          <w:p w:rsidR="00A86411" w:rsidRPr="00C003FA" w:rsidRDefault="00A86411" w:rsidP="00A4689B">
            <w:pPr>
              <w:tabs>
                <w:tab w:val="decimal" w:pos="734"/>
              </w:tabs>
              <w:jc w:val="left"/>
              <w:rPr>
                <w:sz w:val="18"/>
              </w:rPr>
            </w:pPr>
            <w:r w:rsidRPr="00C003FA">
              <w:rPr>
                <w:sz w:val="18"/>
              </w:rPr>
              <w:t>272,176</w:t>
            </w:r>
          </w:p>
        </w:tc>
        <w:tc>
          <w:tcPr>
            <w:tcW w:w="990" w:type="dxa"/>
            <w:vAlign w:val="bottom"/>
          </w:tcPr>
          <w:p w:rsidR="00A86411" w:rsidRPr="00C003FA" w:rsidRDefault="00A86411" w:rsidP="00A4689B">
            <w:pPr>
              <w:tabs>
                <w:tab w:val="decimal" w:pos="734"/>
              </w:tabs>
              <w:jc w:val="left"/>
              <w:rPr>
                <w:sz w:val="18"/>
              </w:rPr>
            </w:pPr>
            <w:r w:rsidRPr="00C003FA">
              <w:rPr>
                <w:sz w:val="18"/>
              </w:rPr>
              <w:t>271,230</w:t>
            </w:r>
          </w:p>
        </w:tc>
        <w:tc>
          <w:tcPr>
            <w:tcW w:w="990" w:type="dxa"/>
            <w:vAlign w:val="bottom"/>
          </w:tcPr>
          <w:p w:rsidR="00A86411" w:rsidRPr="00C003FA" w:rsidRDefault="00A86411" w:rsidP="00A4689B">
            <w:pPr>
              <w:tabs>
                <w:tab w:val="decimal" w:pos="734"/>
              </w:tabs>
              <w:jc w:val="left"/>
              <w:rPr>
                <w:sz w:val="18"/>
              </w:rPr>
            </w:pPr>
            <w:r w:rsidRPr="00C003FA">
              <w:rPr>
                <w:sz w:val="18"/>
              </w:rPr>
              <w:t>277,157</w:t>
            </w:r>
          </w:p>
        </w:tc>
        <w:tc>
          <w:tcPr>
            <w:tcW w:w="845" w:type="dxa"/>
            <w:vAlign w:val="bottom"/>
          </w:tcPr>
          <w:p w:rsidR="00A86411" w:rsidRPr="00C003FA" w:rsidRDefault="00A86411" w:rsidP="00A4689B">
            <w:pPr>
              <w:tabs>
                <w:tab w:val="decimal" w:pos="284"/>
              </w:tabs>
              <w:jc w:val="left"/>
              <w:rPr>
                <w:sz w:val="18"/>
              </w:rPr>
            </w:pPr>
            <w:r w:rsidRPr="00C003FA">
              <w:rPr>
                <w:sz w:val="18"/>
              </w:rPr>
              <w:t>2.2</w:t>
            </w:r>
          </w:p>
        </w:tc>
      </w:tr>
      <w:tr w:rsidR="00A86411" w:rsidRPr="00C003FA" w:rsidTr="00A4689B">
        <w:trPr>
          <w:jc w:val="center"/>
        </w:trPr>
        <w:tc>
          <w:tcPr>
            <w:tcW w:w="3556" w:type="dxa"/>
            <w:vAlign w:val="bottom"/>
          </w:tcPr>
          <w:p w:rsidR="00A86411" w:rsidRPr="00C003FA" w:rsidRDefault="00A86411" w:rsidP="00A4689B">
            <w:pPr>
              <w:ind w:left="283" w:hanging="180"/>
              <w:jc w:val="left"/>
              <w:rPr>
                <w:sz w:val="18"/>
              </w:rPr>
            </w:pPr>
            <w:r w:rsidRPr="00C003FA">
              <w:rPr>
                <w:sz w:val="18"/>
              </w:rPr>
              <w:t>Transportation and Warehousing</w:t>
            </w:r>
          </w:p>
        </w:tc>
        <w:tc>
          <w:tcPr>
            <w:tcW w:w="991" w:type="dxa"/>
            <w:vAlign w:val="bottom"/>
          </w:tcPr>
          <w:p w:rsidR="00A86411" w:rsidRPr="00C003FA" w:rsidRDefault="00A86411" w:rsidP="00A4689B">
            <w:pPr>
              <w:tabs>
                <w:tab w:val="decimal" w:pos="734"/>
              </w:tabs>
              <w:jc w:val="left"/>
              <w:rPr>
                <w:sz w:val="18"/>
              </w:rPr>
            </w:pPr>
            <w:r w:rsidRPr="00C003FA">
              <w:rPr>
                <w:sz w:val="18"/>
              </w:rPr>
              <w:t>67,287</w:t>
            </w:r>
          </w:p>
        </w:tc>
        <w:tc>
          <w:tcPr>
            <w:tcW w:w="989" w:type="dxa"/>
            <w:vAlign w:val="bottom"/>
          </w:tcPr>
          <w:p w:rsidR="00A86411" w:rsidRPr="00C003FA" w:rsidRDefault="00A86411" w:rsidP="00A4689B">
            <w:pPr>
              <w:tabs>
                <w:tab w:val="decimal" w:pos="734"/>
              </w:tabs>
              <w:jc w:val="left"/>
              <w:rPr>
                <w:sz w:val="18"/>
              </w:rPr>
            </w:pPr>
            <w:r w:rsidRPr="00C003FA">
              <w:rPr>
                <w:sz w:val="18"/>
              </w:rPr>
              <w:t>68,327</w:t>
            </w:r>
          </w:p>
        </w:tc>
        <w:tc>
          <w:tcPr>
            <w:tcW w:w="988" w:type="dxa"/>
            <w:vAlign w:val="bottom"/>
          </w:tcPr>
          <w:p w:rsidR="00A86411" w:rsidRPr="00C003FA" w:rsidRDefault="00A86411" w:rsidP="00A4689B">
            <w:pPr>
              <w:tabs>
                <w:tab w:val="decimal" w:pos="734"/>
              </w:tabs>
              <w:jc w:val="left"/>
              <w:rPr>
                <w:sz w:val="18"/>
              </w:rPr>
            </w:pPr>
            <w:r w:rsidRPr="00C003FA">
              <w:rPr>
                <w:sz w:val="18"/>
              </w:rPr>
              <w:t>72,554</w:t>
            </w:r>
          </w:p>
        </w:tc>
        <w:tc>
          <w:tcPr>
            <w:tcW w:w="988" w:type="dxa"/>
            <w:vAlign w:val="bottom"/>
          </w:tcPr>
          <w:p w:rsidR="00A86411" w:rsidRPr="00C003FA" w:rsidRDefault="00A86411" w:rsidP="00A4689B">
            <w:pPr>
              <w:tabs>
                <w:tab w:val="decimal" w:pos="734"/>
              </w:tabs>
              <w:jc w:val="left"/>
              <w:rPr>
                <w:sz w:val="18"/>
              </w:rPr>
            </w:pPr>
            <w:r w:rsidRPr="00C003FA">
              <w:rPr>
                <w:sz w:val="18"/>
              </w:rPr>
              <w:t>77,469</w:t>
            </w:r>
          </w:p>
        </w:tc>
        <w:tc>
          <w:tcPr>
            <w:tcW w:w="988" w:type="dxa"/>
            <w:vAlign w:val="bottom"/>
          </w:tcPr>
          <w:p w:rsidR="00A86411" w:rsidRPr="00C003FA" w:rsidRDefault="00A86411" w:rsidP="00A4689B">
            <w:pPr>
              <w:tabs>
                <w:tab w:val="decimal" w:pos="734"/>
              </w:tabs>
              <w:jc w:val="left"/>
              <w:rPr>
                <w:sz w:val="18"/>
              </w:rPr>
            </w:pPr>
            <w:r w:rsidRPr="00C003FA">
              <w:rPr>
                <w:sz w:val="18"/>
              </w:rPr>
              <w:t>83,417</w:t>
            </w:r>
          </w:p>
        </w:tc>
        <w:tc>
          <w:tcPr>
            <w:tcW w:w="990" w:type="dxa"/>
            <w:vAlign w:val="bottom"/>
          </w:tcPr>
          <w:p w:rsidR="00A86411" w:rsidRPr="00C003FA" w:rsidRDefault="00A86411" w:rsidP="00A4689B">
            <w:pPr>
              <w:tabs>
                <w:tab w:val="decimal" w:pos="734"/>
              </w:tabs>
              <w:jc w:val="left"/>
              <w:rPr>
                <w:sz w:val="18"/>
              </w:rPr>
            </w:pPr>
            <w:r w:rsidRPr="00C003FA">
              <w:rPr>
                <w:sz w:val="18"/>
              </w:rPr>
              <w:t>83,358</w:t>
            </w:r>
          </w:p>
        </w:tc>
        <w:tc>
          <w:tcPr>
            <w:tcW w:w="990" w:type="dxa"/>
            <w:vAlign w:val="bottom"/>
          </w:tcPr>
          <w:p w:rsidR="00A86411" w:rsidRPr="00C003FA" w:rsidRDefault="00A86411" w:rsidP="00A4689B">
            <w:pPr>
              <w:tabs>
                <w:tab w:val="decimal" w:pos="734"/>
              </w:tabs>
              <w:jc w:val="left"/>
              <w:rPr>
                <w:sz w:val="18"/>
              </w:rPr>
            </w:pPr>
            <w:r w:rsidRPr="00C003FA">
              <w:rPr>
                <w:sz w:val="18"/>
              </w:rPr>
              <w:t>88,601</w:t>
            </w:r>
          </w:p>
        </w:tc>
        <w:tc>
          <w:tcPr>
            <w:tcW w:w="845" w:type="dxa"/>
            <w:vAlign w:val="bottom"/>
          </w:tcPr>
          <w:p w:rsidR="00A86411" w:rsidRPr="00C003FA" w:rsidRDefault="00A86411" w:rsidP="00A4689B">
            <w:pPr>
              <w:tabs>
                <w:tab w:val="decimal" w:pos="284"/>
              </w:tabs>
              <w:jc w:val="left"/>
              <w:rPr>
                <w:sz w:val="18"/>
              </w:rPr>
            </w:pPr>
            <w:r w:rsidRPr="00C003FA">
              <w:rPr>
                <w:sz w:val="18"/>
              </w:rPr>
              <w:t>6.3</w:t>
            </w:r>
          </w:p>
        </w:tc>
      </w:tr>
      <w:tr w:rsidR="00A86411" w:rsidRPr="00C003FA" w:rsidTr="00A4689B">
        <w:trPr>
          <w:jc w:val="center"/>
        </w:trPr>
        <w:tc>
          <w:tcPr>
            <w:tcW w:w="3556" w:type="dxa"/>
            <w:vAlign w:val="bottom"/>
          </w:tcPr>
          <w:p w:rsidR="00A86411" w:rsidRPr="00C003FA" w:rsidRDefault="00A86411" w:rsidP="00A4689B">
            <w:pPr>
              <w:ind w:left="283" w:hanging="180"/>
              <w:jc w:val="left"/>
              <w:rPr>
                <w:sz w:val="18"/>
              </w:rPr>
            </w:pPr>
            <w:r w:rsidRPr="00C003FA">
              <w:rPr>
                <w:sz w:val="18"/>
              </w:rPr>
              <w:t>Information</w:t>
            </w:r>
          </w:p>
        </w:tc>
        <w:tc>
          <w:tcPr>
            <w:tcW w:w="991" w:type="dxa"/>
            <w:vAlign w:val="bottom"/>
          </w:tcPr>
          <w:p w:rsidR="00A86411" w:rsidRPr="00C003FA" w:rsidRDefault="00A86411" w:rsidP="00A4689B">
            <w:pPr>
              <w:tabs>
                <w:tab w:val="decimal" w:pos="734"/>
              </w:tabs>
              <w:jc w:val="left"/>
              <w:rPr>
                <w:sz w:val="18"/>
              </w:rPr>
            </w:pPr>
            <w:r w:rsidRPr="00C003FA">
              <w:rPr>
                <w:sz w:val="18"/>
              </w:rPr>
              <w:t>70,599</w:t>
            </w:r>
          </w:p>
        </w:tc>
        <w:tc>
          <w:tcPr>
            <w:tcW w:w="989" w:type="dxa"/>
            <w:vAlign w:val="bottom"/>
          </w:tcPr>
          <w:p w:rsidR="00A86411" w:rsidRPr="00C003FA" w:rsidRDefault="00A86411" w:rsidP="00A4689B">
            <w:pPr>
              <w:tabs>
                <w:tab w:val="decimal" w:pos="734"/>
              </w:tabs>
              <w:jc w:val="left"/>
              <w:rPr>
                <w:sz w:val="18"/>
              </w:rPr>
            </w:pPr>
            <w:r w:rsidRPr="00C003FA">
              <w:rPr>
                <w:sz w:val="18"/>
              </w:rPr>
              <w:t>71,730</w:t>
            </w:r>
          </w:p>
        </w:tc>
        <w:tc>
          <w:tcPr>
            <w:tcW w:w="988" w:type="dxa"/>
            <w:vAlign w:val="bottom"/>
          </w:tcPr>
          <w:p w:rsidR="00A86411" w:rsidRPr="00C003FA" w:rsidRDefault="00A86411" w:rsidP="00A4689B">
            <w:pPr>
              <w:tabs>
                <w:tab w:val="decimal" w:pos="734"/>
              </w:tabs>
              <w:jc w:val="left"/>
              <w:rPr>
                <w:sz w:val="18"/>
              </w:rPr>
            </w:pPr>
            <w:r w:rsidRPr="00C003FA">
              <w:rPr>
                <w:sz w:val="18"/>
              </w:rPr>
              <w:t>71,643</w:t>
            </w:r>
          </w:p>
        </w:tc>
        <w:tc>
          <w:tcPr>
            <w:tcW w:w="988" w:type="dxa"/>
            <w:vAlign w:val="bottom"/>
          </w:tcPr>
          <w:p w:rsidR="00A86411" w:rsidRPr="00C003FA" w:rsidRDefault="00A86411" w:rsidP="00A4689B">
            <w:pPr>
              <w:tabs>
                <w:tab w:val="decimal" w:pos="734"/>
              </w:tabs>
              <w:jc w:val="left"/>
              <w:rPr>
                <w:sz w:val="18"/>
              </w:rPr>
            </w:pPr>
            <w:r w:rsidRPr="00C003FA">
              <w:rPr>
                <w:sz w:val="18"/>
              </w:rPr>
              <w:t>74,992</w:t>
            </w:r>
          </w:p>
        </w:tc>
        <w:tc>
          <w:tcPr>
            <w:tcW w:w="988" w:type="dxa"/>
            <w:vAlign w:val="bottom"/>
          </w:tcPr>
          <w:p w:rsidR="00A86411" w:rsidRPr="00C003FA" w:rsidRDefault="00A86411" w:rsidP="00A4689B">
            <w:pPr>
              <w:tabs>
                <w:tab w:val="decimal" w:pos="734"/>
              </w:tabs>
              <w:jc w:val="left"/>
              <w:rPr>
                <w:sz w:val="18"/>
              </w:rPr>
            </w:pPr>
            <w:r w:rsidRPr="00C003FA">
              <w:rPr>
                <w:sz w:val="18"/>
              </w:rPr>
              <w:t>76,296</w:t>
            </w:r>
          </w:p>
        </w:tc>
        <w:tc>
          <w:tcPr>
            <w:tcW w:w="990" w:type="dxa"/>
            <w:vAlign w:val="bottom"/>
          </w:tcPr>
          <w:p w:rsidR="00A86411" w:rsidRPr="00C003FA" w:rsidRDefault="00A86411" w:rsidP="00A4689B">
            <w:pPr>
              <w:tabs>
                <w:tab w:val="decimal" w:pos="734"/>
              </w:tabs>
              <w:jc w:val="left"/>
              <w:rPr>
                <w:sz w:val="18"/>
              </w:rPr>
            </w:pPr>
            <w:r w:rsidRPr="00C003FA">
              <w:rPr>
                <w:sz w:val="18"/>
              </w:rPr>
              <w:t>76,174</w:t>
            </w:r>
          </w:p>
        </w:tc>
        <w:tc>
          <w:tcPr>
            <w:tcW w:w="990" w:type="dxa"/>
            <w:vAlign w:val="bottom"/>
          </w:tcPr>
          <w:p w:rsidR="00A86411" w:rsidRPr="00C003FA" w:rsidRDefault="00A86411" w:rsidP="00A4689B">
            <w:pPr>
              <w:tabs>
                <w:tab w:val="decimal" w:pos="734"/>
              </w:tabs>
              <w:jc w:val="left"/>
              <w:rPr>
                <w:sz w:val="18"/>
              </w:rPr>
            </w:pPr>
            <w:r w:rsidRPr="00C003FA">
              <w:rPr>
                <w:sz w:val="18"/>
              </w:rPr>
              <w:t>77,245</w:t>
            </w:r>
          </w:p>
        </w:tc>
        <w:tc>
          <w:tcPr>
            <w:tcW w:w="845" w:type="dxa"/>
            <w:vAlign w:val="bottom"/>
          </w:tcPr>
          <w:p w:rsidR="00A86411" w:rsidRPr="00C003FA" w:rsidRDefault="00A86411" w:rsidP="00A4689B">
            <w:pPr>
              <w:tabs>
                <w:tab w:val="decimal" w:pos="284"/>
              </w:tabs>
              <w:jc w:val="left"/>
              <w:rPr>
                <w:sz w:val="18"/>
              </w:rPr>
            </w:pPr>
            <w:r w:rsidRPr="00C003FA">
              <w:rPr>
                <w:sz w:val="18"/>
              </w:rPr>
              <w:t>1.4</w:t>
            </w:r>
          </w:p>
        </w:tc>
      </w:tr>
      <w:tr w:rsidR="00A86411" w:rsidRPr="00C003FA" w:rsidTr="00A4689B">
        <w:trPr>
          <w:jc w:val="center"/>
        </w:trPr>
        <w:tc>
          <w:tcPr>
            <w:tcW w:w="3556" w:type="dxa"/>
            <w:vAlign w:val="bottom"/>
          </w:tcPr>
          <w:p w:rsidR="00A86411" w:rsidRPr="00C003FA" w:rsidRDefault="00A86411" w:rsidP="00A4689B">
            <w:pPr>
              <w:ind w:left="283" w:hanging="180"/>
              <w:jc w:val="left"/>
              <w:rPr>
                <w:sz w:val="18"/>
              </w:rPr>
            </w:pPr>
            <w:r w:rsidRPr="00C003FA">
              <w:rPr>
                <w:sz w:val="18"/>
              </w:rPr>
              <w:t>Finance and Insurance</w:t>
            </w:r>
          </w:p>
        </w:tc>
        <w:tc>
          <w:tcPr>
            <w:tcW w:w="991" w:type="dxa"/>
            <w:vAlign w:val="bottom"/>
          </w:tcPr>
          <w:p w:rsidR="00A86411" w:rsidRPr="00C003FA" w:rsidRDefault="00A86411" w:rsidP="00A4689B">
            <w:pPr>
              <w:tabs>
                <w:tab w:val="decimal" w:pos="734"/>
              </w:tabs>
              <w:jc w:val="left"/>
              <w:rPr>
                <w:sz w:val="18"/>
              </w:rPr>
            </w:pPr>
            <w:r w:rsidRPr="00C003FA">
              <w:rPr>
                <w:sz w:val="18"/>
              </w:rPr>
              <w:t>106,344</w:t>
            </w:r>
          </w:p>
        </w:tc>
        <w:tc>
          <w:tcPr>
            <w:tcW w:w="989" w:type="dxa"/>
            <w:vAlign w:val="bottom"/>
          </w:tcPr>
          <w:p w:rsidR="00A86411" w:rsidRPr="00C003FA" w:rsidRDefault="00A86411" w:rsidP="00A4689B">
            <w:pPr>
              <w:tabs>
                <w:tab w:val="decimal" w:pos="734"/>
              </w:tabs>
              <w:jc w:val="left"/>
              <w:rPr>
                <w:sz w:val="18"/>
              </w:rPr>
            </w:pPr>
            <w:r w:rsidRPr="00C003FA">
              <w:rPr>
                <w:sz w:val="18"/>
              </w:rPr>
              <w:t>108,970</w:t>
            </w:r>
          </w:p>
        </w:tc>
        <w:tc>
          <w:tcPr>
            <w:tcW w:w="988" w:type="dxa"/>
            <w:vAlign w:val="bottom"/>
          </w:tcPr>
          <w:p w:rsidR="00A86411" w:rsidRPr="00C003FA" w:rsidRDefault="00A86411" w:rsidP="00A4689B">
            <w:pPr>
              <w:tabs>
                <w:tab w:val="decimal" w:pos="734"/>
              </w:tabs>
              <w:jc w:val="left"/>
              <w:rPr>
                <w:sz w:val="18"/>
              </w:rPr>
            </w:pPr>
            <w:r w:rsidRPr="00C003FA">
              <w:rPr>
                <w:sz w:val="18"/>
              </w:rPr>
              <w:t>111,293</w:t>
            </w:r>
          </w:p>
        </w:tc>
        <w:tc>
          <w:tcPr>
            <w:tcW w:w="988" w:type="dxa"/>
            <w:vAlign w:val="bottom"/>
          </w:tcPr>
          <w:p w:rsidR="00A86411" w:rsidRPr="00C003FA" w:rsidRDefault="00A86411" w:rsidP="00A4689B">
            <w:pPr>
              <w:tabs>
                <w:tab w:val="decimal" w:pos="734"/>
              </w:tabs>
              <w:jc w:val="left"/>
              <w:rPr>
                <w:sz w:val="18"/>
              </w:rPr>
            </w:pPr>
            <w:r w:rsidRPr="00C003FA">
              <w:rPr>
                <w:sz w:val="18"/>
              </w:rPr>
              <w:t>112,624</w:t>
            </w:r>
          </w:p>
        </w:tc>
        <w:tc>
          <w:tcPr>
            <w:tcW w:w="988" w:type="dxa"/>
            <w:vAlign w:val="bottom"/>
          </w:tcPr>
          <w:p w:rsidR="00A86411" w:rsidRPr="00C003FA" w:rsidRDefault="00A86411" w:rsidP="00A4689B">
            <w:pPr>
              <w:tabs>
                <w:tab w:val="decimal" w:pos="734"/>
              </w:tabs>
              <w:jc w:val="left"/>
              <w:rPr>
                <w:sz w:val="18"/>
              </w:rPr>
            </w:pPr>
            <w:r w:rsidRPr="00C003FA">
              <w:rPr>
                <w:sz w:val="18"/>
              </w:rPr>
              <w:t>112,761</w:t>
            </w:r>
          </w:p>
        </w:tc>
        <w:tc>
          <w:tcPr>
            <w:tcW w:w="990" w:type="dxa"/>
            <w:vAlign w:val="bottom"/>
          </w:tcPr>
          <w:p w:rsidR="00A86411" w:rsidRPr="00C003FA" w:rsidRDefault="00A86411" w:rsidP="00A4689B">
            <w:pPr>
              <w:tabs>
                <w:tab w:val="decimal" w:pos="734"/>
              </w:tabs>
              <w:jc w:val="left"/>
              <w:rPr>
                <w:sz w:val="18"/>
              </w:rPr>
            </w:pPr>
            <w:r w:rsidRPr="00C003FA">
              <w:rPr>
                <w:sz w:val="18"/>
              </w:rPr>
              <w:t>112,775</w:t>
            </w:r>
          </w:p>
        </w:tc>
        <w:tc>
          <w:tcPr>
            <w:tcW w:w="990" w:type="dxa"/>
            <w:vAlign w:val="bottom"/>
          </w:tcPr>
          <w:p w:rsidR="00A86411" w:rsidRPr="00C003FA" w:rsidRDefault="00A86411" w:rsidP="00A4689B">
            <w:pPr>
              <w:tabs>
                <w:tab w:val="decimal" w:pos="734"/>
              </w:tabs>
              <w:jc w:val="left"/>
              <w:rPr>
                <w:sz w:val="18"/>
              </w:rPr>
            </w:pPr>
            <w:r w:rsidRPr="00C003FA">
              <w:rPr>
                <w:sz w:val="18"/>
              </w:rPr>
              <w:t>113,068</w:t>
            </w:r>
          </w:p>
        </w:tc>
        <w:tc>
          <w:tcPr>
            <w:tcW w:w="845" w:type="dxa"/>
            <w:vAlign w:val="bottom"/>
          </w:tcPr>
          <w:p w:rsidR="00A86411" w:rsidRPr="00C003FA" w:rsidRDefault="00A86411" w:rsidP="00A4689B">
            <w:pPr>
              <w:tabs>
                <w:tab w:val="decimal" w:pos="284"/>
              </w:tabs>
              <w:jc w:val="left"/>
              <w:rPr>
                <w:sz w:val="18"/>
              </w:rPr>
            </w:pPr>
            <w:r w:rsidRPr="00C003FA">
              <w:rPr>
                <w:sz w:val="18"/>
              </w:rPr>
              <w:t>0.3</w:t>
            </w:r>
          </w:p>
        </w:tc>
      </w:tr>
      <w:tr w:rsidR="00A86411" w:rsidRPr="00C003FA" w:rsidTr="00A4689B">
        <w:trPr>
          <w:jc w:val="center"/>
        </w:trPr>
        <w:tc>
          <w:tcPr>
            <w:tcW w:w="3556" w:type="dxa"/>
            <w:vAlign w:val="bottom"/>
          </w:tcPr>
          <w:p w:rsidR="00A86411" w:rsidRPr="00C003FA" w:rsidRDefault="00A86411" w:rsidP="00A4689B">
            <w:pPr>
              <w:ind w:left="283" w:hanging="180"/>
              <w:jc w:val="left"/>
              <w:rPr>
                <w:sz w:val="18"/>
              </w:rPr>
            </w:pPr>
            <w:r w:rsidRPr="00C003FA">
              <w:rPr>
                <w:sz w:val="18"/>
              </w:rPr>
              <w:t>Real Estate and Rental and Leasing</w:t>
            </w:r>
          </w:p>
        </w:tc>
        <w:tc>
          <w:tcPr>
            <w:tcW w:w="991" w:type="dxa"/>
            <w:vAlign w:val="bottom"/>
          </w:tcPr>
          <w:p w:rsidR="00A86411" w:rsidRPr="00C003FA" w:rsidRDefault="00A86411" w:rsidP="00A4689B">
            <w:pPr>
              <w:tabs>
                <w:tab w:val="decimal" w:pos="734"/>
              </w:tabs>
              <w:jc w:val="left"/>
              <w:rPr>
                <w:sz w:val="18"/>
              </w:rPr>
            </w:pPr>
            <w:r w:rsidRPr="00C003FA">
              <w:rPr>
                <w:sz w:val="18"/>
              </w:rPr>
              <w:t>46,944</w:t>
            </w:r>
          </w:p>
        </w:tc>
        <w:tc>
          <w:tcPr>
            <w:tcW w:w="989" w:type="dxa"/>
            <w:vAlign w:val="bottom"/>
          </w:tcPr>
          <w:p w:rsidR="00A86411" w:rsidRPr="00C003FA" w:rsidRDefault="00A86411" w:rsidP="00A4689B">
            <w:pPr>
              <w:tabs>
                <w:tab w:val="decimal" w:pos="734"/>
              </w:tabs>
              <w:jc w:val="left"/>
              <w:rPr>
                <w:sz w:val="18"/>
              </w:rPr>
            </w:pPr>
            <w:r w:rsidRPr="00C003FA">
              <w:rPr>
                <w:sz w:val="18"/>
              </w:rPr>
              <w:t>48,707</w:t>
            </w:r>
          </w:p>
        </w:tc>
        <w:tc>
          <w:tcPr>
            <w:tcW w:w="988" w:type="dxa"/>
            <w:vAlign w:val="bottom"/>
          </w:tcPr>
          <w:p w:rsidR="00A86411" w:rsidRPr="00C003FA" w:rsidRDefault="00A86411" w:rsidP="00A4689B">
            <w:pPr>
              <w:tabs>
                <w:tab w:val="decimal" w:pos="734"/>
              </w:tabs>
              <w:jc w:val="left"/>
              <w:rPr>
                <w:sz w:val="18"/>
              </w:rPr>
            </w:pPr>
            <w:r w:rsidRPr="00C003FA">
              <w:rPr>
                <w:sz w:val="18"/>
              </w:rPr>
              <w:t>50,566</w:t>
            </w:r>
          </w:p>
        </w:tc>
        <w:tc>
          <w:tcPr>
            <w:tcW w:w="988" w:type="dxa"/>
            <w:vAlign w:val="bottom"/>
          </w:tcPr>
          <w:p w:rsidR="00A86411" w:rsidRPr="00C003FA" w:rsidRDefault="00A86411" w:rsidP="00A4689B">
            <w:pPr>
              <w:tabs>
                <w:tab w:val="decimal" w:pos="734"/>
              </w:tabs>
              <w:jc w:val="left"/>
              <w:rPr>
                <w:sz w:val="18"/>
              </w:rPr>
            </w:pPr>
            <w:r w:rsidRPr="00C003FA">
              <w:rPr>
                <w:sz w:val="18"/>
              </w:rPr>
              <w:t>52,152</w:t>
            </w:r>
          </w:p>
        </w:tc>
        <w:tc>
          <w:tcPr>
            <w:tcW w:w="988" w:type="dxa"/>
            <w:vAlign w:val="bottom"/>
          </w:tcPr>
          <w:p w:rsidR="00A86411" w:rsidRPr="00C003FA" w:rsidRDefault="00A86411" w:rsidP="00A4689B">
            <w:pPr>
              <w:tabs>
                <w:tab w:val="decimal" w:pos="734"/>
              </w:tabs>
              <w:jc w:val="left"/>
              <w:rPr>
                <w:sz w:val="18"/>
              </w:rPr>
            </w:pPr>
            <w:r w:rsidRPr="00C003FA">
              <w:rPr>
                <w:sz w:val="18"/>
              </w:rPr>
              <w:t>54,474</w:t>
            </w:r>
          </w:p>
        </w:tc>
        <w:tc>
          <w:tcPr>
            <w:tcW w:w="990" w:type="dxa"/>
            <w:vAlign w:val="bottom"/>
          </w:tcPr>
          <w:p w:rsidR="00A86411" w:rsidRPr="00C003FA" w:rsidRDefault="00A86411" w:rsidP="00A4689B">
            <w:pPr>
              <w:tabs>
                <w:tab w:val="decimal" w:pos="734"/>
              </w:tabs>
              <w:jc w:val="left"/>
              <w:rPr>
                <w:sz w:val="18"/>
              </w:rPr>
            </w:pPr>
            <w:r w:rsidRPr="00C003FA">
              <w:rPr>
                <w:sz w:val="18"/>
              </w:rPr>
              <w:t>55,072</w:t>
            </w:r>
          </w:p>
        </w:tc>
        <w:tc>
          <w:tcPr>
            <w:tcW w:w="990" w:type="dxa"/>
            <w:vAlign w:val="bottom"/>
          </w:tcPr>
          <w:p w:rsidR="00A86411" w:rsidRPr="00C003FA" w:rsidRDefault="00A86411" w:rsidP="00A4689B">
            <w:pPr>
              <w:tabs>
                <w:tab w:val="decimal" w:pos="734"/>
              </w:tabs>
              <w:jc w:val="left"/>
              <w:rPr>
                <w:sz w:val="18"/>
              </w:rPr>
            </w:pPr>
            <w:r w:rsidRPr="00C003FA">
              <w:rPr>
                <w:sz w:val="18"/>
              </w:rPr>
              <w:t>55,567</w:t>
            </w:r>
          </w:p>
        </w:tc>
        <w:tc>
          <w:tcPr>
            <w:tcW w:w="845" w:type="dxa"/>
            <w:vAlign w:val="bottom"/>
          </w:tcPr>
          <w:p w:rsidR="00A86411" w:rsidRPr="00C003FA" w:rsidRDefault="00A86411" w:rsidP="00A4689B">
            <w:pPr>
              <w:tabs>
                <w:tab w:val="decimal" w:pos="284"/>
              </w:tabs>
              <w:jc w:val="left"/>
              <w:rPr>
                <w:sz w:val="18"/>
              </w:rPr>
            </w:pPr>
            <w:r w:rsidRPr="00C003FA">
              <w:rPr>
                <w:sz w:val="18"/>
              </w:rPr>
              <w:t>0.9</w:t>
            </w:r>
          </w:p>
        </w:tc>
      </w:tr>
      <w:tr w:rsidR="00A86411" w:rsidRPr="00C003FA" w:rsidTr="00A4689B">
        <w:trPr>
          <w:jc w:val="center"/>
        </w:trPr>
        <w:tc>
          <w:tcPr>
            <w:tcW w:w="3556" w:type="dxa"/>
            <w:vAlign w:val="bottom"/>
          </w:tcPr>
          <w:p w:rsidR="00A86411" w:rsidRPr="00C003FA" w:rsidRDefault="00A86411" w:rsidP="00A4689B">
            <w:pPr>
              <w:ind w:left="283" w:hanging="180"/>
              <w:jc w:val="left"/>
              <w:rPr>
                <w:sz w:val="18"/>
              </w:rPr>
            </w:pPr>
            <w:r w:rsidRPr="00C003FA">
              <w:rPr>
                <w:sz w:val="18"/>
              </w:rPr>
              <w:t>Professional and Technical Services</w:t>
            </w:r>
          </w:p>
        </w:tc>
        <w:tc>
          <w:tcPr>
            <w:tcW w:w="991" w:type="dxa"/>
            <w:vAlign w:val="bottom"/>
          </w:tcPr>
          <w:p w:rsidR="00A86411" w:rsidRPr="00C003FA" w:rsidRDefault="00A86411" w:rsidP="00A4689B">
            <w:pPr>
              <w:tabs>
                <w:tab w:val="decimal" w:pos="734"/>
              </w:tabs>
              <w:jc w:val="left"/>
              <w:rPr>
                <w:sz w:val="18"/>
              </w:rPr>
            </w:pPr>
            <w:r w:rsidRPr="00C003FA">
              <w:rPr>
                <w:sz w:val="18"/>
              </w:rPr>
              <w:t>204,586</w:t>
            </w:r>
          </w:p>
        </w:tc>
        <w:tc>
          <w:tcPr>
            <w:tcW w:w="989" w:type="dxa"/>
            <w:vAlign w:val="bottom"/>
          </w:tcPr>
          <w:p w:rsidR="00A86411" w:rsidRPr="00C003FA" w:rsidRDefault="00A86411" w:rsidP="00A4689B">
            <w:pPr>
              <w:tabs>
                <w:tab w:val="decimal" w:pos="734"/>
              </w:tabs>
              <w:jc w:val="left"/>
              <w:rPr>
                <w:sz w:val="18"/>
              </w:rPr>
            </w:pPr>
            <w:r w:rsidRPr="00C003FA">
              <w:rPr>
                <w:sz w:val="18"/>
              </w:rPr>
              <w:t>210,093</w:t>
            </w:r>
          </w:p>
        </w:tc>
        <w:tc>
          <w:tcPr>
            <w:tcW w:w="988" w:type="dxa"/>
            <w:vAlign w:val="bottom"/>
          </w:tcPr>
          <w:p w:rsidR="00A86411" w:rsidRPr="00C003FA" w:rsidRDefault="00A86411" w:rsidP="00A4689B">
            <w:pPr>
              <w:tabs>
                <w:tab w:val="decimal" w:pos="734"/>
              </w:tabs>
              <w:jc w:val="left"/>
              <w:rPr>
                <w:sz w:val="18"/>
              </w:rPr>
            </w:pPr>
            <w:r w:rsidRPr="00C003FA">
              <w:rPr>
                <w:sz w:val="18"/>
              </w:rPr>
              <w:t>215,783</w:t>
            </w:r>
          </w:p>
        </w:tc>
        <w:tc>
          <w:tcPr>
            <w:tcW w:w="988" w:type="dxa"/>
            <w:vAlign w:val="bottom"/>
          </w:tcPr>
          <w:p w:rsidR="00A86411" w:rsidRPr="00C003FA" w:rsidRDefault="00A86411" w:rsidP="00A4689B">
            <w:pPr>
              <w:tabs>
                <w:tab w:val="decimal" w:pos="734"/>
              </w:tabs>
              <w:jc w:val="left"/>
              <w:rPr>
                <w:sz w:val="18"/>
              </w:rPr>
            </w:pPr>
            <w:r w:rsidRPr="00C003FA">
              <w:rPr>
                <w:sz w:val="18"/>
              </w:rPr>
              <w:t>224,620</w:t>
            </w:r>
          </w:p>
        </w:tc>
        <w:tc>
          <w:tcPr>
            <w:tcW w:w="988" w:type="dxa"/>
            <w:vAlign w:val="bottom"/>
          </w:tcPr>
          <w:p w:rsidR="00A86411" w:rsidRPr="00C003FA" w:rsidRDefault="00A86411" w:rsidP="00A4689B">
            <w:pPr>
              <w:tabs>
                <w:tab w:val="decimal" w:pos="734"/>
              </w:tabs>
              <w:jc w:val="left"/>
              <w:rPr>
                <w:sz w:val="18"/>
              </w:rPr>
            </w:pPr>
            <w:r w:rsidRPr="00C003FA">
              <w:rPr>
                <w:sz w:val="18"/>
              </w:rPr>
              <w:t>235,424</w:t>
            </w:r>
          </w:p>
        </w:tc>
        <w:tc>
          <w:tcPr>
            <w:tcW w:w="990" w:type="dxa"/>
            <w:vAlign w:val="bottom"/>
          </w:tcPr>
          <w:p w:rsidR="00A86411" w:rsidRPr="00C003FA" w:rsidRDefault="00A86411" w:rsidP="00A4689B">
            <w:pPr>
              <w:tabs>
                <w:tab w:val="decimal" w:pos="734"/>
              </w:tabs>
              <w:jc w:val="left"/>
              <w:rPr>
                <w:sz w:val="18"/>
              </w:rPr>
            </w:pPr>
            <w:r w:rsidRPr="00C003FA">
              <w:rPr>
                <w:sz w:val="18"/>
              </w:rPr>
              <w:t>237,358</w:t>
            </w:r>
          </w:p>
        </w:tc>
        <w:tc>
          <w:tcPr>
            <w:tcW w:w="990" w:type="dxa"/>
            <w:vAlign w:val="bottom"/>
          </w:tcPr>
          <w:p w:rsidR="00A86411" w:rsidRPr="00C003FA" w:rsidRDefault="00A86411" w:rsidP="00A4689B">
            <w:pPr>
              <w:tabs>
                <w:tab w:val="decimal" w:pos="734"/>
              </w:tabs>
              <w:jc w:val="left"/>
              <w:rPr>
                <w:sz w:val="18"/>
              </w:rPr>
            </w:pPr>
            <w:r w:rsidRPr="00C003FA">
              <w:rPr>
                <w:sz w:val="18"/>
              </w:rPr>
              <w:t>240,765</w:t>
            </w:r>
          </w:p>
        </w:tc>
        <w:tc>
          <w:tcPr>
            <w:tcW w:w="845" w:type="dxa"/>
            <w:vAlign w:val="bottom"/>
          </w:tcPr>
          <w:p w:rsidR="00A86411" w:rsidRPr="00C003FA" w:rsidRDefault="00A86411" w:rsidP="00A4689B">
            <w:pPr>
              <w:tabs>
                <w:tab w:val="decimal" w:pos="284"/>
              </w:tabs>
              <w:jc w:val="left"/>
              <w:rPr>
                <w:sz w:val="18"/>
              </w:rPr>
            </w:pPr>
            <w:r w:rsidRPr="00C003FA">
              <w:rPr>
                <w:sz w:val="18"/>
              </w:rPr>
              <w:t>1.4</w:t>
            </w:r>
          </w:p>
        </w:tc>
      </w:tr>
      <w:tr w:rsidR="00A86411" w:rsidRPr="00C003FA" w:rsidTr="00A4689B">
        <w:trPr>
          <w:jc w:val="center"/>
        </w:trPr>
        <w:tc>
          <w:tcPr>
            <w:tcW w:w="3556" w:type="dxa"/>
            <w:vAlign w:val="bottom"/>
          </w:tcPr>
          <w:p w:rsidR="00A86411" w:rsidRPr="00C003FA" w:rsidRDefault="00A86411" w:rsidP="00A4689B">
            <w:pPr>
              <w:ind w:left="283" w:hanging="180"/>
              <w:jc w:val="left"/>
              <w:rPr>
                <w:sz w:val="18"/>
              </w:rPr>
            </w:pPr>
            <w:r w:rsidRPr="00C003FA">
              <w:rPr>
                <w:sz w:val="18"/>
              </w:rPr>
              <w:t>Management of Companies and Enterprises</w:t>
            </w:r>
          </w:p>
        </w:tc>
        <w:tc>
          <w:tcPr>
            <w:tcW w:w="991" w:type="dxa"/>
            <w:vAlign w:val="bottom"/>
          </w:tcPr>
          <w:p w:rsidR="00A86411" w:rsidRPr="00C003FA" w:rsidRDefault="00A86411" w:rsidP="00A4689B">
            <w:pPr>
              <w:tabs>
                <w:tab w:val="decimal" w:pos="734"/>
              </w:tabs>
              <w:jc w:val="left"/>
              <w:rPr>
                <w:sz w:val="18"/>
              </w:rPr>
            </w:pPr>
            <w:r w:rsidRPr="00C003FA">
              <w:rPr>
                <w:sz w:val="18"/>
              </w:rPr>
              <w:t>36,488</w:t>
            </w:r>
          </w:p>
        </w:tc>
        <w:tc>
          <w:tcPr>
            <w:tcW w:w="989" w:type="dxa"/>
            <w:vAlign w:val="bottom"/>
          </w:tcPr>
          <w:p w:rsidR="00A86411" w:rsidRPr="00C003FA" w:rsidRDefault="00A86411" w:rsidP="00A4689B">
            <w:pPr>
              <w:tabs>
                <w:tab w:val="decimal" w:pos="734"/>
              </w:tabs>
              <w:jc w:val="left"/>
              <w:rPr>
                <w:sz w:val="18"/>
              </w:rPr>
            </w:pPr>
            <w:r w:rsidRPr="00C003FA">
              <w:rPr>
                <w:sz w:val="18"/>
              </w:rPr>
              <w:t>36,833</w:t>
            </w:r>
          </w:p>
        </w:tc>
        <w:tc>
          <w:tcPr>
            <w:tcW w:w="988" w:type="dxa"/>
            <w:vAlign w:val="bottom"/>
          </w:tcPr>
          <w:p w:rsidR="00A86411" w:rsidRPr="00C003FA" w:rsidRDefault="00A86411" w:rsidP="00A4689B">
            <w:pPr>
              <w:tabs>
                <w:tab w:val="decimal" w:pos="734"/>
              </w:tabs>
              <w:jc w:val="left"/>
              <w:rPr>
                <w:sz w:val="18"/>
              </w:rPr>
            </w:pPr>
            <w:r w:rsidRPr="00C003FA">
              <w:rPr>
                <w:sz w:val="18"/>
              </w:rPr>
              <w:t>39,018</w:t>
            </w:r>
          </w:p>
        </w:tc>
        <w:tc>
          <w:tcPr>
            <w:tcW w:w="988" w:type="dxa"/>
            <w:vAlign w:val="bottom"/>
          </w:tcPr>
          <w:p w:rsidR="00A86411" w:rsidRPr="00C003FA" w:rsidRDefault="00A86411" w:rsidP="00A4689B">
            <w:pPr>
              <w:tabs>
                <w:tab w:val="decimal" w:pos="734"/>
              </w:tabs>
              <w:jc w:val="left"/>
              <w:rPr>
                <w:sz w:val="18"/>
              </w:rPr>
            </w:pPr>
            <w:r w:rsidRPr="00C003FA">
              <w:rPr>
                <w:sz w:val="18"/>
              </w:rPr>
              <w:t>40,839</w:t>
            </w:r>
          </w:p>
        </w:tc>
        <w:tc>
          <w:tcPr>
            <w:tcW w:w="988" w:type="dxa"/>
            <w:vAlign w:val="bottom"/>
          </w:tcPr>
          <w:p w:rsidR="00A86411" w:rsidRPr="00C003FA" w:rsidRDefault="00A86411" w:rsidP="00A4689B">
            <w:pPr>
              <w:tabs>
                <w:tab w:val="decimal" w:pos="734"/>
              </w:tabs>
              <w:jc w:val="left"/>
              <w:rPr>
                <w:sz w:val="18"/>
              </w:rPr>
            </w:pPr>
            <w:r w:rsidRPr="00C003FA">
              <w:rPr>
                <w:sz w:val="18"/>
              </w:rPr>
              <w:t>42,317</w:t>
            </w:r>
          </w:p>
        </w:tc>
        <w:tc>
          <w:tcPr>
            <w:tcW w:w="990" w:type="dxa"/>
            <w:vAlign w:val="bottom"/>
          </w:tcPr>
          <w:p w:rsidR="00A86411" w:rsidRPr="00C003FA" w:rsidRDefault="00A86411" w:rsidP="00A4689B">
            <w:pPr>
              <w:tabs>
                <w:tab w:val="decimal" w:pos="734"/>
              </w:tabs>
              <w:jc w:val="left"/>
              <w:rPr>
                <w:sz w:val="18"/>
              </w:rPr>
            </w:pPr>
            <w:r w:rsidRPr="00C003FA">
              <w:rPr>
                <w:sz w:val="18"/>
              </w:rPr>
              <w:t>72,756</w:t>
            </w:r>
          </w:p>
        </w:tc>
        <w:tc>
          <w:tcPr>
            <w:tcW w:w="990" w:type="dxa"/>
            <w:vAlign w:val="bottom"/>
          </w:tcPr>
          <w:p w:rsidR="00A86411" w:rsidRPr="00C003FA" w:rsidRDefault="00A86411" w:rsidP="00A4689B">
            <w:pPr>
              <w:tabs>
                <w:tab w:val="decimal" w:pos="734"/>
              </w:tabs>
              <w:jc w:val="left"/>
              <w:rPr>
                <w:sz w:val="18"/>
              </w:rPr>
            </w:pPr>
            <w:r w:rsidRPr="00C003FA">
              <w:rPr>
                <w:sz w:val="18"/>
              </w:rPr>
              <w:t>42,897</w:t>
            </w:r>
          </w:p>
        </w:tc>
        <w:tc>
          <w:tcPr>
            <w:tcW w:w="845" w:type="dxa"/>
            <w:vAlign w:val="bottom"/>
          </w:tcPr>
          <w:p w:rsidR="00A86411" w:rsidRPr="00C003FA" w:rsidRDefault="00A86411" w:rsidP="00A4689B">
            <w:pPr>
              <w:tabs>
                <w:tab w:val="decimal" w:pos="284"/>
              </w:tabs>
              <w:jc w:val="left"/>
              <w:rPr>
                <w:sz w:val="18"/>
              </w:rPr>
            </w:pPr>
            <w:r w:rsidRPr="00C003FA">
              <w:rPr>
                <w:sz w:val="18"/>
              </w:rPr>
              <w:t>0.3</w:t>
            </w:r>
          </w:p>
        </w:tc>
      </w:tr>
      <w:tr w:rsidR="00A86411" w:rsidRPr="00C003FA" w:rsidTr="00A4689B">
        <w:trPr>
          <w:jc w:val="center"/>
        </w:trPr>
        <w:tc>
          <w:tcPr>
            <w:tcW w:w="3556" w:type="dxa"/>
            <w:vAlign w:val="bottom"/>
          </w:tcPr>
          <w:p w:rsidR="00A86411" w:rsidRPr="00C003FA" w:rsidRDefault="00A86411" w:rsidP="00A4689B">
            <w:pPr>
              <w:ind w:left="283" w:hanging="180"/>
              <w:jc w:val="left"/>
              <w:rPr>
                <w:sz w:val="18"/>
              </w:rPr>
            </w:pPr>
            <w:r w:rsidRPr="00C003FA">
              <w:rPr>
                <w:sz w:val="18"/>
              </w:rPr>
              <w:t>Administrative and Waste Services</w:t>
            </w:r>
          </w:p>
        </w:tc>
        <w:tc>
          <w:tcPr>
            <w:tcW w:w="991" w:type="dxa"/>
            <w:vAlign w:val="bottom"/>
          </w:tcPr>
          <w:p w:rsidR="00A86411" w:rsidRPr="00C003FA" w:rsidRDefault="00A86411" w:rsidP="00A4689B">
            <w:pPr>
              <w:tabs>
                <w:tab w:val="decimal" w:pos="734"/>
              </w:tabs>
              <w:jc w:val="left"/>
              <w:rPr>
                <w:sz w:val="18"/>
              </w:rPr>
            </w:pPr>
            <w:r w:rsidRPr="00C003FA">
              <w:rPr>
                <w:sz w:val="18"/>
              </w:rPr>
              <w:t>157,385</w:t>
            </w:r>
          </w:p>
        </w:tc>
        <w:tc>
          <w:tcPr>
            <w:tcW w:w="989" w:type="dxa"/>
            <w:vAlign w:val="bottom"/>
          </w:tcPr>
          <w:p w:rsidR="00A86411" w:rsidRPr="00C003FA" w:rsidRDefault="00A86411" w:rsidP="00A4689B">
            <w:pPr>
              <w:tabs>
                <w:tab w:val="decimal" w:pos="734"/>
              </w:tabs>
              <w:jc w:val="left"/>
              <w:rPr>
                <w:sz w:val="18"/>
              </w:rPr>
            </w:pPr>
            <w:r w:rsidRPr="00C003FA">
              <w:rPr>
                <w:sz w:val="18"/>
              </w:rPr>
              <w:t>158,535</w:t>
            </w:r>
          </w:p>
        </w:tc>
        <w:tc>
          <w:tcPr>
            <w:tcW w:w="988" w:type="dxa"/>
            <w:vAlign w:val="bottom"/>
          </w:tcPr>
          <w:p w:rsidR="00A86411" w:rsidRPr="00C003FA" w:rsidRDefault="00A86411" w:rsidP="00A4689B">
            <w:pPr>
              <w:tabs>
                <w:tab w:val="decimal" w:pos="734"/>
              </w:tabs>
              <w:jc w:val="left"/>
              <w:rPr>
                <w:sz w:val="18"/>
              </w:rPr>
            </w:pPr>
            <w:r w:rsidRPr="00C003FA">
              <w:rPr>
                <w:sz w:val="18"/>
              </w:rPr>
              <w:t>158,041</w:t>
            </w:r>
          </w:p>
        </w:tc>
        <w:tc>
          <w:tcPr>
            <w:tcW w:w="988" w:type="dxa"/>
            <w:vAlign w:val="bottom"/>
          </w:tcPr>
          <w:p w:rsidR="00A86411" w:rsidRPr="00C003FA" w:rsidRDefault="00A86411" w:rsidP="00A4689B">
            <w:pPr>
              <w:tabs>
                <w:tab w:val="decimal" w:pos="734"/>
              </w:tabs>
              <w:jc w:val="left"/>
              <w:rPr>
                <w:sz w:val="18"/>
              </w:rPr>
            </w:pPr>
            <w:r w:rsidRPr="00C003FA">
              <w:rPr>
                <w:sz w:val="18"/>
              </w:rPr>
              <w:t>158,512</w:t>
            </w:r>
          </w:p>
        </w:tc>
        <w:tc>
          <w:tcPr>
            <w:tcW w:w="988" w:type="dxa"/>
            <w:vAlign w:val="bottom"/>
          </w:tcPr>
          <w:p w:rsidR="00A86411" w:rsidRPr="00C003FA" w:rsidRDefault="00A86411" w:rsidP="00A4689B">
            <w:pPr>
              <w:tabs>
                <w:tab w:val="decimal" w:pos="734"/>
              </w:tabs>
              <w:jc w:val="left"/>
              <w:rPr>
                <w:sz w:val="18"/>
              </w:rPr>
            </w:pPr>
            <w:r w:rsidRPr="00C003FA">
              <w:rPr>
                <w:sz w:val="18"/>
              </w:rPr>
              <w:t>161,846</w:t>
            </w:r>
          </w:p>
        </w:tc>
        <w:tc>
          <w:tcPr>
            <w:tcW w:w="990" w:type="dxa"/>
            <w:vAlign w:val="bottom"/>
          </w:tcPr>
          <w:p w:rsidR="00A86411" w:rsidRPr="00C003FA" w:rsidRDefault="00A86411" w:rsidP="00A4689B">
            <w:pPr>
              <w:tabs>
                <w:tab w:val="decimal" w:pos="734"/>
              </w:tabs>
              <w:jc w:val="left"/>
              <w:rPr>
                <w:sz w:val="18"/>
              </w:rPr>
            </w:pPr>
            <w:r w:rsidRPr="00C003FA">
              <w:rPr>
                <w:sz w:val="18"/>
              </w:rPr>
              <w:t>168,827</w:t>
            </w:r>
          </w:p>
        </w:tc>
        <w:tc>
          <w:tcPr>
            <w:tcW w:w="990" w:type="dxa"/>
            <w:vAlign w:val="bottom"/>
          </w:tcPr>
          <w:p w:rsidR="00A86411" w:rsidRPr="00C003FA" w:rsidRDefault="00A86411" w:rsidP="00A4689B">
            <w:pPr>
              <w:tabs>
                <w:tab w:val="decimal" w:pos="734"/>
              </w:tabs>
              <w:jc w:val="left"/>
              <w:rPr>
                <w:sz w:val="18"/>
              </w:rPr>
            </w:pPr>
            <w:r w:rsidRPr="00C003FA">
              <w:rPr>
                <w:sz w:val="18"/>
              </w:rPr>
              <w:t>163,982</w:t>
            </w:r>
          </w:p>
        </w:tc>
        <w:tc>
          <w:tcPr>
            <w:tcW w:w="845" w:type="dxa"/>
            <w:vAlign w:val="bottom"/>
          </w:tcPr>
          <w:p w:rsidR="00A86411" w:rsidRPr="00C003FA" w:rsidRDefault="00A86411" w:rsidP="00A4689B">
            <w:pPr>
              <w:tabs>
                <w:tab w:val="decimal" w:pos="284"/>
              </w:tabs>
              <w:jc w:val="left"/>
              <w:rPr>
                <w:sz w:val="18"/>
              </w:rPr>
            </w:pPr>
            <w:r w:rsidRPr="00C003FA">
              <w:rPr>
                <w:sz w:val="18"/>
              </w:rPr>
              <w:t>-2.9</w:t>
            </w:r>
          </w:p>
        </w:tc>
      </w:tr>
      <w:tr w:rsidR="00A86411" w:rsidRPr="00C003FA" w:rsidTr="00A4689B">
        <w:trPr>
          <w:jc w:val="center"/>
        </w:trPr>
        <w:tc>
          <w:tcPr>
            <w:tcW w:w="3556" w:type="dxa"/>
            <w:vAlign w:val="bottom"/>
          </w:tcPr>
          <w:p w:rsidR="00A86411" w:rsidRPr="00C003FA" w:rsidRDefault="00A86411" w:rsidP="00A4689B">
            <w:pPr>
              <w:ind w:left="283" w:hanging="180"/>
              <w:jc w:val="left"/>
              <w:rPr>
                <w:sz w:val="18"/>
              </w:rPr>
            </w:pPr>
            <w:r w:rsidRPr="00C003FA">
              <w:rPr>
                <w:sz w:val="18"/>
              </w:rPr>
              <w:t>Educational Services</w:t>
            </w:r>
          </w:p>
        </w:tc>
        <w:tc>
          <w:tcPr>
            <w:tcW w:w="991" w:type="dxa"/>
            <w:vAlign w:val="bottom"/>
          </w:tcPr>
          <w:p w:rsidR="00A86411" w:rsidRPr="00C003FA" w:rsidRDefault="00A86411" w:rsidP="00A4689B">
            <w:pPr>
              <w:tabs>
                <w:tab w:val="decimal" w:pos="734"/>
              </w:tabs>
              <w:jc w:val="left"/>
              <w:rPr>
                <w:sz w:val="18"/>
              </w:rPr>
            </w:pPr>
            <w:r w:rsidRPr="00C003FA">
              <w:rPr>
                <w:sz w:val="18"/>
              </w:rPr>
              <w:t>33,847</w:t>
            </w:r>
          </w:p>
        </w:tc>
        <w:tc>
          <w:tcPr>
            <w:tcW w:w="989" w:type="dxa"/>
            <w:vAlign w:val="bottom"/>
          </w:tcPr>
          <w:p w:rsidR="00A86411" w:rsidRPr="00C003FA" w:rsidRDefault="00A86411" w:rsidP="00A4689B">
            <w:pPr>
              <w:tabs>
                <w:tab w:val="decimal" w:pos="734"/>
              </w:tabs>
              <w:jc w:val="left"/>
              <w:rPr>
                <w:sz w:val="18"/>
              </w:rPr>
            </w:pPr>
            <w:r w:rsidRPr="00C003FA">
              <w:rPr>
                <w:sz w:val="18"/>
              </w:rPr>
              <w:t>34,992</w:t>
            </w:r>
          </w:p>
        </w:tc>
        <w:tc>
          <w:tcPr>
            <w:tcW w:w="988" w:type="dxa"/>
            <w:vAlign w:val="bottom"/>
          </w:tcPr>
          <w:p w:rsidR="00A86411" w:rsidRPr="00C003FA" w:rsidRDefault="00A86411" w:rsidP="00A4689B">
            <w:pPr>
              <w:tabs>
                <w:tab w:val="decimal" w:pos="734"/>
              </w:tabs>
              <w:jc w:val="left"/>
              <w:rPr>
                <w:sz w:val="18"/>
              </w:rPr>
            </w:pPr>
            <w:r w:rsidRPr="00C003FA">
              <w:rPr>
                <w:sz w:val="18"/>
              </w:rPr>
              <w:t>35,375</w:t>
            </w:r>
          </w:p>
        </w:tc>
        <w:tc>
          <w:tcPr>
            <w:tcW w:w="988" w:type="dxa"/>
            <w:vAlign w:val="bottom"/>
          </w:tcPr>
          <w:p w:rsidR="00A86411" w:rsidRPr="00C003FA" w:rsidRDefault="00A86411" w:rsidP="00A4689B">
            <w:pPr>
              <w:tabs>
                <w:tab w:val="decimal" w:pos="734"/>
              </w:tabs>
              <w:jc w:val="left"/>
              <w:rPr>
                <w:sz w:val="18"/>
              </w:rPr>
            </w:pPr>
            <w:r w:rsidRPr="00C003FA">
              <w:rPr>
                <w:sz w:val="18"/>
              </w:rPr>
              <w:t>36,694</w:t>
            </w:r>
          </w:p>
        </w:tc>
        <w:tc>
          <w:tcPr>
            <w:tcW w:w="988" w:type="dxa"/>
            <w:vAlign w:val="bottom"/>
          </w:tcPr>
          <w:p w:rsidR="00A86411" w:rsidRPr="00C003FA" w:rsidRDefault="00A86411" w:rsidP="00A4689B">
            <w:pPr>
              <w:tabs>
                <w:tab w:val="decimal" w:pos="734"/>
              </w:tabs>
              <w:jc w:val="left"/>
              <w:rPr>
                <w:sz w:val="18"/>
              </w:rPr>
            </w:pPr>
            <w:r w:rsidRPr="00C003FA">
              <w:rPr>
                <w:sz w:val="18"/>
              </w:rPr>
              <w:t>37,674</w:t>
            </w:r>
          </w:p>
        </w:tc>
        <w:tc>
          <w:tcPr>
            <w:tcW w:w="990" w:type="dxa"/>
            <w:vAlign w:val="bottom"/>
          </w:tcPr>
          <w:p w:rsidR="00A86411" w:rsidRPr="00C003FA" w:rsidRDefault="00A86411" w:rsidP="00A4689B">
            <w:pPr>
              <w:tabs>
                <w:tab w:val="decimal" w:pos="734"/>
              </w:tabs>
              <w:jc w:val="left"/>
              <w:rPr>
                <w:sz w:val="18"/>
              </w:rPr>
            </w:pPr>
            <w:r w:rsidRPr="00C003FA">
              <w:rPr>
                <w:sz w:val="18"/>
              </w:rPr>
              <w:t>37,062</w:t>
            </w:r>
          </w:p>
        </w:tc>
        <w:tc>
          <w:tcPr>
            <w:tcW w:w="990" w:type="dxa"/>
            <w:vAlign w:val="bottom"/>
          </w:tcPr>
          <w:p w:rsidR="00A86411" w:rsidRPr="00C003FA" w:rsidRDefault="00A86411" w:rsidP="00A4689B">
            <w:pPr>
              <w:tabs>
                <w:tab w:val="decimal" w:pos="734"/>
              </w:tabs>
              <w:jc w:val="left"/>
              <w:rPr>
                <w:sz w:val="18"/>
              </w:rPr>
            </w:pPr>
            <w:r w:rsidRPr="00C003FA">
              <w:rPr>
                <w:sz w:val="18"/>
              </w:rPr>
              <w:t>38,489</w:t>
            </w:r>
          </w:p>
        </w:tc>
        <w:tc>
          <w:tcPr>
            <w:tcW w:w="845" w:type="dxa"/>
            <w:vAlign w:val="bottom"/>
          </w:tcPr>
          <w:p w:rsidR="00A86411" w:rsidRPr="00C003FA" w:rsidRDefault="00A86411" w:rsidP="00A4689B">
            <w:pPr>
              <w:tabs>
                <w:tab w:val="decimal" w:pos="284"/>
              </w:tabs>
              <w:jc w:val="left"/>
              <w:rPr>
                <w:sz w:val="18"/>
              </w:rPr>
            </w:pPr>
            <w:r w:rsidRPr="00C003FA">
              <w:rPr>
                <w:sz w:val="18"/>
              </w:rPr>
              <w:t>3.9</w:t>
            </w:r>
          </w:p>
        </w:tc>
      </w:tr>
      <w:tr w:rsidR="00A86411" w:rsidRPr="00C003FA" w:rsidTr="00A4689B">
        <w:trPr>
          <w:jc w:val="center"/>
        </w:trPr>
        <w:tc>
          <w:tcPr>
            <w:tcW w:w="3556" w:type="dxa"/>
            <w:vAlign w:val="bottom"/>
          </w:tcPr>
          <w:p w:rsidR="00A86411" w:rsidRPr="00C003FA" w:rsidRDefault="00A86411" w:rsidP="00A4689B">
            <w:pPr>
              <w:ind w:left="283" w:hanging="180"/>
              <w:jc w:val="left"/>
              <w:rPr>
                <w:sz w:val="18"/>
              </w:rPr>
            </w:pPr>
            <w:r w:rsidRPr="00C003FA">
              <w:rPr>
                <w:sz w:val="18"/>
              </w:rPr>
              <w:t>Health Care and Social Assistance</w:t>
            </w:r>
          </w:p>
        </w:tc>
        <w:tc>
          <w:tcPr>
            <w:tcW w:w="991" w:type="dxa"/>
            <w:vAlign w:val="bottom"/>
          </w:tcPr>
          <w:p w:rsidR="00A86411" w:rsidRPr="00C003FA" w:rsidRDefault="00A86411" w:rsidP="00A4689B">
            <w:pPr>
              <w:tabs>
                <w:tab w:val="decimal" w:pos="734"/>
              </w:tabs>
              <w:jc w:val="left"/>
              <w:rPr>
                <w:sz w:val="18"/>
              </w:rPr>
            </w:pPr>
            <w:r w:rsidRPr="00C003FA">
              <w:rPr>
                <w:sz w:val="18"/>
              </w:rPr>
              <w:t>275,183</w:t>
            </w:r>
          </w:p>
        </w:tc>
        <w:tc>
          <w:tcPr>
            <w:tcW w:w="989" w:type="dxa"/>
            <w:vAlign w:val="bottom"/>
          </w:tcPr>
          <w:p w:rsidR="00A86411" w:rsidRPr="00C003FA" w:rsidRDefault="00A86411" w:rsidP="00A4689B">
            <w:pPr>
              <w:tabs>
                <w:tab w:val="decimal" w:pos="734"/>
              </w:tabs>
              <w:jc w:val="left"/>
              <w:rPr>
                <w:sz w:val="18"/>
              </w:rPr>
            </w:pPr>
            <w:r w:rsidRPr="00C003FA">
              <w:rPr>
                <w:sz w:val="18"/>
              </w:rPr>
              <w:t>287,168</w:t>
            </w:r>
          </w:p>
        </w:tc>
        <w:tc>
          <w:tcPr>
            <w:tcW w:w="988" w:type="dxa"/>
            <w:vAlign w:val="bottom"/>
          </w:tcPr>
          <w:p w:rsidR="00A86411" w:rsidRPr="00C003FA" w:rsidRDefault="00A86411" w:rsidP="00A4689B">
            <w:pPr>
              <w:tabs>
                <w:tab w:val="decimal" w:pos="734"/>
              </w:tabs>
              <w:jc w:val="left"/>
              <w:rPr>
                <w:sz w:val="18"/>
              </w:rPr>
            </w:pPr>
            <w:r w:rsidRPr="00C003FA">
              <w:rPr>
                <w:sz w:val="18"/>
              </w:rPr>
              <w:t>291,299</w:t>
            </w:r>
          </w:p>
        </w:tc>
        <w:tc>
          <w:tcPr>
            <w:tcW w:w="988" w:type="dxa"/>
            <w:vAlign w:val="bottom"/>
          </w:tcPr>
          <w:p w:rsidR="00A86411" w:rsidRPr="00C003FA" w:rsidRDefault="00A86411" w:rsidP="00A4689B">
            <w:pPr>
              <w:tabs>
                <w:tab w:val="decimal" w:pos="734"/>
              </w:tabs>
              <w:jc w:val="left"/>
              <w:rPr>
                <w:sz w:val="18"/>
              </w:rPr>
            </w:pPr>
            <w:r w:rsidRPr="00C003FA">
              <w:rPr>
                <w:sz w:val="18"/>
              </w:rPr>
              <w:t>298,559</w:t>
            </w:r>
          </w:p>
        </w:tc>
        <w:tc>
          <w:tcPr>
            <w:tcW w:w="988" w:type="dxa"/>
            <w:vAlign w:val="bottom"/>
          </w:tcPr>
          <w:p w:rsidR="00A86411" w:rsidRPr="00C003FA" w:rsidRDefault="00A86411" w:rsidP="00A4689B">
            <w:pPr>
              <w:tabs>
                <w:tab w:val="decimal" w:pos="734"/>
              </w:tabs>
              <w:jc w:val="left"/>
              <w:rPr>
                <w:sz w:val="18"/>
              </w:rPr>
            </w:pPr>
            <w:r w:rsidRPr="00C003FA">
              <w:rPr>
                <w:sz w:val="18"/>
              </w:rPr>
              <w:t>303,803</w:t>
            </w:r>
          </w:p>
        </w:tc>
        <w:tc>
          <w:tcPr>
            <w:tcW w:w="990" w:type="dxa"/>
            <w:vAlign w:val="bottom"/>
          </w:tcPr>
          <w:p w:rsidR="00A86411" w:rsidRPr="00C003FA" w:rsidRDefault="00A86411" w:rsidP="00A4689B">
            <w:pPr>
              <w:tabs>
                <w:tab w:val="decimal" w:pos="734"/>
              </w:tabs>
              <w:jc w:val="left"/>
              <w:rPr>
                <w:sz w:val="18"/>
              </w:rPr>
            </w:pPr>
            <w:r w:rsidRPr="00C003FA">
              <w:rPr>
                <w:sz w:val="18"/>
              </w:rPr>
              <w:t>304,452</w:t>
            </w:r>
          </w:p>
        </w:tc>
        <w:tc>
          <w:tcPr>
            <w:tcW w:w="990" w:type="dxa"/>
            <w:vAlign w:val="bottom"/>
          </w:tcPr>
          <w:p w:rsidR="00A86411" w:rsidRPr="00C003FA" w:rsidRDefault="00A86411" w:rsidP="00A4689B">
            <w:pPr>
              <w:tabs>
                <w:tab w:val="decimal" w:pos="734"/>
              </w:tabs>
              <w:jc w:val="left"/>
              <w:rPr>
                <w:sz w:val="18"/>
              </w:rPr>
            </w:pPr>
            <w:r w:rsidRPr="00C003FA">
              <w:rPr>
                <w:sz w:val="18"/>
              </w:rPr>
              <w:t>306,898</w:t>
            </w:r>
          </w:p>
        </w:tc>
        <w:tc>
          <w:tcPr>
            <w:tcW w:w="845" w:type="dxa"/>
            <w:vAlign w:val="bottom"/>
          </w:tcPr>
          <w:p w:rsidR="00A86411" w:rsidRPr="00C003FA" w:rsidRDefault="00A86411" w:rsidP="00A4689B">
            <w:pPr>
              <w:tabs>
                <w:tab w:val="decimal" w:pos="284"/>
              </w:tabs>
              <w:jc w:val="left"/>
              <w:rPr>
                <w:sz w:val="18"/>
              </w:rPr>
            </w:pPr>
            <w:r w:rsidRPr="00C003FA">
              <w:rPr>
                <w:sz w:val="18"/>
              </w:rPr>
              <w:t>0.8</w:t>
            </w:r>
          </w:p>
        </w:tc>
      </w:tr>
      <w:tr w:rsidR="00A86411" w:rsidRPr="00C003FA" w:rsidTr="00A4689B">
        <w:trPr>
          <w:jc w:val="center"/>
        </w:trPr>
        <w:tc>
          <w:tcPr>
            <w:tcW w:w="3556" w:type="dxa"/>
            <w:vAlign w:val="bottom"/>
          </w:tcPr>
          <w:p w:rsidR="00A86411" w:rsidRPr="00C003FA" w:rsidRDefault="00A86411" w:rsidP="00A4689B">
            <w:pPr>
              <w:ind w:left="283" w:hanging="180"/>
              <w:jc w:val="left"/>
              <w:rPr>
                <w:sz w:val="18"/>
              </w:rPr>
            </w:pPr>
            <w:r w:rsidRPr="00C003FA">
              <w:rPr>
                <w:sz w:val="18"/>
              </w:rPr>
              <w:t>Arts, Entertainment, and Recreation</w:t>
            </w:r>
          </w:p>
        </w:tc>
        <w:tc>
          <w:tcPr>
            <w:tcW w:w="991" w:type="dxa"/>
            <w:vAlign w:val="bottom"/>
          </w:tcPr>
          <w:p w:rsidR="00A86411" w:rsidRPr="00C003FA" w:rsidRDefault="00A86411" w:rsidP="00A4689B">
            <w:pPr>
              <w:tabs>
                <w:tab w:val="decimal" w:pos="734"/>
              </w:tabs>
              <w:jc w:val="left"/>
              <w:rPr>
                <w:sz w:val="18"/>
              </w:rPr>
            </w:pPr>
            <w:r w:rsidRPr="00C003FA">
              <w:rPr>
                <w:sz w:val="18"/>
              </w:rPr>
              <w:t>50,707</w:t>
            </w:r>
          </w:p>
        </w:tc>
        <w:tc>
          <w:tcPr>
            <w:tcW w:w="989" w:type="dxa"/>
            <w:vAlign w:val="bottom"/>
          </w:tcPr>
          <w:p w:rsidR="00A86411" w:rsidRPr="00C003FA" w:rsidRDefault="00A86411" w:rsidP="00A4689B">
            <w:pPr>
              <w:tabs>
                <w:tab w:val="decimal" w:pos="734"/>
              </w:tabs>
              <w:jc w:val="left"/>
              <w:rPr>
                <w:sz w:val="18"/>
              </w:rPr>
            </w:pPr>
            <w:r w:rsidRPr="00C003FA">
              <w:rPr>
                <w:sz w:val="18"/>
              </w:rPr>
              <w:t>52,625</w:t>
            </w:r>
          </w:p>
        </w:tc>
        <w:tc>
          <w:tcPr>
            <w:tcW w:w="988" w:type="dxa"/>
            <w:vAlign w:val="bottom"/>
          </w:tcPr>
          <w:p w:rsidR="00A86411" w:rsidRPr="00C003FA" w:rsidRDefault="00A86411" w:rsidP="00A4689B">
            <w:pPr>
              <w:tabs>
                <w:tab w:val="decimal" w:pos="734"/>
              </w:tabs>
              <w:jc w:val="left"/>
              <w:rPr>
                <w:sz w:val="18"/>
              </w:rPr>
            </w:pPr>
            <w:r w:rsidRPr="00C003FA">
              <w:rPr>
                <w:sz w:val="18"/>
              </w:rPr>
              <w:t>55,407</w:t>
            </w:r>
          </w:p>
        </w:tc>
        <w:tc>
          <w:tcPr>
            <w:tcW w:w="988" w:type="dxa"/>
            <w:vAlign w:val="bottom"/>
          </w:tcPr>
          <w:p w:rsidR="00A86411" w:rsidRPr="00C003FA" w:rsidRDefault="00A86411" w:rsidP="00A4689B">
            <w:pPr>
              <w:tabs>
                <w:tab w:val="decimal" w:pos="734"/>
              </w:tabs>
              <w:jc w:val="left"/>
              <w:rPr>
                <w:sz w:val="18"/>
              </w:rPr>
            </w:pPr>
            <w:r w:rsidRPr="00C003FA">
              <w:rPr>
                <w:sz w:val="18"/>
              </w:rPr>
              <w:t>56,848</w:t>
            </w:r>
          </w:p>
        </w:tc>
        <w:tc>
          <w:tcPr>
            <w:tcW w:w="988" w:type="dxa"/>
            <w:vAlign w:val="bottom"/>
          </w:tcPr>
          <w:p w:rsidR="00A86411" w:rsidRPr="00C003FA" w:rsidRDefault="00A86411" w:rsidP="00A4689B">
            <w:pPr>
              <w:tabs>
                <w:tab w:val="decimal" w:pos="734"/>
              </w:tabs>
              <w:jc w:val="left"/>
              <w:rPr>
                <w:sz w:val="18"/>
              </w:rPr>
            </w:pPr>
            <w:r w:rsidRPr="00C003FA">
              <w:rPr>
                <w:sz w:val="18"/>
              </w:rPr>
              <w:t>58,975</w:t>
            </w:r>
          </w:p>
        </w:tc>
        <w:tc>
          <w:tcPr>
            <w:tcW w:w="990" w:type="dxa"/>
            <w:vAlign w:val="bottom"/>
          </w:tcPr>
          <w:p w:rsidR="00A86411" w:rsidRPr="00C003FA" w:rsidRDefault="00A86411" w:rsidP="00A4689B">
            <w:pPr>
              <w:tabs>
                <w:tab w:val="decimal" w:pos="734"/>
              </w:tabs>
              <w:jc w:val="left"/>
              <w:rPr>
                <w:sz w:val="18"/>
              </w:rPr>
            </w:pPr>
            <w:r w:rsidRPr="00C003FA">
              <w:rPr>
                <w:sz w:val="18"/>
              </w:rPr>
              <w:t>60,941</w:t>
            </w:r>
          </w:p>
        </w:tc>
        <w:tc>
          <w:tcPr>
            <w:tcW w:w="990" w:type="dxa"/>
            <w:vAlign w:val="bottom"/>
          </w:tcPr>
          <w:p w:rsidR="00A86411" w:rsidRPr="00C003FA" w:rsidRDefault="00A86411" w:rsidP="00A4689B">
            <w:pPr>
              <w:tabs>
                <w:tab w:val="decimal" w:pos="734"/>
              </w:tabs>
              <w:jc w:val="left"/>
              <w:rPr>
                <w:sz w:val="18"/>
              </w:rPr>
            </w:pPr>
            <w:r w:rsidRPr="00C003FA">
              <w:rPr>
                <w:sz w:val="18"/>
              </w:rPr>
              <w:t>57,072</w:t>
            </w:r>
          </w:p>
        </w:tc>
        <w:tc>
          <w:tcPr>
            <w:tcW w:w="845" w:type="dxa"/>
            <w:vAlign w:val="bottom"/>
          </w:tcPr>
          <w:p w:rsidR="00A86411" w:rsidRPr="00C003FA" w:rsidRDefault="00A86411" w:rsidP="00A4689B">
            <w:pPr>
              <w:tabs>
                <w:tab w:val="decimal" w:pos="284"/>
              </w:tabs>
              <w:jc w:val="left"/>
              <w:rPr>
                <w:sz w:val="18"/>
              </w:rPr>
            </w:pPr>
            <w:r w:rsidRPr="00C003FA">
              <w:rPr>
                <w:sz w:val="18"/>
              </w:rPr>
              <w:t>-6.3</w:t>
            </w:r>
          </w:p>
        </w:tc>
      </w:tr>
      <w:tr w:rsidR="00A86411" w:rsidRPr="00C003FA" w:rsidTr="00A4689B">
        <w:trPr>
          <w:jc w:val="center"/>
        </w:trPr>
        <w:tc>
          <w:tcPr>
            <w:tcW w:w="3556" w:type="dxa"/>
            <w:vAlign w:val="bottom"/>
          </w:tcPr>
          <w:p w:rsidR="00A86411" w:rsidRPr="00C003FA" w:rsidRDefault="00A86411" w:rsidP="00A4689B">
            <w:pPr>
              <w:ind w:left="283" w:hanging="180"/>
              <w:jc w:val="left"/>
              <w:rPr>
                <w:sz w:val="18"/>
              </w:rPr>
            </w:pPr>
            <w:r w:rsidRPr="00C003FA">
              <w:rPr>
                <w:sz w:val="18"/>
              </w:rPr>
              <w:t>Accommodation and Food Services</w:t>
            </w:r>
          </w:p>
        </w:tc>
        <w:tc>
          <w:tcPr>
            <w:tcW w:w="991" w:type="dxa"/>
            <w:vAlign w:val="bottom"/>
          </w:tcPr>
          <w:p w:rsidR="00A86411" w:rsidRPr="00C003FA" w:rsidRDefault="00A86411" w:rsidP="00A4689B">
            <w:pPr>
              <w:tabs>
                <w:tab w:val="decimal" w:pos="734"/>
              </w:tabs>
              <w:jc w:val="left"/>
              <w:rPr>
                <w:sz w:val="18"/>
              </w:rPr>
            </w:pPr>
            <w:r w:rsidRPr="00C003FA">
              <w:rPr>
                <w:sz w:val="18"/>
              </w:rPr>
              <w:t>261,704</w:t>
            </w:r>
          </w:p>
        </w:tc>
        <w:tc>
          <w:tcPr>
            <w:tcW w:w="989" w:type="dxa"/>
            <w:vAlign w:val="bottom"/>
          </w:tcPr>
          <w:p w:rsidR="00A86411" w:rsidRPr="00C003FA" w:rsidRDefault="00A86411" w:rsidP="00A4689B">
            <w:pPr>
              <w:tabs>
                <w:tab w:val="decimal" w:pos="734"/>
              </w:tabs>
              <w:jc w:val="left"/>
              <w:rPr>
                <w:sz w:val="18"/>
              </w:rPr>
            </w:pPr>
            <w:r w:rsidRPr="00C003FA">
              <w:rPr>
                <w:sz w:val="18"/>
              </w:rPr>
              <w:t>270,673</w:t>
            </w:r>
          </w:p>
        </w:tc>
        <w:tc>
          <w:tcPr>
            <w:tcW w:w="988" w:type="dxa"/>
            <w:vAlign w:val="bottom"/>
          </w:tcPr>
          <w:p w:rsidR="00A86411" w:rsidRPr="00C003FA" w:rsidRDefault="00A86411" w:rsidP="00A4689B">
            <w:pPr>
              <w:tabs>
                <w:tab w:val="decimal" w:pos="734"/>
              </w:tabs>
              <w:jc w:val="left"/>
              <w:rPr>
                <w:sz w:val="18"/>
              </w:rPr>
            </w:pPr>
            <w:r w:rsidRPr="00C003FA">
              <w:rPr>
                <w:sz w:val="18"/>
              </w:rPr>
              <w:t>277,613</w:t>
            </w:r>
          </w:p>
        </w:tc>
        <w:tc>
          <w:tcPr>
            <w:tcW w:w="988" w:type="dxa"/>
            <w:vAlign w:val="bottom"/>
          </w:tcPr>
          <w:p w:rsidR="00A86411" w:rsidRPr="00C003FA" w:rsidRDefault="00A86411" w:rsidP="00A4689B">
            <w:pPr>
              <w:tabs>
                <w:tab w:val="decimal" w:pos="734"/>
              </w:tabs>
              <w:jc w:val="left"/>
              <w:rPr>
                <w:sz w:val="18"/>
              </w:rPr>
            </w:pPr>
            <w:r w:rsidRPr="00C003FA">
              <w:rPr>
                <w:sz w:val="18"/>
              </w:rPr>
              <w:t>282,491</w:t>
            </w:r>
          </w:p>
        </w:tc>
        <w:tc>
          <w:tcPr>
            <w:tcW w:w="988" w:type="dxa"/>
            <w:vAlign w:val="bottom"/>
          </w:tcPr>
          <w:p w:rsidR="00A86411" w:rsidRPr="00C003FA" w:rsidRDefault="00A86411" w:rsidP="00A4689B">
            <w:pPr>
              <w:tabs>
                <w:tab w:val="decimal" w:pos="734"/>
              </w:tabs>
              <w:jc w:val="left"/>
              <w:rPr>
                <w:sz w:val="18"/>
              </w:rPr>
            </w:pPr>
            <w:r w:rsidRPr="00C003FA">
              <w:rPr>
                <w:sz w:val="18"/>
              </w:rPr>
              <w:t>285,929</w:t>
            </w:r>
          </w:p>
        </w:tc>
        <w:tc>
          <w:tcPr>
            <w:tcW w:w="990" w:type="dxa"/>
            <w:vAlign w:val="bottom"/>
          </w:tcPr>
          <w:p w:rsidR="00A86411" w:rsidRPr="00C003FA" w:rsidRDefault="00A86411" w:rsidP="00A4689B">
            <w:pPr>
              <w:tabs>
                <w:tab w:val="decimal" w:pos="734"/>
              </w:tabs>
              <w:jc w:val="left"/>
              <w:rPr>
                <w:sz w:val="18"/>
              </w:rPr>
            </w:pPr>
            <w:r w:rsidRPr="00C003FA">
              <w:rPr>
                <w:sz w:val="18"/>
              </w:rPr>
              <w:t>295,571</w:t>
            </w:r>
          </w:p>
        </w:tc>
        <w:tc>
          <w:tcPr>
            <w:tcW w:w="990" w:type="dxa"/>
            <w:vAlign w:val="bottom"/>
          </w:tcPr>
          <w:p w:rsidR="00A86411" w:rsidRPr="00C003FA" w:rsidRDefault="00A86411" w:rsidP="00A4689B">
            <w:pPr>
              <w:tabs>
                <w:tab w:val="decimal" w:pos="734"/>
              </w:tabs>
              <w:jc w:val="left"/>
              <w:rPr>
                <w:sz w:val="18"/>
              </w:rPr>
            </w:pPr>
            <w:r w:rsidRPr="00C003FA">
              <w:rPr>
                <w:sz w:val="18"/>
              </w:rPr>
              <w:t>283,722</w:t>
            </w:r>
          </w:p>
        </w:tc>
        <w:tc>
          <w:tcPr>
            <w:tcW w:w="845" w:type="dxa"/>
            <w:vAlign w:val="bottom"/>
          </w:tcPr>
          <w:p w:rsidR="00A86411" w:rsidRPr="00C003FA" w:rsidRDefault="00A86411" w:rsidP="00A4689B">
            <w:pPr>
              <w:tabs>
                <w:tab w:val="decimal" w:pos="284"/>
              </w:tabs>
              <w:jc w:val="left"/>
              <w:rPr>
                <w:sz w:val="18"/>
              </w:rPr>
            </w:pPr>
            <w:r w:rsidRPr="00C003FA">
              <w:rPr>
                <w:sz w:val="18"/>
              </w:rPr>
              <w:t>-4.0</w:t>
            </w:r>
          </w:p>
        </w:tc>
      </w:tr>
      <w:tr w:rsidR="00A86411" w:rsidRPr="00C003FA" w:rsidTr="00A4689B">
        <w:trPr>
          <w:jc w:val="center"/>
        </w:trPr>
        <w:tc>
          <w:tcPr>
            <w:tcW w:w="3556" w:type="dxa"/>
            <w:vAlign w:val="bottom"/>
          </w:tcPr>
          <w:p w:rsidR="00A86411" w:rsidRPr="00C003FA" w:rsidRDefault="00A86411" w:rsidP="00A4689B">
            <w:pPr>
              <w:ind w:left="283" w:hanging="180"/>
              <w:jc w:val="left"/>
              <w:rPr>
                <w:sz w:val="18"/>
              </w:rPr>
            </w:pPr>
            <w:r w:rsidRPr="00C003FA">
              <w:rPr>
                <w:sz w:val="18"/>
              </w:rPr>
              <w:t>Other Services</w:t>
            </w:r>
          </w:p>
        </w:tc>
        <w:tc>
          <w:tcPr>
            <w:tcW w:w="991" w:type="dxa"/>
            <w:vAlign w:val="bottom"/>
          </w:tcPr>
          <w:p w:rsidR="00A86411" w:rsidRPr="00C003FA" w:rsidRDefault="00A86411" w:rsidP="00A4689B">
            <w:pPr>
              <w:tabs>
                <w:tab w:val="decimal" w:pos="734"/>
              </w:tabs>
              <w:jc w:val="left"/>
              <w:rPr>
                <w:sz w:val="18"/>
              </w:rPr>
            </w:pPr>
            <w:r w:rsidRPr="00C003FA">
              <w:rPr>
                <w:sz w:val="18"/>
              </w:rPr>
              <w:t>75,157</w:t>
            </w:r>
          </w:p>
        </w:tc>
        <w:tc>
          <w:tcPr>
            <w:tcW w:w="989" w:type="dxa"/>
            <w:vAlign w:val="bottom"/>
          </w:tcPr>
          <w:p w:rsidR="00A86411" w:rsidRPr="00C003FA" w:rsidRDefault="00A86411" w:rsidP="00A4689B">
            <w:pPr>
              <w:tabs>
                <w:tab w:val="decimal" w:pos="734"/>
              </w:tabs>
              <w:jc w:val="left"/>
              <w:rPr>
                <w:sz w:val="18"/>
              </w:rPr>
            </w:pPr>
            <w:r w:rsidRPr="00C003FA">
              <w:rPr>
                <w:sz w:val="18"/>
              </w:rPr>
              <w:t>78,231</w:t>
            </w:r>
          </w:p>
        </w:tc>
        <w:tc>
          <w:tcPr>
            <w:tcW w:w="988" w:type="dxa"/>
            <w:vAlign w:val="bottom"/>
          </w:tcPr>
          <w:p w:rsidR="00A86411" w:rsidRPr="00C003FA" w:rsidRDefault="00A86411" w:rsidP="00A4689B">
            <w:pPr>
              <w:tabs>
                <w:tab w:val="decimal" w:pos="734"/>
              </w:tabs>
              <w:jc w:val="left"/>
              <w:rPr>
                <w:sz w:val="18"/>
              </w:rPr>
            </w:pPr>
            <w:r w:rsidRPr="00C003FA">
              <w:rPr>
                <w:sz w:val="18"/>
              </w:rPr>
              <w:t>82,201</w:t>
            </w:r>
          </w:p>
        </w:tc>
        <w:tc>
          <w:tcPr>
            <w:tcW w:w="988" w:type="dxa"/>
            <w:vAlign w:val="bottom"/>
          </w:tcPr>
          <w:p w:rsidR="00A86411" w:rsidRPr="00C003FA" w:rsidRDefault="00A86411" w:rsidP="00A4689B">
            <w:pPr>
              <w:tabs>
                <w:tab w:val="decimal" w:pos="734"/>
              </w:tabs>
              <w:jc w:val="left"/>
              <w:rPr>
                <w:sz w:val="18"/>
              </w:rPr>
            </w:pPr>
            <w:r w:rsidRPr="00C003FA">
              <w:rPr>
                <w:sz w:val="18"/>
              </w:rPr>
              <w:t>82,029</w:t>
            </w:r>
          </w:p>
        </w:tc>
        <w:tc>
          <w:tcPr>
            <w:tcW w:w="988" w:type="dxa"/>
            <w:vAlign w:val="bottom"/>
          </w:tcPr>
          <w:p w:rsidR="00A86411" w:rsidRPr="00C003FA" w:rsidRDefault="00A86411" w:rsidP="00A4689B">
            <w:pPr>
              <w:tabs>
                <w:tab w:val="decimal" w:pos="734"/>
              </w:tabs>
              <w:jc w:val="left"/>
              <w:rPr>
                <w:sz w:val="18"/>
              </w:rPr>
            </w:pPr>
            <w:r w:rsidRPr="00C003FA">
              <w:rPr>
                <w:sz w:val="18"/>
              </w:rPr>
              <w:t>84,557</w:t>
            </w:r>
          </w:p>
        </w:tc>
        <w:tc>
          <w:tcPr>
            <w:tcW w:w="990" w:type="dxa"/>
            <w:vAlign w:val="bottom"/>
          </w:tcPr>
          <w:p w:rsidR="00A86411" w:rsidRPr="00C003FA" w:rsidRDefault="00A86411" w:rsidP="00A4689B">
            <w:pPr>
              <w:tabs>
                <w:tab w:val="decimal" w:pos="734"/>
              </w:tabs>
              <w:jc w:val="left"/>
              <w:rPr>
                <w:sz w:val="18"/>
              </w:rPr>
            </w:pPr>
            <w:r w:rsidRPr="00C003FA">
              <w:rPr>
                <w:sz w:val="18"/>
              </w:rPr>
              <w:t>86,145</w:t>
            </w:r>
          </w:p>
        </w:tc>
        <w:tc>
          <w:tcPr>
            <w:tcW w:w="990" w:type="dxa"/>
            <w:vAlign w:val="bottom"/>
          </w:tcPr>
          <w:p w:rsidR="00A86411" w:rsidRPr="00C003FA" w:rsidRDefault="00A86411" w:rsidP="00A4689B">
            <w:pPr>
              <w:tabs>
                <w:tab w:val="decimal" w:pos="734"/>
              </w:tabs>
              <w:jc w:val="left"/>
              <w:rPr>
                <w:sz w:val="18"/>
              </w:rPr>
            </w:pPr>
            <w:r w:rsidRPr="00C003FA">
              <w:rPr>
                <w:sz w:val="18"/>
              </w:rPr>
              <w:t>85,292</w:t>
            </w:r>
          </w:p>
        </w:tc>
        <w:tc>
          <w:tcPr>
            <w:tcW w:w="845" w:type="dxa"/>
            <w:vAlign w:val="bottom"/>
          </w:tcPr>
          <w:p w:rsidR="00A86411" w:rsidRPr="00C003FA" w:rsidRDefault="00A86411" w:rsidP="00A4689B">
            <w:pPr>
              <w:tabs>
                <w:tab w:val="decimal" w:pos="284"/>
              </w:tabs>
              <w:jc w:val="left"/>
              <w:rPr>
                <w:sz w:val="18"/>
              </w:rPr>
            </w:pPr>
            <w:r w:rsidRPr="00C003FA">
              <w:rPr>
                <w:sz w:val="18"/>
              </w:rPr>
              <w:t>-1.0</w:t>
            </w:r>
          </w:p>
        </w:tc>
      </w:tr>
      <w:tr w:rsidR="00A86411" w:rsidRPr="00C003FA" w:rsidTr="00A4689B">
        <w:trPr>
          <w:jc w:val="center"/>
        </w:trPr>
        <w:tc>
          <w:tcPr>
            <w:tcW w:w="3556" w:type="dxa"/>
            <w:vAlign w:val="bottom"/>
          </w:tcPr>
          <w:p w:rsidR="00A86411" w:rsidRPr="00C003FA" w:rsidRDefault="00A86411" w:rsidP="00A4689B">
            <w:pPr>
              <w:ind w:left="283" w:hanging="180"/>
              <w:jc w:val="left"/>
              <w:rPr>
                <w:sz w:val="18"/>
              </w:rPr>
            </w:pPr>
            <w:r w:rsidRPr="00C003FA">
              <w:rPr>
                <w:sz w:val="18"/>
              </w:rPr>
              <w:t>Unclassified</w:t>
            </w:r>
          </w:p>
        </w:tc>
        <w:tc>
          <w:tcPr>
            <w:tcW w:w="991" w:type="dxa"/>
            <w:vAlign w:val="bottom"/>
          </w:tcPr>
          <w:p w:rsidR="00A86411" w:rsidRPr="00C003FA" w:rsidRDefault="00A86411" w:rsidP="00A4689B">
            <w:pPr>
              <w:tabs>
                <w:tab w:val="decimal" w:pos="734"/>
              </w:tabs>
              <w:jc w:val="left"/>
              <w:rPr>
                <w:sz w:val="18"/>
              </w:rPr>
            </w:pPr>
            <w:r w:rsidRPr="00C003FA">
              <w:rPr>
                <w:sz w:val="18"/>
              </w:rPr>
              <w:t>1,478</w:t>
            </w:r>
          </w:p>
        </w:tc>
        <w:tc>
          <w:tcPr>
            <w:tcW w:w="989" w:type="dxa"/>
            <w:vAlign w:val="bottom"/>
          </w:tcPr>
          <w:p w:rsidR="00A86411" w:rsidRPr="00C003FA" w:rsidRDefault="00A86411" w:rsidP="00A4689B">
            <w:pPr>
              <w:tabs>
                <w:tab w:val="decimal" w:pos="734"/>
              </w:tabs>
              <w:jc w:val="left"/>
              <w:rPr>
                <w:sz w:val="18"/>
              </w:rPr>
            </w:pPr>
            <w:r w:rsidRPr="00C003FA">
              <w:rPr>
                <w:sz w:val="18"/>
              </w:rPr>
              <w:t>759</w:t>
            </w:r>
          </w:p>
        </w:tc>
        <w:tc>
          <w:tcPr>
            <w:tcW w:w="988" w:type="dxa"/>
            <w:vAlign w:val="bottom"/>
          </w:tcPr>
          <w:p w:rsidR="00A86411" w:rsidRPr="00C003FA" w:rsidRDefault="00A86411" w:rsidP="00A4689B">
            <w:pPr>
              <w:tabs>
                <w:tab w:val="decimal" w:pos="734"/>
              </w:tabs>
              <w:jc w:val="left"/>
              <w:rPr>
                <w:sz w:val="18"/>
              </w:rPr>
            </w:pPr>
            <w:r w:rsidRPr="00C003FA">
              <w:rPr>
                <w:sz w:val="18"/>
              </w:rPr>
              <w:t>180</w:t>
            </w:r>
          </w:p>
        </w:tc>
        <w:tc>
          <w:tcPr>
            <w:tcW w:w="988" w:type="dxa"/>
            <w:vAlign w:val="bottom"/>
          </w:tcPr>
          <w:p w:rsidR="00A86411" w:rsidRPr="00C003FA" w:rsidRDefault="00A86411" w:rsidP="00A4689B">
            <w:pPr>
              <w:tabs>
                <w:tab w:val="decimal" w:pos="734"/>
              </w:tabs>
              <w:jc w:val="left"/>
              <w:rPr>
                <w:sz w:val="18"/>
              </w:rPr>
            </w:pPr>
            <w:r w:rsidRPr="00C003FA">
              <w:rPr>
                <w:sz w:val="18"/>
              </w:rPr>
              <w:t>1,886</w:t>
            </w:r>
          </w:p>
        </w:tc>
        <w:tc>
          <w:tcPr>
            <w:tcW w:w="988" w:type="dxa"/>
            <w:vAlign w:val="bottom"/>
          </w:tcPr>
          <w:p w:rsidR="00A86411" w:rsidRPr="00C003FA" w:rsidRDefault="00A86411" w:rsidP="00A4689B">
            <w:pPr>
              <w:tabs>
                <w:tab w:val="decimal" w:pos="734"/>
              </w:tabs>
              <w:jc w:val="left"/>
              <w:rPr>
                <w:sz w:val="18"/>
              </w:rPr>
            </w:pPr>
            <w:r w:rsidRPr="00C003FA">
              <w:rPr>
                <w:sz w:val="18"/>
              </w:rPr>
              <w:t>2,636</w:t>
            </w:r>
          </w:p>
        </w:tc>
        <w:tc>
          <w:tcPr>
            <w:tcW w:w="990" w:type="dxa"/>
            <w:vAlign w:val="bottom"/>
          </w:tcPr>
          <w:p w:rsidR="00A86411" w:rsidRPr="00C003FA" w:rsidRDefault="00A86411" w:rsidP="00A4689B">
            <w:pPr>
              <w:tabs>
                <w:tab w:val="decimal" w:pos="734"/>
              </w:tabs>
              <w:jc w:val="left"/>
              <w:rPr>
                <w:sz w:val="18"/>
              </w:rPr>
            </w:pPr>
            <w:r w:rsidRPr="00C003FA">
              <w:rPr>
                <w:sz w:val="18"/>
              </w:rPr>
              <w:t>679</w:t>
            </w:r>
          </w:p>
        </w:tc>
        <w:tc>
          <w:tcPr>
            <w:tcW w:w="990" w:type="dxa"/>
            <w:vAlign w:val="bottom"/>
          </w:tcPr>
          <w:p w:rsidR="00A86411" w:rsidRPr="00C003FA" w:rsidRDefault="00A86411" w:rsidP="00A4689B">
            <w:pPr>
              <w:tabs>
                <w:tab w:val="decimal" w:pos="734"/>
              </w:tabs>
              <w:jc w:val="left"/>
              <w:rPr>
                <w:sz w:val="18"/>
              </w:rPr>
            </w:pPr>
            <w:r w:rsidRPr="00C003FA">
              <w:rPr>
                <w:sz w:val="18"/>
              </w:rPr>
              <w:t>1,202</w:t>
            </w:r>
          </w:p>
        </w:tc>
        <w:tc>
          <w:tcPr>
            <w:tcW w:w="845" w:type="dxa"/>
            <w:vAlign w:val="bottom"/>
          </w:tcPr>
          <w:p w:rsidR="00A86411" w:rsidRPr="00C003FA" w:rsidRDefault="00A86411" w:rsidP="00A4689B">
            <w:pPr>
              <w:tabs>
                <w:tab w:val="decimal" w:pos="284"/>
              </w:tabs>
              <w:jc w:val="left"/>
              <w:rPr>
                <w:sz w:val="18"/>
              </w:rPr>
            </w:pPr>
            <w:r w:rsidRPr="00C003FA">
              <w:rPr>
                <w:sz w:val="18"/>
              </w:rPr>
              <w:t>77.0</w:t>
            </w:r>
          </w:p>
        </w:tc>
      </w:tr>
      <w:tr w:rsidR="00A86411" w:rsidRPr="00C003FA" w:rsidTr="00A4689B">
        <w:trPr>
          <w:jc w:val="center"/>
        </w:trPr>
        <w:tc>
          <w:tcPr>
            <w:tcW w:w="3556" w:type="dxa"/>
            <w:vAlign w:val="bottom"/>
          </w:tcPr>
          <w:p w:rsidR="00A86411" w:rsidRPr="00C003FA" w:rsidRDefault="00A86411" w:rsidP="00A4689B">
            <w:pPr>
              <w:jc w:val="left"/>
              <w:rPr>
                <w:sz w:val="18"/>
              </w:rPr>
            </w:pPr>
            <w:r w:rsidRPr="00C003FA">
              <w:rPr>
                <w:sz w:val="18"/>
              </w:rPr>
              <w:t>Government</w:t>
            </w:r>
          </w:p>
        </w:tc>
        <w:tc>
          <w:tcPr>
            <w:tcW w:w="991" w:type="dxa"/>
            <w:vAlign w:val="bottom"/>
          </w:tcPr>
          <w:p w:rsidR="00A86411" w:rsidRPr="00C003FA" w:rsidRDefault="00A86411" w:rsidP="00A4689B">
            <w:pPr>
              <w:tabs>
                <w:tab w:val="decimal" w:pos="734"/>
              </w:tabs>
              <w:jc w:val="left"/>
              <w:rPr>
                <w:sz w:val="18"/>
                <w:u w:val="single"/>
              </w:rPr>
            </w:pPr>
            <w:r w:rsidRPr="00C003FA">
              <w:rPr>
                <w:sz w:val="18"/>
                <w:u w:val="single"/>
              </w:rPr>
              <w:t xml:space="preserve">   396,853</w:t>
            </w:r>
          </w:p>
        </w:tc>
        <w:tc>
          <w:tcPr>
            <w:tcW w:w="989" w:type="dxa"/>
            <w:vAlign w:val="bottom"/>
          </w:tcPr>
          <w:p w:rsidR="00A86411" w:rsidRPr="00C003FA" w:rsidRDefault="00A86411" w:rsidP="00A4689B">
            <w:pPr>
              <w:tabs>
                <w:tab w:val="decimal" w:pos="734"/>
              </w:tabs>
              <w:jc w:val="left"/>
              <w:rPr>
                <w:sz w:val="18"/>
                <w:u w:val="single"/>
              </w:rPr>
            </w:pPr>
            <w:r w:rsidRPr="00C003FA">
              <w:rPr>
                <w:sz w:val="18"/>
                <w:u w:val="single"/>
              </w:rPr>
              <w:t xml:space="preserve">   405,690</w:t>
            </w:r>
          </w:p>
        </w:tc>
        <w:tc>
          <w:tcPr>
            <w:tcW w:w="988" w:type="dxa"/>
            <w:vAlign w:val="bottom"/>
          </w:tcPr>
          <w:p w:rsidR="00A86411" w:rsidRPr="00C003FA" w:rsidRDefault="00A86411" w:rsidP="00A4689B">
            <w:pPr>
              <w:tabs>
                <w:tab w:val="decimal" w:pos="734"/>
              </w:tabs>
              <w:jc w:val="left"/>
              <w:rPr>
                <w:sz w:val="18"/>
                <w:u w:val="single"/>
              </w:rPr>
            </w:pPr>
            <w:r w:rsidRPr="00C003FA">
              <w:rPr>
                <w:sz w:val="18"/>
                <w:u w:val="single"/>
              </w:rPr>
              <w:t xml:space="preserve">   412,002</w:t>
            </w:r>
          </w:p>
        </w:tc>
        <w:tc>
          <w:tcPr>
            <w:tcW w:w="988" w:type="dxa"/>
            <w:vAlign w:val="bottom"/>
          </w:tcPr>
          <w:p w:rsidR="00A86411" w:rsidRPr="00C003FA" w:rsidRDefault="00A86411" w:rsidP="00A4689B">
            <w:pPr>
              <w:tabs>
                <w:tab w:val="decimal" w:pos="734"/>
              </w:tabs>
              <w:jc w:val="left"/>
              <w:rPr>
                <w:sz w:val="18"/>
                <w:u w:val="single"/>
              </w:rPr>
            </w:pPr>
            <w:r w:rsidRPr="00C003FA">
              <w:rPr>
                <w:sz w:val="18"/>
                <w:u w:val="single"/>
              </w:rPr>
              <w:t xml:space="preserve">  418,297</w:t>
            </w:r>
          </w:p>
        </w:tc>
        <w:tc>
          <w:tcPr>
            <w:tcW w:w="988" w:type="dxa"/>
            <w:vAlign w:val="bottom"/>
          </w:tcPr>
          <w:p w:rsidR="00A86411" w:rsidRPr="00C003FA" w:rsidRDefault="00A86411" w:rsidP="00A4689B">
            <w:pPr>
              <w:tabs>
                <w:tab w:val="decimal" w:pos="734"/>
              </w:tabs>
              <w:jc w:val="left"/>
              <w:rPr>
                <w:sz w:val="18"/>
                <w:u w:val="single"/>
              </w:rPr>
            </w:pPr>
            <w:r w:rsidRPr="00C003FA">
              <w:rPr>
                <w:sz w:val="18"/>
                <w:u w:val="single"/>
              </w:rPr>
              <w:t>427,979</w:t>
            </w:r>
          </w:p>
        </w:tc>
        <w:tc>
          <w:tcPr>
            <w:tcW w:w="990" w:type="dxa"/>
            <w:vAlign w:val="bottom"/>
          </w:tcPr>
          <w:p w:rsidR="00A86411" w:rsidRPr="00C003FA" w:rsidRDefault="00A86411" w:rsidP="00A4689B">
            <w:pPr>
              <w:tabs>
                <w:tab w:val="decimal" w:pos="734"/>
              </w:tabs>
              <w:jc w:val="left"/>
              <w:rPr>
                <w:sz w:val="18"/>
                <w:u w:val="single"/>
              </w:rPr>
            </w:pPr>
            <w:r w:rsidRPr="00C003FA">
              <w:rPr>
                <w:sz w:val="18"/>
                <w:u w:val="single"/>
              </w:rPr>
              <w:t xml:space="preserve">   424,026</w:t>
            </w:r>
          </w:p>
        </w:tc>
        <w:tc>
          <w:tcPr>
            <w:tcW w:w="990" w:type="dxa"/>
            <w:vAlign w:val="bottom"/>
          </w:tcPr>
          <w:p w:rsidR="00A86411" w:rsidRPr="00C003FA" w:rsidRDefault="00A86411" w:rsidP="00A4689B">
            <w:pPr>
              <w:tabs>
                <w:tab w:val="decimal" w:pos="734"/>
              </w:tabs>
              <w:jc w:val="left"/>
              <w:rPr>
                <w:sz w:val="18"/>
                <w:u w:val="single"/>
              </w:rPr>
            </w:pPr>
            <w:r w:rsidRPr="00C003FA">
              <w:rPr>
                <w:sz w:val="18"/>
                <w:u w:val="single"/>
              </w:rPr>
              <w:t xml:space="preserve">   432,960</w:t>
            </w:r>
          </w:p>
        </w:tc>
        <w:tc>
          <w:tcPr>
            <w:tcW w:w="845" w:type="dxa"/>
            <w:vAlign w:val="bottom"/>
          </w:tcPr>
          <w:p w:rsidR="00A86411" w:rsidRPr="00C003FA" w:rsidRDefault="00A86411" w:rsidP="00A4689B">
            <w:pPr>
              <w:tabs>
                <w:tab w:val="decimal" w:pos="284"/>
              </w:tabs>
              <w:jc w:val="left"/>
              <w:rPr>
                <w:sz w:val="18"/>
                <w:u w:val="single"/>
              </w:rPr>
            </w:pPr>
            <w:r w:rsidRPr="00C003FA">
              <w:rPr>
                <w:sz w:val="18"/>
                <w:u w:val="single"/>
              </w:rPr>
              <w:t>2.1</w:t>
            </w:r>
          </w:p>
        </w:tc>
      </w:tr>
      <w:tr w:rsidR="00A86411" w:rsidRPr="00C003FA" w:rsidTr="00A4689B">
        <w:trPr>
          <w:jc w:val="center"/>
        </w:trPr>
        <w:tc>
          <w:tcPr>
            <w:tcW w:w="3556" w:type="dxa"/>
            <w:vAlign w:val="bottom"/>
          </w:tcPr>
          <w:p w:rsidR="00A86411" w:rsidRPr="00C003FA" w:rsidRDefault="00A86411" w:rsidP="00A4689B">
            <w:pPr>
              <w:ind w:left="335"/>
              <w:jc w:val="left"/>
              <w:rPr>
                <w:sz w:val="18"/>
              </w:rPr>
            </w:pPr>
            <w:r w:rsidRPr="00C003FA">
              <w:rPr>
                <w:sz w:val="18"/>
              </w:rPr>
              <w:t>Total</w:t>
            </w:r>
            <w:r w:rsidRPr="00C003FA">
              <w:rPr>
                <w:sz w:val="18"/>
                <w:vertAlign w:val="superscript"/>
              </w:rPr>
              <w:t>*</w:t>
            </w:r>
          </w:p>
        </w:tc>
        <w:tc>
          <w:tcPr>
            <w:tcW w:w="991" w:type="dxa"/>
            <w:vAlign w:val="bottom"/>
          </w:tcPr>
          <w:p w:rsidR="00A86411" w:rsidRPr="00C003FA" w:rsidRDefault="00A86411" w:rsidP="00A4689B">
            <w:pPr>
              <w:tabs>
                <w:tab w:val="decimal" w:pos="734"/>
              </w:tabs>
              <w:jc w:val="left"/>
              <w:rPr>
                <w:sz w:val="18"/>
              </w:rPr>
            </w:pPr>
            <w:r w:rsidRPr="00C003FA">
              <w:rPr>
                <w:sz w:val="18"/>
              </w:rPr>
              <w:t>2,494,777</w:t>
            </w:r>
          </w:p>
        </w:tc>
        <w:tc>
          <w:tcPr>
            <w:tcW w:w="989" w:type="dxa"/>
            <w:vAlign w:val="bottom"/>
          </w:tcPr>
          <w:p w:rsidR="00A86411" w:rsidRPr="00C003FA" w:rsidRDefault="00A86411" w:rsidP="00A4689B">
            <w:pPr>
              <w:tabs>
                <w:tab w:val="decimal" w:pos="734"/>
              </w:tabs>
              <w:jc w:val="left"/>
              <w:rPr>
                <w:sz w:val="18"/>
              </w:rPr>
            </w:pPr>
            <w:r w:rsidRPr="00C003FA">
              <w:rPr>
                <w:sz w:val="18"/>
              </w:rPr>
              <w:t>2,553,045</w:t>
            </w:r>
          </w:p>
        </w:tc>
        <w:tc>
          <w:tcPr>
            <w:tcW w:w="988" w:type="dxa"/>
            <w:vAlign w:val="bottom"/>
          </w:tcPr>
          <w:p w:rsidR="00A86411" w:rsidRPr="00C003FA" w:rsidRDefault="00A86411" w:rsidP="00A4689B">
            <w:pPr>
              <w:tabs>
                <w:tab w:val="decimal" w:pos="734"/>
              </w:tabs>
              <w:jc w:val="left"/>
              <w:rPr>
                <w:sz w:val="18"/>
              </w:rPr>
            </w:pPr>
            <w:r w:rsidRPr="00C003FA">
              <w:rPr>
                <w:sz w:val="18"/>
              </w:rPr>
              <w:t>2,609,255</w:t>
            </w:r>
          </w:p>
        </w:tc>
        <w:tc>
          <w:tcPr>
            <w:tcW w:w="988" w:type="dxa"/>
            <w:vAlign w:val="bottom"/>
          </w:tcPr>
          <w:p w:rsidR="00A86411" w:rsidRPr="00C003FA" w:rsidRDefault="00A86411" w:rsidP="00A4689B">
            <w:pPr>
              <w:tabs>
                <w:tab w:val="decimal" w:pos="734"/>
              </w:tabs>
              <w:jc w:val="left"/>
              <w:rPr>
                <w:sz w:val="18"/>
              </w:rPr>
            </w:pPr>
            <w:r w:rsidRPr="00C003FA">
              <w:rPr>
                <w:sz w:val="18"/>
              </w:rPr>
              <w:t>2,673,605</w:t>
            </w:r>
          </w:p>
        </w:tc>
        <w:tc>
          <w:tcPr>
            <w:tcW w:w="988" w:type="dxa"/>
            <w:vAlign w:val="bottom"/>
          </w:tcPr>
          <w:p w:rsidR="00A86411" w:rsidRPr="00C003FA" w:rsidRDefault="00A86411" w:rsidP="00A4689B">
            <w:pPr>
              <w:tabs>
                <w:tab w:val="decimal" w:pos="734"/>
              </w:tabs>
              <w:jc w:val="left"/>
              <w:rPr>
                <w:sz w:val="18"/>
              </w:rPr>
            </w:pPr>
            <w:r w:rsidRPr="00C003FA">
              <w:rPr>
                <w:sz w:val="18"/>
              </w:rPr>
              <w:t>2,736,002</w:t>
            </w:r>
          </w:p>
        </w:tc>
        <w:tc>
          <w:tcPr>
            <w:tcW w:w="990" w:type="dxa"/>
            <w:vAlign w:val="bottom"/>
          </w:tcPr>
          <w:p w:rsidR="00A86411" w:rsidRPr="00C003FA" w:rsidRDefault="00A86411" w:rsidP="00A4689B">
            <w:pPr>
              <w:tabs>
                <w:tab w:val="decimal" w:pos="734"/>
              </w:tabs>
              <w:jc w:val="left"/>
              <w:rPr>
                <w:sz w:val="18"/>
              </w:rPr>
            </w:pPr>
            <w:r w:rsidRPr="00C003FA">
              <w:rPr>
                <w:sz w:val="18"/>
              </w:rPr>
              <w:t>2,761,346</w:t>
            </w:r>
          </w:p>
        </w:tc>
        <w:tc>
          <w:tcPr>
            <w:tcW w:w="990" w:type="dxa"/>
            <w:vAlign w:val="bottom"/>
          </w:tcPr>
          <w:p w:rsidR="00A86411" w:rsidRPr="00C003FA" w:rsidRDefault="00A86411" w:rsidP="00A4689B">
            <w:pPr>
              <w:tabs>
                <w:tab w:val="decimal" w:pos="734"/>
              </w:tabs>
              <w:jc w:val="left"/>
              <w:rPr>
                <w:sz w:val="18"/>
              </w:rPr>
            </w:pPr>
            <w:r w:rsidRPr="00C003FA">
              <w:rPr>
                <w:sz w:val="18"/>
              </w:rPr>
              <w:t>2,763,595</w:t>
            </w:r>
          </w:p>
        </w:tc>
        <w:tc>
          <w:tcPr>
            <w:tcW w:w="845" w:type="dxa"/>
            <w:vAlign w:val="bottom"/>
          </w:tcPr>
          <w:p w:rsidR="00A86411" w:rsidRPr="00C003FA" w:rsidRDefault="00A86411" w:rsidP="00A4689B">
            <w:pPr>
              <w:tabs>
                <w:tab w:val="decimal" w:pos="284"/>
              </w:tabs>
              <w:jc w:val="left"/>
              <w:rPr>
                <w:sz w:val="18"/>
              </w:rPr>
            </w:pPr>
            <w:r w:rsidRPr="00C003FA">
              <w:rPr>
                <w:sz w:val="18"/>
              </w:rPr>
              <w:t>0.1</w:t>
            </w:r>
          </w:p>
        </w:tc>
      </w:tr>
    </w:tbl>
    <w:p w:rsidR="005162B7" w:rsidRPr="008E459C" w:rsidRDefault="005162B7" w:rsidP="005162B7">
      <w:pPr>
        <w:pStyle w:val="OStablenotes"/>
        <w:keepNext w:val="0"/>
        <w:spacing w:before="80" w:after="0"/>
        <w:rPr>
          <w:spacing w:val="-3"/>
        </w:rPr>
      </w:pPr>
      <w:r>
        <w:rPr>
          <w:spacing w:val="-3"/>
        </w:rPr>
        <w:t>________________________</w:t>
      </w:r>
    </w:p>
    <w:p w:rsidR="005942B3" w:rsidRDefault="005942B3" w:rsidP="00940E5F">
      <w:pPr>
        <w:pStyle w:val="OStablenotes"/>
        <w:spacing w:before="80" w:after="0"/>
      </w:pPr>
      <w:r>
        <w:t>*</w:t>
      </w:r>
      <w:r>
        <w:tab/>
        <w:t>Industry employment levels may not add to total due to rounding.</w:t>
      </w:r>
    </w:p>
    <w:p w:rsidR="005942B3" w:rsidRDefault="005942B3" w:rsidP="00940E5F">
      <w:pPr>
        <w:pStyle w:val="OStablesources"/>
        <w:spacing w:before="80"/>
      </w:pPr>
      <w:r>
        <w:t>Source:</w:t>
      </w:r>
      <w:r>
        <w:tab/>
        <w:t>Colorado Department of Labor and Employment, Quarterly Census of Employment and Wages.</w:t>
      </w:r>
    </w:p>
    <w:p w:rsidR="005162B7" w:rsidRDefault="005162B7">
      <w:pPr>
        <w:spacing w:after="160" w:line="259" w:lineRule="auto"/>
        <w:jc w:val="left"/>
        <w:rPr>
          <w:rFonts w:eastAsia="Times New Roman" w:cs="Times New Roman"/>
          <w:szCs w:val="24"/>
        </w:rPr>
      </w:pPr>
      <w:r>
        <w:br w:type="page"/>
      </w:r>
    </w:p>
    <w:p w:rsidR="005942B3" w:rsidRDefault="005942B3" w:rsidP="00940E5F">
      <w:pPr>
        <w:pStyle w:val="BodyText1"/>
      </w:pPr>
      <w:r w:rsidRPr="005942B3">
        <w:t>The following table shows the largest private sector employers in Colorado based on the most current info</w:t>
      </w:r>
      <w:r w:rsidR="00A86411">
        <w:t>rmation available as of May 2020</w:t>
      </w:r>
      <w:r w:rsidRPr="005942B3">
        <w:t>. No independent investigation has been made, and no representation is made herein as to the financial condition of the employers listed below or the likelihood that these employers will maintain their status as major employers in the state. Employment counts for these businesses may have changed since this table was compiled, and other large employers may exist in the State that are not included in the table.</w:t>
      </w:r>
    </w:p>
    <w:tbl>
      <w:tblPr>
        <w:tblStyle w:val="TableGrid20"/>
        <w:tblW w:w="1040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9"/>
        <w:gridCol w:w="3895"/>
        <w:gridCol w:w="2257"/>
      </w:tblGrid>
      <w:tr w:rsidR="00A86411" w:rsidRPr="00C003FA" w:rsidTr="00A4689B">
        <w:trPr>
          <w:jc w:val="center"/>
        </w:trPr>
        <w:tc>
          <w:tcPr>
            <w:tcW w:w="10401" w:type="dxa"/>
            <w:gridSpan w:val="3"/>
            <w:vAlign w:val="bottom"/>
          </w:tcPr>
          <w:p w:rsidR="00A86411" w:rsidRPr="00C003FA" w:rsidRDefault="00A86411" w:rsidP="00A4689B">
            <w:pPr>
              <w:spacing w:after="240"/>
              <w:jc w:val="center"/>
            </w:pPr>
            <w:r w:rsidRPr="00C003FA">
              <w:t>Estimated Largest Private Sector Employers in Colorado</w:t>
            </w:r>
          </w:p>
        </w:tc>
      </w:tr>
      <w:tr w:rsidR="00A86411" w:rsidRPr="00C003FA" w:rsidTr="00A4689B">
        <w:trPr>
          <w:jc w:val="center"/>
        </w:trPr>
        <w:tc>
          <w:tcPr>
            <w:tcW w:w="4249" w:type="dxa"/>
            <w:vAlign w:val="bottom"/>
          </w:tcPr>
          <w:p w:rsidR="00A86411" w:rsidRPr="00C003FA" w:rsidRDefault="00A86411" w:rsidP="00A4689B">
            <w:pPr>
              <w:pBdr>
                <w:bottom w:val="single" w:sz="4" w:space="1" w:color="auto"/>
              </w:pBdr>
              <w:spacing w:after="120"/>
              <w:jc w:val="center"/>
            </w:pPr>
            <w:r w:rsidRPr="00C003FA">
              <w:t>Employer</w:t>
            </w:r>
          </w:p>
        </w:tc>
        <w:tc>
          <w:tcPr>
            <w:tcW w:w="3895" w:type="dxa"/>
            <w:vAlign w:val="bottom"/>
          </w:tcPr>
          <w:p w:rsidR="00A86411" w:rsidRPr="00C003FA" w:rsidRDefault="00A86411" w:rsidP="00A4689B">
            <w:pPr>
              <w:pBdr>
                <w:bottom w:val="single" w:sz="4" w:space="1" w:color="auto"/>
              </w:pBdr>
              <w:spacing w:after="120"/>
              <w:jc w:val="center"/>
            </w:pPr>
            <w:r w:rsidRPr="00C003FA">
              <w:t>Type of Business</w:t>
            </w:r>
          </w:p>
        </w:tc>
        <w:tc>
          <w:tcPr>
            <w:tcW w:w="2257" w:type="dxa"/>
            <w:vAlign w:val="bottom"/>
          </w:tcPr>
          <w:p w:rsidR="00A86411" w:rsidRPr="00C003FA" w:rsidRDefault="00A86411" w:rsidP="00A4689B">
            <w:pPr>
              <w:pBdr>
                <w:bottom w:val="single" w:sz="4" w:space="1" w:color="auto"/>
              </w:pBdr>
              <w:spacing w:after="120"/>
              <w:jc w:val="center"/>
            </w:pPr>
            <w:r w:rsidRPr="00C003FA">
              <w:t>Estimated Employees</w:t>
            </w:r>
            <w:r w:rsidRPr="00C003FA">
              <w:rPr>
                <w:vertAlign w:val="superscript"/>
              </w:rPr>
              <w:t>1</w:t>
            </w:r>
          </w:p>
        </w:tc>
      </w:tr>
      <w:tr w:rsidR="00A86411" w:rsidRPr="00C003FA" w:rsidTr="00A4689B">
        <w:trPr>
          <w:jc w:val="center"/>
        </w:trPr>
        <w:tc>
          <w:tcPr>
            <w:tcW w:w="4249" w:type="dxa"/>
            <w:vAlign w:val="bottom"/>
          </w:tcPr>
          <w:p w:rsidR="00A86411" w:rsidRPr="00C003FA" w:rsidRDefault="00A86411" w:rsidP="00A4689B">
            <w:pPr>
              <w:jc w:val="left"/>
            </w:pPr>
            <w:r w:rsidRPr="00C003FA">
              <w:t>Wal-Mart</w:t>
            </w:r>
          </w:p>
        </w:tc>
        <w:tc>
          <w:tcPr>
            <w:tcW w:w="3895" w:type="dxa"/>
            <w:vAlign w:val="bottom"/>
          </w:tcPr>
          <w:p w:rsidR="00A86411" w:rsidRPr="00C003FA" w:rsidRDefault="00A86411" w:rsidP="00A4689B">
            <w:pPr>
              <w:jc w:val="left"/>
            </w:pPr>
            <w:r w:rsidRPr="00C003FA">
              <w:t xml:space="preserve">General Merchandise </w:t>
            </w:r>
          </w:p>
        </w:tc>
        <w:tc>
          <w:tcPr>
            <w:tcW w:w="2257" w:type="dxa"/>
            <w:vAlign w:val="bottom"/>
          </w:tcPr>
          <w:p w:rsidR="00A86411" w:rsidRPr="00C003FA" w:rsidRDefault="00A86411" w:rsidP="00A4689B">
            <w:pPr>
              <w:tabs>
                <w:tab w:val="decimal" w:pos="1269"/>
              </w:tabs>
              <w:jc w:val="left"/>
            </w:pPr>
            <w:r w:rsidRPr="00C003FA">
              <w:t>27,500</w:t>
            </w:r>
          </w:p>
        </w:tc>
      </w:tr>
      <w:tr w:rsidR="00A86411" w:rsidRPr="00C003FA" w:rsidTr="00A4689B">
        <w:trPr>
          <w:jc w:val="center"/>
        </w:trPr>
        <w:tc>
          <w:tcPr>
            <w:tcW w:w="4249" w:type="dxa"/>
            <w:vAlign w:val="bottom"/>
          </w:tcPr>
          <w:p w:rsidR="00A86411" w:rsidRPr="00C003FA" w:rsidRDefault="00A86411" w:rsidP="00A4689B">
            <w:pPr>
              <w:jc w:val="left"/>
            </w:pPr>
            <w:r w:rsidRPr="00C003FA">
              <w:t>UCHealth</w:t>
            </w:r>
          </w:p>
        </w:tc>
        <w:tc>
          <w:tcPr>
            <w:tcW w:w="3895" w:type="dxa"/>
            <w:vAlign w:val="bottom"/>
          </w:tcPr>
          <w:p w:rsidR="00A86411" w:rsidRPr="00C003FA" w:rsidRDefault="00A86411" w:rsidP="00A4689B">
            <w:pPr>
              <w:jc w:val="left"/>
            </w:pPr>
            <w:r w:rsidRPr="00C003FA">
              <w:t>Healthcare</w:t>
            </w:r>
          </w:p>
        </w:tc>
        <w:tc>
          <w:tcPr>
            <w:tcW w:w="2257" w:type="dxa"/>
            <w:vAlign w:val="bottom"/>
          </w:tcPr>
          <w:p w:rsidR="00A86411" w:rsidRPr="00C003FA" w:rsidRDefault="00A86411" w:rsidP="00A4689B">
            <w:pPr>
              <w:tabs>
                <w:tab w:val="decimal" w:pos="1269"/>
              </w:tabs>
              <w:jc w:val="left"/>
            </w:pPr>
            <w:r w:rsidRPr="00C003FA">
              <w:t>23,500</w:t>
            </w:r>
          </w:p>
        </w:tc>
      </w:tr>
      <w:tr w:rsidR="00A86411" w:rsidRPr="00C003FA" w:rsidTr="00A4689B">
        <w:trPr>
          <w:jc w:val="center"/>
        </w:trPr>
        <w:tc>
          <w:tcPr>
            <w:tcW w:w="4249" w:type="dxa"/>
            <w:vAlign w:val="bottom"/>
          </w:tcPr>
          <w:p w:rsidR="00A86411" w:rsidRPr="00C003FA" w:rsidRDefault="00A86411" w:rsidP="00A4689B">
            <w:pPr>
              <w:jc w:val="left"/>
            </w:pPr>
            <w:r w:rsidRPr="00C003FA">
              <w:t>The Kroger Co. (King Soopers/City Market)</w:t>
            </w:r>
          </w:p>
        </w:tc>
        <w:tc>
          <w:tcPr>
            <w:tcW w:w="3895" w:type="dxa"/>
            <w:vAlign w:val="bottom"/>
          </w:tcPr>
          <w:p w:rsidR="00A86411" w:rsidRPr="00C003FA" w:rsidRDefault="00A86411" w:rsidP="00A4689B">
            <w:pPr>
              <w:jc w:val="left"/>
            </w:pPr>
            <w:r w:rsidRPr="00C003FA">
              <w:t>Supermarkets</w:t>
            </w:r>
          </w:p>
        </w:tc>
        <w:tc>
          <w:tcPr>
            <w:tcW w:w="2257" w:type="dxa"/>
            <w:vAlign w:val="bottom"/>
          </w:tcPr>
          <w:p w:rsidR="00A86411" w:rsidRPr="00C003FA" w:rsidRDefault="00A86411" w:rsidP="00A4689B">
            <w:pPr>
              <w:tabs>
                <w:tab w:val="decimal" w:pos="1269"/>
              </w:tabs>
              <w:jc w:val="left"/>
            </w:pPr>
            <w:r w:rsidRPr="00C003FA">
              <w:t>20,900</w:t>
            </w:r>
          </w:p>
        </w:tc>
      </w:tr>
      <w:tr w:rsidR="00A86411" w:rsidRPr="00C003FA" w:rsidTr="00A4689B">
        <w:trPr>
          <w:jc w:val="center"/>
        </w:trPr>
        <w:tc>
          <w:tcPr>
            <w:tcW w:w="4249" w:type="dxa"/>
            <w:vAlign w:val="bottom"/>
          </w:tcPr>
          <w:p w:rsidR="00A86411" w:rsidRPr="00C003FA" w:rsidRDefault="00A86411" w:rsidP="00A4689B">
            <w:pPr>
              <w:jc w:val="left"/>
            </w:pPr>
            <w:r w:rsidRPr="00C003FA">
              <w:t>Centura Health</w:t>
            </w:r>
          </w:p>
        </w:tc>
        <w:tc>
          <w:tcPr>
            <w:tcW w:w="3895" w:type="dxa"/>
            <w:vAlign w:val="bottom"/>
          </w:tcPr>
          <w:p w:rsidR="00A86411" w:rsidRPr="00C003FA" w:rsidRDefault="00A86411" w:rsidP="00A4689B">
            <w:pPr>
              <w:jc w:val="left"/>
            </w:pPr>
            <w:r w:rsidRPr="00C003FA">
              <w:t>Healthcare</w:t>
            </w:r>
          </w:p>
        </w:tc>
        <w:tc>
          <w:tcPr>
            <w:tcW w:w="2257" w:type="dxa"/>
            <w:vAlign w:val="bottom"/>
          </w:tcPr>
          <w:p w:rsidR="00A86411" w:rsidRPr="00C003FA" w:rsidRDefault="00A86411" w:rsidP="00A4689B">
            <w:pPr>
              <w:tabs>
                <w:tab w:val="decimal" w:pos="1269"/>
              </w:tabs>
              <w:jc w:val="left"/>
            </w:pPr>
            <w:r w:rsidRPr="00C003FA">
              <w:t>14,500</w:t>
            </w:r>
          </w:p>
        </w:tc>
      </w:tr>
      <w:tr w:rsidR="00A86411" w:rsidRPr="00C003FA" w:rsidTr="00A4689B">
        <w:trPr>
          <w:jc w:val="center"/>
        </w:trPr>
        <w:tc>
          <w:tcPr>
            <w:tcW w:w="4249" w:type="dxa"/>
            <w:vAlign w:val="bottom"/>
          </w:tcPr>
          <w:p w:rsidR="00A86411" w:rsidRPr="00C003FA" w:rsidRDefault="00A86411" w:rsidP="00A4689B">
            <w:pPr>
              <w:jc w:val="left"/>
            </w:pPr>
            <w:r w:rsidRPr="00C003FA">
              <w:t>HealthONE Corporation</w:t>
            </w:r>
          </w:p>
        </w:tc>
        <w:tc>
          <w:tcPr>
            <w:tcW w:w="3895" w:type="dxa"/>
            <w:vAlign w:val="bottom"/>
          </w:tcPr>
          <w:p w:rsidR="00A86411" w:rsidRPr="00C003FA" w:rsidRDefault="00A86411" w:rsidP="00A4689B">
            <w:pPr>
              <w:jc w:val="left"/>
            </w:pPr>
            <w:r w:rsidRPr="00C003FA">
              <w:t>Healthcare</w:t>
            </w:r>
          </w:p>
        </w:tc>
        <w:tc>
          <w:tcPr>
            <w:tcW w:w="2257" w:type="dxa"/>
            <w:vAlign w:val="bottom"/>
          </w:tcPr>
          <w:p w:rsidR="00A86411" w:rsidRPr="00C003FA" w:rsidRDefault="00A86411" w:rsidP="00A4689B">
            <w:pPr>
              <w:tabs>
                <w:tab w:val="decimal" w:pos="1269"/>
              </w:tabs>
              <w:jc w:val="left"/>
            </w:pPr>
            <w:r w:rsidRPr="00C003FA">
              <w:t>12,400</w:t>
            </w:r>
          </w:p>
        </w:tc>
      </w:tr>
      <w:tr w:rsidR="00A86411" w:rsidRPr="00C003FA" w:rsidTr="00A4689B">
        <w:trPr>
          <w:jc w:val="center"/>
        </w:trPr>
        <w:tc>
          <w:tcPr>
            <w:tcW w:w="4249" w:type="dxa"/>
            <w:vAlign w:val="bottom"/>
          </w:tcPr>
          <w:p w:rsidR="00A86411" w:rsidRPr="00C003FA" w:rsidRDefault="00A86411" w:rsidP="00A4689B">
            <w:pPr>
              <w:jc w:val="left"/>
            </w:pPr>
            <w:r w:rsidRPr="00C003FA">
              <w:t>Lockheed Martin Corporation</w:t>
            </w:r>
          </w:p>
        </w:tc>
        <w:tc>
          <w:tcPr>
            <w:tcW w:w="3895" w:type="dxa"/>
            <w:vAlign w:val="bottom"/>
          </w:tcPr>
          <w:p w:rsidR="00A86411" w:rsidRPr="00C003FA" w:rsidRDefault="00A86411" w:rsidP="00A4689B">
            <w:pPr>
              <w:jc w:val="left"/>
            </w:pPr>
            <w:r w:rsidRPr="00C003FA">
              <w:t>Aerospace &amp; Defense Related Systems</w:t>
            </w:r>
          </w:p>
        </w:tc>
        <w:tc>
          <w:tcPr>
            <w:tcW w:w="2257" w:type="dxa"/>
            <w:vAlign w:val="bottom"/>
          </w:tcPr>
          <w:p w:rsidR="00A86411" w:rsidRPr="00C003FA" w:rsidRDefault="00A86411" w:rsidP="00A4689B">
            <w:pPr>
              <w:tabs>
                <w:tab w:val="decimal" w:pos="1269"/>
              </w:tabs>
              <w:jc w:val="left"/>
            </w:pPr>
            <w:r w:rsidRPr="00C003FA">
              <w:t>10,500</w:t>
            </w:r>
          </w:p>
        </w:tc>
      </w:tr>
      <w:tr w:rsidR="00A86411" w:rsidRPr="00C003FA" w:rsidTr="00A4689B">
        <w:trPr>
          <w:jc w:val="center"/>
        </w:trPr>
        <w:tc>
          <w:tcPr>
            <w:tcW w:w="4249" w:type="dxa"/>
            <w:vAlign w:val="bottom"/>
          </w:tcPr>
          <w:p w:rsidR="00A86411" w:rsidRPr="00C003FA" w:rsidRDefault="00A86411" w:rsidP="00A4689B">
            <w:pPr>
              <w:jc w:val="left"/>
            </w:pPr>
            <w:r w:rsidRPr="00C003FA">
              <w:t>SCL Health System</w:t>
            </w:r>
          </w:p>
        </w:tc>
        <w:tc>
          <w:tcPr>
            <w:tcW w:w="3895" w:type="dxa"/>
            <w:vAlign w:val="bottom"/>
          </w:tcPr>
          <w:p w:rsidR="00A86411" w:rsidRPr="00C003FA" w:rsidRDefault="00A86411" w:rsidP="00A4689B">
            <w:pPr>
              <w:jc w:val="left"/>
            </w:pPr>
            <w:r w:rsidRPr="00C003FA">
              <w:t>Healthcare</w:t>
            </w:r>
          </w:p>
        </w:tc>
        <w:tc>
          <w:tcPr>
            <w:tcW w:w="2257" w:type="dxa"/>
            <w:vAlign w:val="bottom"/>
          </w:tcPr>
          <w:p w:rsidR="00A86411" w:rsidRPr="00C003FA" w:rsidRDefault="00A86411" w:rsidP="00A4689B">
            <w:pPr>
              <w:tabs>
                <w:tab w:val="decimal" w:pos="1269"/>
              </w:tabs>
              <w:jc w:val="left"/>
            </w:pPr>
            <w:r w:rsidRPr="00C003FA">
              <w:t>10,000</w:t>
            </w:r>
          </w:p>
        </w:tc>
      </w:tr>
      <w:tr w:rsidR="00A86411" w:rsidRPr="00C003FA" w:rsidTr="00A4689B">
        <w:trPr>
          <w:jc w:val="center"/>
        </w:trPr>
        <w:tc>
          <w:tcPr>
            <w:tcW w:w="4249" w:type="dxa"/>
            <w:vAlign w:val="bottom"/>
          </w:tcPr>
          <w:p w:rsidR="00A86411" w:rsidRPr="00C003FA" w:rsidRDefault="00A86411" w:rsidP="00A4689B">
            <w:pPr>
              <w:jc w:val="left"/>
            </w:pPr>
            <w:r w:rsidRPr="00C003FA">
              <w:t xml:space="preserve">Comcast </w:t>
            </w:r>
          </w:p>
        </w:tc>
        <w:tc>
          <w:tcPr>
            <w:tcW w:w="3895" w:type="dxa"/>
            <w:vAlign w:val="bottom"/>
          </w:tcPr>
          <w:p w:rsidR="00A86411" w:rsidRPr="00C003FA" w:rsidRDefault="00A86411" w:rsidP="00A4689B">
            <w:pPr>
              <w:jc w:val="left"/>
            </w:pPr>
            <w:r w:rsidRPr="00C003FA">
              <w:t>Telecommunications</w:t>
            </w:r>
          </w:p>
        </w:tc>
        <w:tc>
          <w:tcPr>
            <w:tcW w:w="2257" w:type="dxa"/>
            <w:vAlign w:val="bottom"/>
          </w:tcPr>
          <w:p w:rsidR="00A86411" w:rsidRPr="00C003FA" w:rsidRDefault="00A86411" w:rsidP="00A4689B">
            <w:pPr>
              <w:tabs>
                <w:tab w:val="decimal" w:pos="1269"/>
              </w:tabs>
              <w:jc w:val="left"/>
            </w:pPr>
            <w:r w:rsidRPr="00C003FA">
              <w:t>9,000</w:t>
            </w:r>
          </w:p>
        </w:tc>
      </w:tr>
      <w:tr w:rsidR="00A86411" w:rsidRPr="00C003FA" w:rsidTr="00A4689B">
        <w:trPr>
          <w:jc w:val="center"/>
        </w:trPr>
        <w:tc>
          <w:tcPr>
            <w:tcW w:w="4249" w:type="dxa"/>
            <w:vAlign w:val="bottom"/>
          </w:tcPr>
          <w:p w:rsidR="00A86411" w:rsidRPr="00C003FA" w:rsidRDefault="00A86411" w:rsidP="00A4689B">
            <w:pPr>
              <w:jc w:val="left"/>
            </w:pPr>
            <w:r w:rsidRPr="00C003FA">
              <w:t>Amazon</w:t>
            </w:r>
          </w:p>
        </w:tc>
        <w:tc>
          <w:tcPr>
            <w:tcW w:w="3895" w:type="dxa"/>
            <w:vAlign w:val="bottom"/>
          </w:tcPr>
          <w:p w:rsidR="00A86411" w:rsidRPr="00C003FA" w:rsidRDefault="00A86411" w:rsidP="00A4689B">
            <w:pPr>
              <w:jc w:val="left"/>
            </w:pPr>
            <w:r w:rsidRPr="00C003FA">
              <w:t>Warehousing &amp; Distribution Services</w:t>
            </w:r>
          </w:p>
        </w:tc>
        <w:tc>
          <w:tcPr>
            <w:tcW w:w="2257" w:type="dxa"/>
            <w:vAlign w:val="bottom"/>
          </w:tcPr>
          <w:p w:rsidR="00A86411" w:rsidRPr="00C003FA" w:rsidRDefault="00A86411" w:rsidP="00A4689B">
            <w:pPr>
              <w:tabs>
                <w:tab w:val="decimal" w:pos="1269"/>
              </w:tabs>
              <w:jc w:val="left"/>
            </w:pPr>
            <w:r w:rsidRPr="00C003FA">
              <w:t>8,100</w:t>
            </w:r>
          </w:p>
        </w:tc>
      </w:tr>
      <w:tr w:rsidR="00A86411" w:rsidRPr="00C003FA" w:rsidTr="00A4689B">
        <w:trPr>
          <w:jc w:val="center"/>
        </w:trPr>
        <w:tc>
          <w:tcPr>
            <w:tcW w:w="4249" w:type="dxa"/>
            <w:vAlign w:val="bottom"/>
          </w:tcPr>
          <w:p w:rsidR="00A86411" w:rsidRPr="00C003FA" w:rsidRDefault="00A86411" w:rsidP="00A4689B">
            <w:pPr>
              <w:jc w:val="left"/>
            </w:pPr>
            <w:r w:rsidRPr="00C003FA">
              <w:t>Home Depot</w:t>
            </w:r>
          </w:p>
        </w:tc>
        <w:tc>
          <w:tcPr>
            <w:tcW w:w="3895" w:type="dxa"/>
            <w:vAlign w:val="bottom"/>
          </w:tcPr>
          <w:p w:rsidR="00A86411" w:rsidRPr="00C003FA" w:rsidRDefault="00A86411" w:rsidP="00A4689B">
            <w:pPr>
              <w:jc w:val="left"/>
            </w:pPr>
            <w:r w:rsidRPr="00C003FA">
              <w:t>Building Materials Retailer</w:t>
            </w:r>
          </w:p>
        </w:tc>
        <w:tc>
          <w:tcPr>
            <w:tcW w:w="2257" w:type="dxa"/>
            <w:vAlign w:val="bottom"/>
          </w:tcPr>
          <w:p w:rsidR="00A86411" w:rsidRPr="00C003FA" w:rsidRDefault="00A86411" w:rsidP="00A4689B">
            <w:pPr>
              <w:tabs>
                <w:tab w:val="decimal" w:pos="1269"/>
              </w:tabs>
              <w:jc w:val="left"/>
            </w:pPr>
            <w:r w:rsidRPr="00C003FA">
              <w:t>8,000</w:t>
            </w:r>
          </w:p>
        </w:tc>
      </w:tr>
      <w:tr w:rsidR="00A86411" w:rsidRPr="00C003FA" w:rsidTr="00A4689B">
        <w:trPr>
          <w:jc w:val="center"/>
        </w:trPr>
        <w:tc>
          <w:tcPr>
            <w:tcW w:w="4249" w:type="dxa"/>
            <w:vAlign w:val="bottom"/>
          </w:tcPr>
          <w:p w:rsidR="00A86411" w:rsidRPr="00C003FA" w:rsidRDefault="00A86411" w:rsidP="00A4689B">
            <w:pPr>
              <w:jc w:val="left"/>
            </w:pPr>
            <w:r w:rsidRPr="00C003FA">
              <w:t>Children’s Hospital Colorado</w:t>
            </w:r>
          </w:p>
        </w:tc>
        <w:tc>
          <w:tcPr>
            <w:tcW w:w="3895" w:type="dxa"/>
            <w:vAlign w:val="bottom"/>
          </w:tcPr>
          <w:p w:rsidR="00A86411" w:rsidRPr="00C003FA" w:rsidRDefault="00A86411" w:rsidP="00A4689B">
            <w:pPr>
              <w:jc w:val="left"/>
            </w:pPr>
            <w:r w:rsidRPr="00C003FA">
              <w:t>Healthcare</w:t>
            </w:r>
          </w:p>
        </w:tc>
        <w:tc>
          <w:tcPr>
            <w:tcW w:w="2257" w:type="dxa"/>
            <w:vAlign w:val="bottom"/>
          </w:tcPr>
          <w:p w:rsidR="00A86411" w:rsidRPr="00C003FA" w:rsidRDefault="00A86411" w:rsidP="00A4689B">
            <w:pPr>
              <w:tabs>
                <w:tab w:val="decimal" w:pos="1269"/>
              </w:tabs>
              <w:jc w:val="left"/>
            </w:pPr>
            <w:r w:rsidRPr="00C003FA">
              <w:t>7,800</w:t>
            </w:r>
          </w:p>
        </w:tc>
      </w:tr>
      <w:tr w:rsidR="00A86411" w:rsidRPr="00C003FA" w:rsidTr="00A4689B">
        <w:trPr>
          <w:jc w:val="center"/>
        </w:trPr>
        <w:tc>
          <w:tcPr>
            <w:tcW w:w="4249" w:type="dxa"/>
            <w:vAlign w:val="bottom"/>
          </w:tcPr>
          <w:p w:rsidR="00A86411" w:rsidRPr="00C003FA" w:rsidRDefault="00A86411" w:rsidP="00A4689B">
            <w:pPr>
              <w:jc w:val="left"/>
            </w:pPr>
            <w:r w:rsidRPr="00C003FA">
              <w:t>CenturyLink</w:t>
            </w:r>
          </w:p>
        </w:tc>
        <w:tc>
          <w:tcPr>
            <w:tcW w:w="3895" w:type="dxa"/>
            <w:vAlign w:val="bottom"/>
          </w:tcPr>
          <w:p w:rsidR="00A86411" w:rsidRPr="00C003FA" w:rsidRDefault="00A86411" w:rsidP="00A4689B">
            <w:pPr>
              <w:jc w:val="left"/>
            </w:pPr>
            <w:r w:rsidRPr="00C003FA">
              <w:t>Telecommunications</w:t>
            </w:r>
          </w:p>
        </w:tc>
        <w:tc>
          <w:tcPr>
            <w:tcW w:w="2257" w:type="dxa"/>
            <w:vAlign w:val="bottom"/>
          </w:tcPr>
          <w:p w:rsidR="00A86411" w:rsidRPr="00C003FA" w:rsidRDefault="00A86411" w:rsidP="00A4689B">
            <w:pPr>
              <w:tabs>
                <w:tab w:val="decimal" w:pos="1269"/>
              </w:tabs>
              <w:jc w:val="left"/>
            </w:pPr>
            <w:r w:rsidRPr="00C003FA">
              <w:t>7,800</w:t>
            </w:r>
          </w:p>
        </w:tc>
      </w:tr>
      <w:tr w:rsidR="00A86411" w:rsidRPr="00C003FA" w:rsidTr="00A4689B">
        <w:trPr>
          <w:jc w:val="center"/>
        </w:trPr>
        <w:tc>
          <w:tcPr>
            <w:tcW w:w="4249" w:type="dxa"/>
            <w:vAlign w:val="bottom"/>
          </w:tcPr>
          <w:p w:rsidR="00A86411" w:rsidRPr="00C003FA" w:rsidRDefault="00A86411" w:rsidP="00A4689B">
            <w:pPr>
              <w:jc w:val="left"/>
            </w:pPr>
            <w:r w:rsidRPr="00C003FA">
              <w:t>Target Corporation</w:t>
            </w:r>
          </w:p>
        </w:tc>
        <w:tc>
          <w:tcPr>
            <w:tcW w:w="3895" w:type="dxa"/>
            <w:vAlign w:val="bottom"/>
          </w:tcPr>
          <w:p w:rsidR="00A86411" w:rsidRPr="00C003FA" w:rsidRDefault="00A86411" w:rsidP="00A4689B">
            <w:pPr>
              <w:jc w:val="left"/>
            </w:pPr>
            <w:r w:rsidRPr="00C003FA">
              <w:t>General Merchandise</w:t>
            </w:r>
          </w:p>
        </w:tc>
        <w:tc>
          <w:tcPr>
            <w:tcW w:w="2257" w:type="dxa"/>
            <w:vAlign w:val="bottom"/>
          </w:tcPr>
          <w:p w:rsidR="00A86411" w:rsidRPr="00C003FA" w:rsidRDefault="00A86411" w:rsidP="00A4689B">
            <w:pPr>
              <w:tabs>
                <w:tab w:val="decimal" w:pos="1269"/>
              </w:tabs>
              <w:jc w:val="left"/>
            </w:pPr>
            <w:r w:rsidRPr="00C003FA">
              <w:t>7,600</w:t>
            </w:r>
          </w:p>
        </w:tc>
      </w:tr>
      <w:tr w:rsidR="00A86411" w:rsidRPr="00C003FA" w:rsidTr="00A4689B">
        <w:trPr>
          <w:jc w:val="center"/>
        </w:trPr>
        <w:tc>
          <w:tcPr>
            <w:tcW w:w="4249" w:type="dxa"/>
            <w:vAlign w:val="bottom"/>
          </w:tcPr>
          <w:p w:rsidR="00A86411" w:rsidRPr="00C003FA" w:rsidRDefault="00A86411" w:rsidP="00A4689B">
            <w:pPr>
              <w:jc w:val="left"/>
            </w:pPr>
            <w:r w:rsidRPr="00C003FA">
              <w:t>Safeway Inc.</w:t>
            </w:r>
          </w:p>
        </w:tc>
        <w:tc>
          <w:tcPr>
            <w:tcW w:w="3895" w:type="dxa"/>
            <w:vAlign w:val="bottom"/>
          </w:tcPr>
          <w:p w:rsidR="00A86411" w:rsidRPr="00C003FA" w:rsidRDefault="00A86411" w:rsidP="00A4689B">
            <w:pPr>
              <w:jc w:val="left"/>
            </w:pPr>
            <w:r w:rsidRPr="00C003FA">
              <w:t>Supermarkets</w:t>
            </w:r>
          </w:p>
        </w:tc>
        <w:tc>
          <w:tcPr>
            <w:tcW w:w="2257" w:type="dxa"/>
            <w:vAlign w:val="bottom"/>
          </w:tcPr>
          <w:p w:rsidR="00A86411" w:rsidRPr="00C003FA" w:rsidRDefault="00A86411" w:rsidP="00A4689B">
            <w:pPr>
              <w:tabs>
                <w:tab w:val="decimal" w:pos="1269"/>
              </w:tabs>
              <w:jc w:val="left"/>
            </w:pPr>
            <w:r w:rsidRPr="00C003FA">
              <w:t>7,300</w:t>
            </w:r>
          </w:p>
        </w:tc>
      </w:tr>
      <w:tr w:rsidR="00A86411" w:rsidRPr="00C003FA" w:rsidTr="00A4689B">
        <w:trPr>
          <w:jc w:val="center"/>
        </w:trPr>
        <w:tc>
          <w:tcPr>
            <w:tcW w:w="4249" w:type="dxa"/>
            <w:vAlign w:val="bottom"/>
          </w:tcPr>
          <w:p w:rsidR="00A86411" w:rsidRPr="00C003FA" w:rsidRDefault="00A86411" w:rsidP="00A4689B">
            <w:pPr>
              <w:jc w:val="left"/>
            </w:pPr>
            <w:r w:rsidRPr="00C003FA">
              <w:t>United Airlines</w:t>
            </w:r>
          </w:p>
        </w:tc>
        <w:tc>
          <w:tcPr>
            <w:tcW w:w="3895" w:type="dxa"/>
            <w:vAlign w:val="bottom"/>
          </w:tcPr>
          <w:p w:rsidR="00A86411" w:rsidRPr="00C003FA" w:rsidRDefault="00A86411" w:rsidP="00A4689B">
            <w:pPr>
              <w:jc w:val="left"/>
            </w:pPr>
            <w:r w:rsidRPr="00C003FA">
              <w:t>Airline</w:t>
            </w:r>
          </w:p>
        </w:tc>
        <w:tc>
          <w:tcPr>
            <w:tcW w:w="2257" w:type="dxa"/>
            <w:vAlign w:val="bottom"/>
          </w:tcPr>
          <w:p w:rsidR="00A86411" w:rsidRPr="00C003FA" w:rsidRDefault="00A86411" w:rsidP="00A4689B">
            <w:pPr>
              <w:tabs>
                <w:tab w:val="decimal" w:pos="1269"/>
              </w:tabs>
              <w:jc w:val="left"/>
            </w:pPr>
            <w:r w:rsidRPr="00C003FA">
              <w:t>7,000</w:t>
            </w:r>
          </w:p>
        </w:tc>
      </w:tr>
      <w:tr w:rsidR="00A86411" w:rsidRPr="00C003FA" w:rsidTr="00A4689B">
        <w:trPr>
          <w:jc w:val="center"/>
        </w:trPr>
        <w:tc>
          <w:tcPr>
            <w:tcW w:w="4249" w:type="dxa"/>
            <w:vAlign w:val="bottom"/>
          </w:tcPr>
          <w:p w:rsidR="00A86411" w:rsidRPr="00C003FA" w:rsidRDefault="00A86411" w:rsidP="00A4689B">
            <w:pPr>
              <w:jc w:val="left"/>
            </w:pPr>
            <w:r w:rsidRPr="00C003FA">
              <w:t>Kaiser Permanente</w:t>
            </w:r>
          </w:p>
        </w:tc>
        <w:tc>
          <w:tcPr>
            <w:tcW w:w="3895" w:type="dxa"/>
            <w:vAlign w:val="bottom"/>
          </w:tcPr>
          <w:p w:rsidR="00A86411" w:rsidRPr="00C003FA" w:rsidRDefault="00A86411" w:rsidP="00A4689B">
            <w:pPr>
              <w:jc w:val="left"/>
            </w:pPr>
            <w:r w:rsidRPr="00C003FA">
              <w:t>Health Maintenance Organization</w:t>
            </w:r>
          </w:p>
        </w:tc>
        <w:tc>
          <w:tcPr>
            <w:tcW w:w="2257" w:type="dxa"/>
            <w:vAlign w:val="bottom"/>
          </w:tcPr>
          <w:p w:rsidR="00A86411" w:rsidRPr="00C003FA" w:rsidRDefault="00A86411" w:rsidP="00A4689B">
            <w:pPr>
              <w:tabs>
                <w:tab w:val="decimal" w:pos="1269"/>
              </w:tabs>
              <w:jc w:val="left"/>
            </w:pPr>
            <w:r w:rsidRPr="00C003FA">
              <w:t>6,700</w:t>
            </w:r>
          </w:p>
        </w:tc>
      </w:tr>
      <w:tr w:rsidR="00A86411" w:rsidRPr="00C003FA" w:rsidTr="00A4689B">
        <w:trPr>
          <w:jc w:val="center"/>
        </w:trPr>
        <w:tc>
          <w:tcPr>
            <w:tcW w:w="4249" w:type="dxa"/>
            <w:vAlign w:val="bottom"/>
          </w:tcPr>
          <w:p w:rsidR="00A86411" w:rsidRPr="00C003FA" w:rsidRDefault="00A86411" w:rsidP="00A4689B">
            <w:pPr>
              <w:jc w:val="left"/>
            </w:pPr>
            <w:r w:rsidRPr="00C003FA">
              <w:t>JBS Swift &amp; Company</w:t>
            </w:r>
          </w:p>
        </w:tc>
        <w:tc>
          <w:tcPr>
            <w:tcW w:w="3895" w:type="dxa"/>
            <w:vAlign w:val="bottom"/>
          </w:tcPr>
          <w:p w:rsidR="00A86411" w:rsidRPr="00C003FA" w:rsidRDefault="00A86411" w:rsidP="00A4689B">
            <w:pPr>
              <w:jc w:val="left"/>
            </w:pPr>
            <w:r w:rsidRPr="00C003FA">
              <w:t>Beef Processing/Corporate Office</w:t>
            </w:r>
          </w:p>
        </w:tc>
        <w:tc>
          <w:tcPr>
            <w:tcW w:w="2257" w:type="dxa"/>
            <w:vAlign w:val="bottom"/>
          </w:tcPr>
          <w:p w:rsidR="00A86411" w:rsidRPr="00C003FA" w:rsidRDefault="00A86411" w:rsidP="00A4689B">
            <w:pPr>
              <w:tabs>
                <w:tab w:val="decimal" w:pos="1269"/>
              </w:tabs>
              <w:jc w:val="left"/>
            </w:pPr>
            <w:r w:rsidRPr="00C003FA">
              <w:t>6,000</w:t>
            </w:r>
          </w:p>
        </w:tc>
      </w:tr>
      <w:tr w:rsidR="00A86411" w:rsidRPr="00C003FA" w:rsidTr="00A4689B">
        <w:trPr>
          <w:jc w:val="center"/>
        </w:trPr>
        <w:tc>
          <w:tcPr>
            <w:tcW w:w="4249" w:type="dxa"/>
            <w:vAlign w:val="bottom"/>
          </w:tcPr>
          <w:p w:rsidR="00A86411" w:rsidRPr="00C003FA" w:rsidRDefault="00A86411" w:rsidP="00A4689B">
            <w:pPr>
              <w:jc w:val="left"/>
            </w:pPr>
            <w:r w:rsidRPr="00C003FA">
              <w:t>Vail Resorts</w:t>
            </w:r>
          </w:p>
        </w:tc>
        <w:tc>
          <w:tcPr>
            <w:tcW w:w="3895" w:type="dxa"/>
            <w:vAlign w:val="bottom"/>
          </w:tcPr>
          <w:p w:rsidR="00A86411" w:rsidRPr="00C003FA" w:rsidRDefault="00A86411" w:rsidP="00A4689B">
            <w:pPr>
              <w:jc w:val="left"/>
            </w:pPr>
            <w:r w:rsidRPr="00C003FA">
              <w:t>Leisure &amp; Hospitality</w:t>
            </w:r>
          </w:p>
        </w:tc>
        <w:tc>
          <w:tcPr>
            <w:tcW w:w="2257" w:type="dxa"/>
            <w:vAlign w:val="bottom"/>
          </w:tcPr>
          <w:p w:rsidR="00A86411" w:rsidRPr="00C003FA" w:rsidRDefault="00A86411" w:rsidP="00A4689B">
            <w:pPr>
              <w:tabs>
                <w:tab w:val="decimal" w:pos="1269"/>
              </w:tabs>
              <w:jc w:val="left"/>
            </w:pPr>
            <w:r w:rsidRPr="00C003FA">
              <w:t>5,600</w:t>
            </w:r>
          </w:p>
        </w:tc>
      </w:tr>
      <w:tr w:rsidR="00A86411" w:rsidRPr="00C003FA" w:rsidTr="00A4689B">
        <w:trPr>
          <w:jc w:val="center"/>
        </w:trPr>
        <w:tc>
          <w:tcPr>
            <w:tcW w:w="4249" w:type="dxa"/>
            <w:vAlign w:val="bottom"/>
          </w:tcPr>
          <w:p w:rsidR="00A86411" w:rsidRPr="00C003FA" w:rsidRDefault="00A86411" w:rsidP="00A4689B">
            <w:pPr>
              <w:jc w:val="left"/>
            </w:pPr>
            <w:r w:rsidRPr="00C003FA">
              <w:t>United Parcel Service</w:t>
            </w:r>
          </w:p>
        </w:tc>
        <w:tc>
          <w:tcPr>
            <w:tcW w:w="3895" w:type="dxa"/>
            <w:vAlign w:val="bottom"/>
          </w:tcPr>
          <w:p w:rsidR="00A86411" w:rsidRPr="00C003FA" w:rsidRDefault="00A86411" w:rsidP="00A4689B">
            <w:pPr>
              <w:jc w:val="left"/>
            </w:pPr>
            <w:r w:rsidRPr="00C003FA">
              <w:t>Delivery Services</w:t>
            </w:r>
          </w:p>
        </w:tc>
        <w:tc>
          <w:tcPr>
            <w:tcW w:w="2257" w:type="dxa"/>
            <w:vAlign w:val="bottom"/>
          </w:tcPr>
          <w:p w:rsidR="00A86411" w:rsidRPr="00C003FA" w:rsidRDefault="00A86411" w:rsidP="00A4689B">
            <w:pPr>
              <w:tabs>
                <w:tab w:val="decimal" w:pos="1269"/>
              </w:tabs>
              <w:jc w:val="left"/>
            </w:pPr>
            <w:r w:rsidRPr="00C003FA">
              <w:t>5,400</w:t>
            </w:r>
          </w:p>
        </w:tc>
      </w:tr>
      <w:tr w:rsidR="00A86411" w:rsidRPr="00C003FA" w:rsidTr="00A4689B">
        <w:trPr>
          <w:jc w:val="center"/>
        </w:trPr>
        <w:tc>
          <w:tcPr>
            <w:tcW w:w="4249" w:type="dxa"/>
            <w:vAlign w:val="bottom"/>
          </w:tcPr>
          <w:p w:rsidR="00A86411" w:rsidRPr="00C003FA" w:rsidRDefault="00A86411" w:rsidP="00A4689B">
            <w:pPr>
              <w:jc w:val="left"/>
            </w:pPr>
            <w:r w:rsidRPr="00C003FA">
              <w:t>Banner Health</w:t>
            </w:r>
          </w:p>
        </w:tc>
        <w:tc>
          <w:tcPr>
            <w:tcW w:w="3895" w:type="dxa"/>
            <w:vAlign w:val="bottom"/>
          </w:tcPr>
          <w:p w:rsidR="00A86411" w:rsidRPr="00C003FA" w:rsidRDefault="00A86411" w:rsidP="00A4689B">
            <w:pPr>
              <w:jc w:val="left"/>
            </w:pPr>
            <w:r w:rsidRPr="00C003FA">
              <w:t>Healthcare</w:t>
            </w:r>
          </w:p>
        </w:tc>
        <w:tc>
          <w:tcPr>
            <w:tcW w:w="2257" w:type="dxa"/>
            <w:vAlign w:val="bottom"/>
          </w:tcPr>
          <w:p w:rsidR="00A86411" w:rsidRPr="00C003FA" w:rsidRDefault="00A86411" w:rsidP="00A4689B">
            <w:pPr>
              <w:tabs>
                <w:tab w:val="decimal" w:pos="1269"/>
              </w:tabs>
              <w:jc w:val="left"/>
            </w:pPr>
            <w:r w:rsidRPr="00C003FA">
              <w:t>5,200</w:t>
            </w:r>
          </w:p>
        </w:tc>
      </w:tr>
      <w:tr w:rsidR="00A86411" w:rsidRPr="00C003FA" w:rsidTr="00A4689B">
        <w:trPr>
          <w:jc w:val="center"/>
        </w:trPr>
        <w:tc>
          <w:tcPr>
            <w:tcW w:w="4249" w:type="dxa"/>
            <w:vAlign w:val="bottom"/>
          </w:tcPr>
          <w:p w:rsidR="00A86411" w:rsidRPr="00C003FA" w:rsidRDefault="00A86411" w:rsidP="00A4689B">
            <w:pPr>
              <w:jc w:val="left"/>
            </w:pPr>
            <w:r w:rsidRPr="00C003FA">
              <w:t>Wells Fargo</w:t>
            </w:r>
          </w:p>
        </w:tc>
        <w:tc>
          <w:tcPr>
            <w:tcW w:w="3895" w:type="dxa"/>
            <w:vAlign w:val="bottom"/>
          </w:tcPr>
          <w:p w:rsidR="00A86411" w:rsidRPr="00C003FA" w:rsidRDefault="00A86411" w:rsidP="00A4689B">
            <w:pPr>
              <w:jc w:val="left"/>
            </w:pPr>
            <w:r w:rsidRPr="00C003FA">
              <w:t>Banking/Financial Services</w:t>
            </w:r>
          </w:p>
        </w:tc>
        <w:tc>
          <w:tcPr>
            <w:tcW w:w="2257" w:type="dxa"/>
            <w:vAlign w:val="bottom"/>
          </w:tcPr>
          <w:p w:rsidR="00A86411" w:rsidRPr="00C003FA" w:rsidRDefault="00A86411" w:rsidP="00A4689B">
            <w:pPr>
              <w:tabs>
                <w:tab w:val="decimal" w:pos="1269"/>
              </w:tabs>
              <w:jc w:val="left"/>
            </w:pPr>
            <w:r w:rsidRPr="00C003FA">
              <w:t>5,100</w:t>
            </w:r>
          </w:p>
        </w:tc>
      </w:tr>
      <w:tr w:rsidR="00A86411" w:rsidRPr="00C003FA" w:rsidTr="00A4689B">
        <w:trPr>
          <w:jc w:val="center"/>
        </w:trPr>
        <w:tc>
          <w:tcPr>
            <w:tcW w:w="4249" w:type="dxa"/>
            <w:vAlign w:val="bottom"/>
          </w:tcPr>
          <w:p w:rsidR="00A86411" w:rsidRPr="00C003FA" w:rsidRDefault="00A86411" w:rsidP="00A4689B">
            <w:pPr>
              <w:jc w:val="left"/>
            </w:pPr>
            <w:r w:rsidRPr="00C003FA">
              <w:t>FedEx Corp.</w:t>
            </w:r>
          </w:p>
        </w:tc>
        <w:tc>
          <w:tcPr>
            <w:tcW w:w="3895" w:type="dxa"/>
            <w:vAlign w:val="bottom"/>
          </w:tcPr>
          <w:p w:rsidR="00A86411" w:rsidRPr="00C003FA" w:rsidRDefault="00A86411" w:rsidP="00A4689B">
            <w:pPr>
              <w:jc w:val="left"/>
            </w:pPr>
            <w:r w:rsidRPr="00C003FA">
              <w:t>Transportation, E-commerce</w:t>
            </w:r>
          </w:p>
        </w:tc>
        <w:tc>
          <w:tcPr>
            <w:tcW w:w="2257" w:type="dxa"/>
            <w:vAlign w:val="bottom"/>
          </w:tcPr>
          <w:p w:rsidR="00A86411" w:rsidRPr="00C003FA" w:rsidRDefault="00A86411" w:rsidP="00A4689B">
            <w:pPr>
              <w:tabs>
                <w:tab w:val="decimal" w:pos="1269"/>
              </w:tabs>
              <w:jc w:val="left"/>
            </w:pPr>
            <w:r w:rsidRPr="00C003FA">
              <w:t>4,500</w:t>
            </w:r>
          </w:p>
        </w:tc>
      </w:tr>
      <w:tr w:rsidR="00A86411" w:rsidRPr="00C003FA" w:rsidTr="00A4689B">
        <w:trPr>
          <w:jc w:val="center"/>
        </w:trPr>
        <w:tc>
          <w:tcPr>
            <w:tcW w:w="4249" w:type="dxa"/>
            <w:vAlign w:val="bottom"/>
          </w:tcPr>
          <w:p w:rsidR="00A86411" w:rsidRPr="00C003FA" w:rsidRDefault="00A86411" w:rsidP="00A4689B">
            <w:pPr>
              <w:jc w:val="left"/>
            </w:pPr>
            <w:r w:rsidRPr="00C003FA">
              <w:t xml:space="preserve">Southwest Airlines </w:t>
            </w:r>
          </w:p>
        </w:tc>
        <w:tc>
          <w:tcPr>
            <w:tcW w:w="3895" w:type="dxa"/>
            <w:vAlign w:val="bottom"/>
          </w:tcPr>
          <w:p w:rsidR="00A86411" w:rsidRPr="00C003FA" w:rsidRDefault="00A86411" w:rsidP="00A4689B">
            <w:pPr>
              <w:jc w:val="left"/>
            </w:pPr>
            <w:r w:rsidRPr="00C003FA">
              <w:t>Airline</w:t>
            </w:r>
          </w:p>
        </w:tc>
        <w:tc>
          <w:tcPr>
            <w:tcW w:w="2257" w:type="dxa"/>
            <w:vAlign w:val="bottom"/>
          </w:tcPr>
          <w:p w:rsidR="00A86411" w:rsidRPr="00C003FA" w:rsidRDefault="00A86411" w:rsidP="00A4689B">
            <w:pPr>
              <w:tabs>
                <w:tab w:val="decimal" w:pos="1269"/>
              </w:tabs>
              <w:jc w:val="left"/>
            </w:pPr>
            <w:r w:rsidRPr="00C003FA">
              <w:t>4,500</w:t>
            </w:r>
          </w:p>
        </w:tc>
      </w:tr>
      <w:tr w:rsidR="00A86411" w:rsidRPr="00C003FA" w:rsidTr="00A4689B">
        <w:trPr>
          <w:jc w:val="center"/>
        </w:trPr>
        <w:tc>
          <w:tcPr>
            <w:tcW w:w="4249" w:type="dxa"/>
            <w:vAlign w:val="bottom"/>
          </w:tcPr>
          <w:p w:rsidR="00A86411" w:rsidRPr="00C003FA" w:rsidRDefault="00A86411" w:rsidP="00A4689B">
            <w:pPr>
              <w:jc w:val="left"/>
            </w:pPr>
            <w:r w:rsidRPr="00C003FA">
              <w:t>Ball Corporation</w:t>
            </w:r>
          </w:p>
        </w:tc>
        <w:tc>
          <w:tcPr>
            <w:tcW w:w="3895" w:type="dxa"/>
            <w:vAlign w:val="bottom"/>
          </w:tcPr>
          <w:p w:rsidR="00A86411" w:rsidRPr="00C003FA" w:rsidRDefault="00A86411" w:rsidP="00A4689B">
            <w:pPr>
              <w:jc w:val="left"/>
            </w:pPr>
            <w:r w:rsidRPr="00C003FA">
              <w:t>Aerospace, Containers</w:t>
            </w:r>
          </w:p>
        </w:tc>
        <w:tc>
          <w:tcPr>
            <w:tcW w:w="2257" w:type="dxa"/>
            <w:vAlign w:val="bottom"/>
          </w:tcPr>
          <w:p w:rsidR="00A86411" w:rsidRPr="00C003FA" w:rsidRDefault="00A86411" w:rsidP="00A4689B">
            <w:pPr>
              <w:tabs>
                <w:tab w:val="decimal" w:pos="1269"/>
              </w:tabs>
              <w:jc w:val="left"/>
            </w:pPr>
            <w:r w:rsidRPr="00C003FA">
              <w:t>4,400</w:t>
            </w:r>
          </w:p>
        </w:tc>
      </w:tr>
      <w:tr w:rsidR="00A86411" w:rsidRPr="00C003FA" w:rsidTr="00A4689B">
        <w:trPr>
          <w:jc w:val="center"/>
        </w:trPr>
        <w:tc>
          <w:tcPr>
            <w:tcW w:w="4249" w:type="dxa"/>
            <w:vAlign w:val="bottom"/>
          </w:tcPr>
          <w:p w:rsidR="00A86411" w:rsidRPr="00C003FA" w:rsidRDefault="00A86411" w:rsidP="00A4689B">
            <w:pPr>
              <w:jc w:val="left"/>
            </w:pPr>
            <w:r w:rsidRPr="00C003FA">
              <w:t>Oracle</w:t>
            </w:r>
          </w:p>
        </w:tc>
        <w:tc>
          <w:tcPr>
            <w:tcW w:w="3895" w:type="dxa"/>
            <w:vAlign w:val="bottom"/>
          </w:tcPr>
          <w:p w:rsidR="00A86411" w:rsidRPr="00C003FA" w:rsidRDefault="00A86411" w:rsidP="00A4689B">
            <w:pPr>
              <w:jc w:val="left"/>
            </w:pPr>
            <w:r w:rsidRPr="00C003FA">
              <w:t>Software &amp; Network Computer Systems</w:t>
            </w:r>
          </w:p>
        </w:tc>
        <w:tc>
          <w:tcPr>
            <w:tcW w:w="2257" w:type="dxa"/>
            <w:vAlign w:val="bottom"/>
          </w:tcPr>
          <w:p w:rsidR="00A86411" w:rsidRPr="00C003FA" w:rsidRDefault="00A86411" w:rsidP="00A4689B">
            <w:pPr>
              <w:tabs>
                <w:tab w:val="decimal" w:pos="1269"/>
              </w:tabs>
              <w:jc w:val="left"/>
            </w:pPr>
            <w:r w:rsidRPr="00C003FA">
              <w:t>4,400</w:t>
            </w:r>
          </w:p>
        </w:tc>
      </w:tr>
    </w:tbl>
    <w:p w:rsidR="005162B7" w:rsidRPr="008E459C" w:rsidRDefault="005162B7" w:rsidP="005162B7">
      <w:pPr>
        <w:pStyle w:val="OStablenotes"/>
        <w:keepNext w:val="0"/>
        <w:spacing w:before="80" w:after="0"/>
        <w:rPr>
          <w:spacing w:val="-3"/>
        </w:rPr>
      </w:pPr>
      <w:r>
        <w:rPr>
          <w:spacing w:val="-3"/>
        </w:rPr>
        <w:t>________________________</w:t>
      </w:r>
    </w:p>
    <w:p w:rsidR="005942B3" w:rsidRDefault="005942B3" w:rsidP="00940E5F">
      <w:pPr>
        <w:pStyle w:val="OStablenotes"/>
        <w:spacing w:before="80" w:after="0"/>
      </w:pPr>
      <w:r w:rsidRPr="0077595C">
        <w:rPr>
          <w:vertAlign w:val="superscript"/>
        </w:rPr>
        <w:t>1</w:t>
      </w:r>
      <w:r>
        <w:tab/>
        <w:t>Includes both full- and part-time employees.</w:t>
      </w:r>
    </w:p>
    <w:p w:rsidR="005942B3" w:rsidRDefault="005942B3" w:rsidP="00940E5F">
      <w:pPr>
        <w:pStyle w:val="OStablesources"/>
        <w:spacing w:before="80"/>
      </w:pPr>
      <w:r>
        <w:t>Source:</w:t>
      </w:r>
      <w:r>
        <w:tab/>
        <w:t>Compiled by Development Research Partner</w:t>
      </w:r>
      <w:r w:rsidR="00A86411">
        <w:t>s from various sources, May 2020</w:t>
      </w:r>
      <w:r>
        <w:t>.</w:t>
      </w:r>
    </w:p>
    <w:p w:rsidR="005942B3" w:rsidRDefault="005942B3" w:rsidP="005942B3"/>
    <w:p w:rsidR="005942B3" w:rsidRDefault="005942B3" w:rsidP="00940E5F">
      <w:pPr>
        <w:jc w:val="center"/>
      </w:pPr>
      <w:r>
        <w:t>[Remainder of page intentionally left blank]</w:t>
      </w:r>
    </w:p>
    <w:p w:rsidR="005942B3" w:rsidRDefault="005942B3" w:rsidP="006123A1"/>
    <w:p w:rsidR="005942B3" w:rsidRDefault="005942B3">
      <w:pPr>
        <w:spacing w:after="160" w:line="259" w:lineRule="auto"/>
        <w:jc w:val="left"/>
      </w:pPr>
      <w:r>
        <w:br w:type="page"/>
      </w:r>
    </w:p>
    <w:p w:rsidR="005942B3" w:rsidRDefault="005942B3" w:rsidP="00940E5F">
      <w:pPr>
        <w:pStyle w:val="BodyText1"/>
      </w:pPr>
      <w:r w:rsidRPr="005942B3">
        <w:t>The following table shows the largest public sector employers in Colorado based on the most current info</w:t>
      </w:r>
      <w:r w:rsidR="00501AA7">
        <w:t>rmation available as of May 2020</w:t>
      </w:r>
      <w:r w:rsidRPr="005942B3">
        <w:t>.</w:t>
      </w:r>
    </w:p>
    <w:tbl>
      <w:tblPr>
        <w:tblStyle w:val="TableGrid20"/>
        <w:tblW w:w="63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3"/>
        <w:gridCol w:w="1785"/>
      </w:tblGrid>
      <w:tr w:rsidR="00501AA7" w:rsidRPr="00C003FA" w:rsidTr="00A4689B">
        <w:trPr>
          <w:jc w:val="center"/>
        </w:trPr>
        <w:tc>
          <w:tcPr>
            <w:tcW w:w="6328" w:type="dxa"/>
            <w:gridSpan w:val="2"/>
            <w:vAlign w:val="bottom"/>
          </w:tcPr>
          <w:p w:rsidR="00501AA7" w:rsidRPr="00C003FA" w:rsidRDefault="00501AA7" w:rsidP="00A4689B">
            <w:pPr>
              <w:spacing w:after="240"/>
              <w:jc w:val="center"/>
            </w:pPr>
            <w:r w:rsidRPr="00C003FA">
              <w:t>Estimated Largest Public Sector Employers in Colorado</w:t>
            </w:r>
          </w:p>
        </w:tc>
      </w:tr>
      <w:tr w:rsidR="00501AA7" w:rsidRPr="00C003FA" w:rsidTr="00A4689B">
        <w:trPr>
          <w:jc w:val="center"/>
        </w:trPr>
        <w:tc>
          <w:tcPr>
            <w:tcW w:w="4543" w:type="dxa"/>
            <w:vAlign w:val="bottom"/>
          </w:tcPr>
          <w:p w:rsidR="00501AA7" w:rsidRPr="00C003FA" w:rsidRDefault="00501AA7" w:rsidP="00A4689B">
            <w:pPr>
              <w:pBdr>
                <w:bottom w:val="single" w:sz="4" w:space="1" w:color="auto"/>
              </w:pBdr>
              <w:spacing w:after="120"/>
              <w:jc w:val="center"/>
            </w:pPr>
            <w:r w:rsidRPr="00C003FA">
              <w:t>Employer</w:t>
            </w:r>
          </w:p>
        </w:tc>
        <w:tc>
          <w:tcPr>
            <w:tcW w:w="1785" w:type="dxa"/>
            <w:vAlign w:val="bottom"/>
          </w:tcPr>
          <w:p w:rsidR="00501AA7" w:rsidRPr="00C003FA" w:rsidRDefault="00501AA7" w:rsidP="00A4689B">
            <w:pPr>
              <w:pBdr>
                <w:bottom w:val="single" w:sz="4" w:space="1" w:color="auto"/>
              </w:pBdr>
              <w:spacing w:after="120"/>
              <w:jc w:val="center"/>
            </w:pPr>
            <w:r w:rsidRPr="00C003FA">
              <w:t>Estimated Employees</w:t>
            </w:r>
            <w:r w:rsidRPr="00C003FA">
              <w:rPr>
                <w:vertAlign w:val="superscript"/>
              </w:rPr>
              <w:t>1</w:t>
            </w:r>
          </w:p>
        </w:tc>
      </w:tr>
      <w:tr w:rsidR="00501AA7" w:rsidRPr="00C003FA" w:rsidTr="00A4689B">
        <w:trPr>
          <w:jc w:val="center"/>
        </w:trPr>
        <w:tc>
          <w:tcPr>
            <w:tcW w:w="4543" w:type="dxa"/>
            <w:vAlign w:val="bottom"/>
          </w:tcPr>
          <w:p w:rsidR="00501AA7" w:rsidRPr="00C003FA" w:rsidRDefault="00501AA7" w:rsidP="00A4689B">
            <w:pPr>
              <w:jc w:val="left"/>
            </w:pPr>
            <w:r w:rsidRPr="00C003FA">
              <w:t>State of Colorado</w:t>
            </w:r>
          </w:p>
        </w:tc>
        <w:tc>
          <w:tcPr>
            <w:tcW w:w="1785" w:type="dxa"/>
            <w:vAlign w:val="bottom"/>
          </w:tcPr>
          <w:p w:rsidR="00501AA7" w:rsidRPr="00C003FA" w:rsidRDefault="00501AA7" w:rsidP="00A4689B">
            <w:pPr>
              <w:tabs>
                <w:tab w:val="decimal" w:pos="1109"/>
              </w:tabs>
              <w:jc w:val="left"/>
            </w:pPr>
            <w:r w:rsidRPr="00C003FA">
              <w:t>57,300</w:t>
            </w:r>
          </w:p>
        </w:tc>
      </w:tr>
      <w:tr w:rsidR="00501AA7" w:rsidRPr="00C003FA" w:rsidTr="00A4689B">
        <w:trPr>
          <w:jc w:val="center"/>
        </w:trPr>
        <w:tc>
          <w:tcPr>
            <w:tcW w:w="4543" w:type="dxa"/>
            <w:vAlign w:val="bottom"/>
          </w:tcPr>
          <w:p w:rsidR="00501AA7" w:rsidRPr="00C003FA" w:rsidRDefault="00501AA7" w:rsidP="00A4689B">
            <w:pPr>
              <w:jc w:val="left"/>
            </w:pPr>
            <w:r w:rsidRPr="00C003FA">
              <w:t>Federal Government (except USPS)</w:t>
            </w:r>
          </w:p>
        </w:tc>
        <w:tc>
          <w:tcPr>
            <w:tcW w:w="1785" w:type="dxa"/>
            <w:vAlign w:val="bottom"/>
          </w:tcPr>
          <w:p w:rsidR="00501AA7" w:rsidRPr="00C003FA" w:rsidRDefault="00501AA7" w:rsidP="00A4689B">
            <w:pPr>
              <w:tabs>
                <w:tab w:val="decimal" w:pos="1109"/>
              </w:tabs>
              <w:jc w:val="left"/>
            </w:pPr>
            <w:r w:rsidRPr="00C003FA">
              <w:t>42,800</w:t>
            </w:r>
          </w:p>
        </w:tc>
      </w:tr>
      <w:tr w:rsidR="00501AA7" w:rsidRPr="00C003FA" w:rsidTr="00A4689B">
        <w:trPr>
          <w:jc w:val="center"/>
        </w:trPr>
        <w:tc>
          <w:tcPr>
            <w:tcW w:w="4543" w:type="dxa"/>
            <w:vAlign w:val="bottom"/>
          </w:tcPr>
          <w:p w:rsidR="00501AA7" w:rsidRPr="00C003FA" w:rsidRDefault="00501AA7" w:rsidP="00A4689B">
            <w:pPr>
              <w:jc w:val="left"/>
            </w:pPr>
            <w:r w:rsidRPr="00C003FA">
              <w:t>University of Colorado System</w:t>
            </w:r>
          </w:p>
        </w:tc>
        <w:tc>
          <w:tcPr>
            <w:tcW w:w="1785" w:type="dxa"/>
            <w:vAlign w:val="bottom"/>
          </w:tcPr>
          <w:p w:rsidR="00501AA7" w:rsidRPr="00C003FA" w:rsidRDefault="00501AA7" w:rsidP="00A4689B">
            <w:pPr>
              <w:tabs>
                <w:tab w:val="decimal" w:pos="1109"/>
              </w:tabs>
              <w:jc w:val="left"/>
            </w:pPr>
            <w:r w:rsidRPr="00C003FA">
              <w:t>24,300</w:t>
            </w:r>
          </w:p>
        </w:tc>
      </w:tr>
      <w:tr w:rsidR="00501AA7" w:rsidRPr="00C003FA" w:rsidTr="00A4689B">
        <w:trPr>
          <w:jc w:val="center"/>
        </w:trPr>
        <w:tc>
          <w:tcPr>
            <w:tcW w:w="4543" w:type="dxa"/>
            <w:vAlign w:val="bottom"/>
          </w:tcPr>
          <w:p w:rsidR="00501AA7" w:rsidRPr="00C003FA" w:rsidRDefault="00501AA7" w:rsidP="00A4689B">
            <w:pPr>
              <w:jc w:val="left"/>
            </w:pPr>
            <w:r w:rsidRPr="00C003FA">
              <w:t>Denver Public Schools</w:t>
            </w:r>
          </w:p>
        </w:tc>
        <w:tc>
          <w:tcPr>
            <w:tcW w:w="1785" w:type="dxa"/>
            <w:vAlign w:val="bottom"/>
          </w:tcPr>
          <w:p w:rsidR="00501AA7" w:rsidRPr="00C003FA" w:rsidRDefault="00501AA7" w:rsidP="00A4689B">
            <w:pPr>
              <w:tabs>
                <w:tab w:val="decimal" w:pos="1109"/>
              </w:tabs>
              <w:jc w:val="left"/>
            </w:pPr>
            <w:r w:rsidRPr="00C003FA">
              <w:t>15,400</w:t>
            </w:r>
          </w:p>
        </w:tc>
      </w:tr>
      <w:tr w:rsidR="00501AA7" w:rsidRPr="00C003FA" w:rsidTr="00A4689B">
        <w:trPr>
          <w:jc w:val="center"/>
        </w:trPr>
        <w:tc>
          <w:tcPr>
            <w:tcW w:w="4543" w:type="dxa"/>
            <w:vAlign w:val="bottom"/>
          </w:tcPr>
          <w:p w:rsidR="00501AA7" w:rsidRPr="00C003FA" w:rsidRDefault="00501AA7" w:rsidP="00A4689B">
            <w:pPr>
              <w:jc w:val="left"/>
            </w:pPr>
            <w:r w:rsidRPr="00C003FA">
              <w:t>City &amp; County of Denver</w:t>
            </w:r>
          </w:p>
        </w:tc>
        <w:tc>
          <w:tcPr>
            <w:tcW w:w="1785" w:type="dxa"/>
            <w:vAlign w:val="bottom"/>
          </w:tcPr>
          <w:p w:rsidR="00501AA7" w:rsidRPr="00C003FA" w:rsidRDefault="00501AA7" w:rsidP="00A4689B">
            <w:pPr>
              <w:tabs>
                <w:tab w:val="decimal" w:pos="1109"/>
              </w:tabs>
              <w:jc w:val="left"/>
            </w:pPr>
            <w:r w:rsidRPr="00C003FA">
              <w:t>12,300</w:t>
            </w:r>
          </w:p>
        </w:tc>
      </w:tr>
      <w:tr w:rsidR="00501AA7" w:rsidRPr="00C003FA" w:rsidTr="00A4689B">
        <w:trPr>
          <w:jc w:val="center"/>
        </w:trPr>
        <w:tc>
          <w:tcPr>
            <w:tcW w:w="4543" w:type="dxa"/>
            <w:vAlign w:val="bottom"/>
          </w:tcPr>
          <w:p w:rsidR="00501AA7" w:rsidRPr="00C003FA" w:rsidRDefault="00501AA7" w:rsidP="00A4689B">
            <w:pPr>
              <w:jc w:val="left"/>
            </w:pPr>
            <w:r w:rsidRPr="00C003FA">
              <w:t>Jefferson County Public Schools</w:t>
            </w:r>
          </w:p>
        </w:tc>
        <w:tc>
          <w:tcPr>
            <w:tcW w:w="1785" w:type="dxa"/>
            <w:vAlign w:val="bottom"/>
          </w:tcPr>
          <w:p w:rsidR="00501AA7" w:rsidRPr="00C003FA" w:rsidRDefault="00501AA7" w:rsidP="00A4689B">
            <w:pPr>
              <w:tabs>
                <w:tab w:val="decimal" w:pos="1109"/>
              </w:tabs>
              <w:jc w:val="left"/>
            </w:pPr>
            <w:r w:rsidRPr="00C003FA">
              <w:t>11,300</w:t>
            </w:r>
          </w:p>
        </w:tc>
      </w:tr>
      <w:tr w:rsidR="00501AA7" w:rsidRPr="00C003FA" w:rsidTr="00A4689B">
        <w:trPr>
          <w:jc w:val="center"/>
        </w:trPr>
        <w:tc>
          <w:tcPr>
            <w:tcW w:w="4543" w:type="dxa"/>
            <w:vAlign w:val="bottom"/>
          </w:tcPr>
          <w:p w:rsidR="00501AA7" w:rsidRPr="00C003FA" w:rsidRDefault="00501AA7" w:rsidP="00A4689B">
            <w:pPr>
              <w:jc w:val="left"/>
            </w:pPr>
            <w:r w:rsidRPr="00C003FA">
              <w:t>U.S. Postal Service</w:t>
            </w:r>
          </w:p>
        </w:tc>
        <w:tc>
          <w:tcPr>
            <w:tcW w:w="1785" w:type="dxa"/>
            <w:vAlign w:val="bottom"/>
          </w:tcPr>
          <w:p w:rsidR="00501AA7" w:rsidRPr="00C003FA" w:rsidRDefault="00501AA7" w:rsidP="00A4689B">
            <w:pPr>
              <w:tabs>
                <w:tab w:val="decimal" w:pos="1109"/>
              </w:tabs>
              <w:jc w:val="left"/>
            </w:pPr>
            <w:r w:rsidRPr="00C003FA">
              <w:t>9,000</w:t>
            </w:r>
          </w:p>
        </w:tc>
      </w:tr>
      <w:tr w:rsidR="00501AA7" w:rsidRPr="00C003FA" w:rsidTr="00A4689B">
        <w:trPr>
          <w:jc w:val="center"/>
        </w:trPr>
        <w:tc>
          <w:tcPr>
            <w:tcW w:w="4543" w:type="dxa"/>
            <w:vAlign w:val="bottom"/>
          </w:tcPr>
          <w:p w:rsidR="00501AA7" w:rsidRPr="00C003FA" w:rsidRDefault="00501AA7" w:rsidP="00A4689B">
            <w:pPr>
              <w:jc w:val="left"/>
            </w:pPr>
            <w:r w:rsidRPr="00C003FA">
              <w:t>Douglas County School District RE-1</w:t>
            </w:r>
          </w:p>
        </w:tc>
        <w:tc>
          <w:tcPr>
            <w:tcW w:w="1785" w:type="dxa"/>
            <w:vAlign w:val="bottom"/>
          </w:tcPr>
          <w:p w:rsidR="00501AA7" w:rsidRPr="00C003FA" w:rsidRDefault="00501AA7" w:rsidP="00A4689B">
            <w:pPr>
              <w:tabs>
                <w:tab w:val="decimal" w:pos="1109"/>
              </w:tabs>
              <w:jc w:val="left"/>
            </w:pPr>
            <w:r w:rsidRPr="00C003FA">
              <w:t>8,700</w:t>
            </w:r>
          </w:p>
        </w:tc>
      </w:tr>
      <w:tr w:rsidR="00501AA7" w:rsidRPr="00C003FA" w:rsidTr="00A4689B">
        <w:trPr>
          <w:jc w:val="center"/>
        </w:trPr>
        <w:tc>
          <w:tcPr>
            <w:tcW w:w="4543" w:type="dxa"/>
            <w:vAlign w:val="bottom"/>
          </w:tcPr>
          <w:p w:rsidR="00501AA7" w:rsidRPr="00C003FA" w:rsidRDefault="00501AA7" w:rsidP="00A4689B">
            <w:pPr>
              <w:jc w:val="left"/>
            </w:pPr>
            <w:r w:rsidRPr="00C003FA">
              <w:t>Cherry Creek School District No 5</w:t>
            </w:r>
          </w:p>
        </w:tc>
        <w:tc>
          <w:tcPr>
            <w:tcW w:w="1785" w:type="dxa"/>
            <w:vAlign w:val="bottom"/>
          </w:tcPr>
          <w:p w:rsidR="00501AA7" w:rsidRPr="00C003FA" w:rsidRDefault="00501AA7" w:rsidP="00A4689B">
            <w:pPr>
              <w:tabs>
                <w:tab w:val="decimal" w:pos="1109"/>
              </w:tabs>
              <w:jc w:val="left"/>
            </w:pPr>
            <w:r w:rsidRPr="00C003FA">
              <w:t>7,800</w:t>
            </w:r>
          </w:p>
        </w:tc>
      </w:tr>
      <w:tr w:rsidR="00501AA7" w:rsidRPr="00C003FA" w:rsidTr="00A4689B">
        <w:trPr>
          <w:jc w:val="center"/>
        </w:trPr>
        <w:tc>
          <w:tcPr>
            <w:tcW w:w="4543" w:type="dxa"/>
            <w:vAlign w:val="bottom"/>
          </w:tcPr>
          <w:p w:rsidR="00501AA7" w:rsidRPr="00C003FA" w:rsidRDefault="00501AA7" w:rsidP="00A4689B">
            <w:pPr>
              <w:jc w:val="left"/>
            </w:pPr>
            <w:r w:rsidRPr="00C003FA">
              <w:t>Colorado State University</w:t>
            </w:r>
          </w:p>
        </w:tc>
        <w:tc>
          <w:tcPr>
            <w:tcW w:w="1785" w:type="dxa"/>
            <w:vAlign w:val="bottom"/>
          </w:tcPr>
          <w:p w:rsidR="00501AA7" w:rsidRPr="00C003FA" w:rsidRDefault="00501AA7" w:rsidP="00A4689B">
            <w:pPr>
              <w:tabs>
                <w:tab w:val="decimal" w:pos="1109"/>
              </w:tabs>
              <w:jc w:val="left"/>
            </w:pPr>
            <w:r w:rsidRPr="00C003FA">
              <w:t>7,700</w:t>
            </w:r>
          </w:p>
        </w:tc>
      </w:tr>
      <w:tr w:rsidR="00501AA7" w:rsidRPr="00C003FA" w:rsidTr="00A4689B">
        <w:trPr>
          <w:jc w:val="center"/>
        </w:trPr>
        <w:tc>
          <w:tcPr>
            <w:tcW w:w="4543" w:type="dxa"/>
            <w:vAlign w:val="bottom"/>
          </w:tcPr>
          <w:p w:rsidR="00501AA7" w:rsidRPr="00C003FA" w:rsidRDefault="00501AA7" w:rsidP="00A4689B">
            <w:pPr>
              <w:jc w:val="left"/>
            </w:pPr>
            <w:r w:rsidRPr="00C003FA">
              <w:t>Denver Health</w:t>
            </w:r>
          </w:p>
        </w:tc>
        <w:tc>
          <w:tcPr>
            <w:tcW w:w="1785" w:type="dxa"/>
            <w:vAlign w:val="bottom"/>
          </w:tcPr>
          <w:p w:rsidR="00501AA7" w:rsidRPr="00C003FA" w:rsidRDefault="00501AA7" w:rsidP="00A4689B">
            <w:pPr>
              <w:tabs>
                <w:tab w:val="decimal" w:pos="1109"/>
              </w:tabs>
              <w:jc w:val="left"/>
            </w:pPr>
            <w:r w:rsidRPr="00C003FA">
              <w:t>7,600</w:t>
            </w:r>
          </w:p>
        </w:tc>
      </w:tr>
      <w:tr w:rsidR="00501AA7" w:rsidRPr="00C003FA" w:rsidTr="00A4689B">
        <w:trPr>
          <w:jc w:val="center"/>
        </w:trPr>
        <w:tc>
          <w:tcPr>
            <w:tcW w:w="4543" w:type="dxa"/>
            <w:vAlign w:val="bottom"/>
          </w:tcPr>
          <w:p w:rsidR="00501AA7" w:rsidRPr="00C003FA" w:rsidRDefault="00501AA7" w:rsidP="00A4689B">
            <w:pPr>
              <w:jc w:val="left"/>
            </w:pPr>
            <w:r w:rsidRPr="00C003FA">
              <w:t>Aurora Public Schools</w:t>
            </w:r>
          </w:p>
        </w:tc>
        <w:tc>
          <w:tcPr>
            <w:tcW w:w="1785" w:type="dxa"/>
            <w:vAlign w:val="bottom"/>
          </w:tcPr>
          <w:p w:rsidR="00501AA7" w:rsidRPr="00C003FA" w:rsidRDefault="00501AA7" w:rsidP="00A4689B">
            <w:pPr>
              <w:tabs>
                <w:tab w:val="decimal" w:pos="1109"/>
              </w:tabs>
              <w:jc w:val="left"/>
            </w:pPr>
            <w:r w:rsidRPr="00C003FA">
              <w:t>5,400</w:t>
            </w:r>
          </w:p>
        </w:tc>
      </w:tr>
      <w:tr w:rsidR="00501AA7" w:rsidRPr="00C003FA" w:rsidTr="00A4689B">
        <w:trPr>
          <w:jc w:val="center"/>
        </w:trPr>
        <w:tc>
          <w:tcPr>
            <w:tcW w:w="4543" w:type="dxa"/>
            <w:vAlign w:val="bottom"/>
          </w:tcPr>
          <w:p w:rsidR="00501AA7" w:rsidRPr="00C003FA" w:rsidRDefault="00501AA7" w:rsidP="00A4689B">
            <w:pPr>
              <w:jc w:val="left"/>
            </w:pPr>
            <w:r w:rsidRPr="00C003FA">
              <w:t>Adams 12 Five Star Schools</w:t>
            </w:r>
          </w:p>
        </w:tc>
        <w:tc>
          <w:tcPr>
            <w:tcW w:w="1785" w:type="dxa"/>
            <w:vAlign w:val="bottom"/>
          </w:tcPr>
          <w:p w:rsidR="00501AA7" w:rsidRPr="00C003FA" w:rsidRDefault="00501AA7" w:rsidP="00A4689B">
            <w:pPr>
              <w:tabs>
                <w:tab w:val="decimal" w:pos="1109"/>
              </w:tabs>
              <w:jc w:val="left"/>
            </w:pPr>
            <w:r w:rsidRPr="00C003FA">
              <w:t>5,000</w:t>
            </w:r>
          </w:p>
        </w:tc>
      </w:tr>
      <w:tr w:rsidR="00501AA7" w:rsidRPr="00C003FA" w:rsidTr="00A4689B">
        <w:trPr>
          <w:jc w:val="center"/>
        </w:trPr>
        <w:tc>
          <w:tcPr>
            <w:tcW w:w="4543" w:type="dxa"/>
            <w:vAlign w:val="bottom"/>
          </w:tcPr>
          <w:p w:rsidR="00501AA7" w:rsidRPr="00C003FA" w:rsidRDefault="00501AA7" w:rsidP="00A4689B">
            <w:pPr>
              <w:jc w:val="left"/>
            </w:pPr>
            <w:r w:rsidRPr="00C003FA">
              <w:t>Boulder Valley School District RE-2</w:t>
            </w:r>
          </w:p>
        </w:tc>
        <w:tc>
          <w:tcPr>
            <w:tcW w:w="1785" w:type="dxa"/>
            <w:vAlign w:val="bottom"/>
          </w:tcPr>
          <w:p w:rsidR="00501AA7" w:rsidRPr="00C003FA" w:rsidRDefault="00501AA7" w:rsidP="00A4689B">
            <w:pPr>
              <w:tabs>
                <w:tab w:val="decimal" w:pos="1109"/>
              </w:tabs>
              <w:jc w:val="left"/>
            </w:pPr>
            <w:r w:rsidRPr="00C003FA">
              <w:t>4,300</w:t>
            </w:r>
          </w:p>
        </w:tc>
      </w:tr>
      <w:tr w:rsidR="00501AA7" w:rsidRPr="00C003FA" w:rsidTr="00A4689B">
        <w:trPr>
          <w:jc w:val="center"/>
        </w:trPr>
        <w:tc>
          <w:tcPr>
            <w:tcW w:w="4543" w:type="dxa"/>
            <w:vAlign w:val="bottom"/>
          </w:tcPr>
          <w:p w:rsidR="00501AA7" w:rsidRPr="00C003FA" w:rsidRDefault="00501AA7" w:rsidP="00A4689B">
            <w:pPr>
              <w:jc w:val="left"/>
            </w:pPr>
            <w:r w:rsidRPr="00C003FA">
              <w:t>Poudre School District R-1</w:t>
            </w:r>
          </w:p>
        </w:tc>
        <w:tc>
          <w:tcPr>
            <w:tcW w:w="1785" w:type="dxa"/>
            <w:vAlign w:val="bottom"/>
          </w:tcPr>
          <w:p w:rsidR="00501AA7" w:rsidRPr="00C003FA" w:rsidRDefault="00501AA7" w:rsidP="00A4689B">
            <w:pPr>
              <w:tabs>
                <w:tab w:val="decimal" w:pos="1109"/>
              </w:tabs>
              <w:jc w:val="left"/>
            </w:pPr>
            <w:r w:rsidRPr="00C003FA">
              <w:t>4,200</w:t>
            </w:r>
          </w:p>
        </w:tc>
      </w:tr>
      <w:tr w:rsidR="00501AA7" w:rsidRPr="00C003FA" w:rsidTr="00A4689B">
        <w:trPr>
          <w:jc w:val="center"/>
        </w:trPr>
        <w:tc>
          <w:tcPr>
            <w:tcW w:w="4543" w:type="dxa"/>
            <w:vAlign w:val="bottom"/>
          </w:tcPr>
          <w:p w:rsidR="00501AA7" w:rsidRPr="00C003FA" w:rsidRDefault="00501AA7" w:rsidP="00A4689B">
            <w:pPr>
              <w:jc w:val="left"/>
            </w:pPr>
            <w:r w:rsidRPr="00C003FA">
              <w:t>St. Vrain Valley School District RE-1J</w:t>
            </w:r>
          </w:p>
        </w:tc>
        <w:tc>
          <w:tcPr>
            <w:tcW w:w="1785" w:type="dxa"/>
            <w:vAlign w:val="bottom"/>
          </w:tcPr>
          <w:p w:rsidR="00501AA7" w:rsidRPr="00C003FA" w:rsidRDefault="00501AA7" w:rsidP="00A4689B">
            <w:pPr>
              <w:tabs>
                <w:tab w:val="decimal" w:pos="1109"/>
              </w:tabs>
              <w:jc w:val="left"/>
            </w:pPr>
            <w:r w:rsidRPr="00C003FA">
              <w:t>4,100</w:t>
            </w:r>
          </w:p>
        </w:tc>
      </w:tr>
      <w:tr w:rsidR="00501AA7" w:rsidRPr="00C003FA" w:rsidTr="00A4689B">
        <w:trPr>
          <w:jc w:val="center"/>
        </w:trPr>
        <w:tc>
          <w:tcPr>
            <w:tcW w:w="4543" w:type="dxa"/>
            <w:vAlign w:val="bottom"/>
          </w:tcPr>
          <w:p w:rsidR="00501AA7" w:rsidRPr="00C003FA" w:rsidRDefault="00501AA7" w:rsidP="00A4689B">
            <w:pPr>
              <w:jc w:val="left"/>
            </w:pPr>
            <w:r w:rsidRPr="00C003FA">
              <w:t>City of Aurora</w:t>
            </w:r>
          </w:p>
        </w:tc>
        <w:tc>
          <w:tcPr>
            <w:tcW w:w="1785" w:type="dxa"/>
            <w:vAlign w:val="bottom"/>
          </w:tcPr>
          <w:p w:rsidR="00501AA7" w:rsidRPr="00C003FA" w:rsidRDefault="00501AA7" w:rsidP="00A4689B">
            <w:pPr>
              <w:tabs>
                <w:tab w:val="decimal" w:pos="1109"/>
              </w:tabs>
              <w:jc w:val="left"/>
            </w:pPr>
            <w:r w:rsidRPr="00C003FA">
              <w:t>4,000</w:t>
            </w:r>
          </w:p>
        </w:tc>
      </w:tr>
      <w:tr w:rsidR="00501AA7" w:rsidRPr="00C003FA" w:rsidTr="00A4689B">
        <w:trPr>
          <w:jc w:val="center"/>
        </w:trPr>
        <w:tc>
          <w:tcPr>
            <w:tcW w:w="4543" w:type="dxa"/>
            <w:vAlign w:val="bottom"/>
          </w:tcPr>
          <w:p w:rsidR="00501AA7" w:rsidRPr="00C003FA" w:rsidRDefault="00501AA7" w:rsidP="00A4689B">
            <w:pPr>
              <w:jc w:val="left"/>
            </w:pPr>
            <w:r w:rsidRPr="00C003FA">
              <w:t>Colorado Springs School District 11</w:t>
            </w:r>
          </w:p>
        </w:tc>
        <w:tc>
          <w:tcPr>
            <w:tcW w:w="1785" w:type="dxa"/>
            <w:vAlign w:val="bottom"/>
          </w:tcPr>
          <w:p w:rsidR="00501AA7" w:rsidRPr="00C003FA" w:rsidRDefault="00501AA7" w:rsidP="00A4689B">
            <w:pPr>
              <w:tabs>
                <w:tab w:val="decimal" w:pos="1109"/>
              </w:tabs>
              <w:jc w:val="left"/>
            </w:pPr>
            <w:r w:rsidRPr="00C003FA">
              <w:t>3,900</w:t>
            </w:r>
          </w:p>
        </w:tc>
      </w:tr>
      <w:tr w:rsidR="00501AA7" w:rsidRPr="00C003FA" w:rsidTr="00A4689B">
        <w:trPr>
          <w:jc w:val="center"/>
        </w:trPr>
        <w:tc>
          <w:tcPr>
            <w:tcW w:w="4543" w:type="dxa"/>
            <w:vAlign w:val="bottom"/>
          </w:tcPr>
          <w:p w:rsidR="00501AA7" w:rsidRPr="00C003FA" w:rsidRDefault="00501AA7" w:rsidP="00A4689B">
            <w:pPr>
              <w:jc w:val="left"/>
            </w:pPr>
            <w:r w:rsidRPr="00C003FA">
              <w:t>Academy Schools District No 20</w:t>
            </w:r>
          </w:p>
        </w:tc>
        <w:tc>
          <w:tcPr>
            <w:tcW w:w="1785" w:type="dxa"/>
            <w:vAlign w:val="bottom"/>
          </w:tcPr>
          <w:p w:rsidR="00501AA7" w:rsidRPr="00C003FA" w:rsidRDefault="00501AA7" w:rsidP="00A4689B">
            <w:pPr>
              <w:tabs>
                <w:tab w:val="decimal" w:pos="1109"/>
              </w:tabs>
              <w:jc w:val="left"/>
            </w:pPr>
            <w:r w:rsidRPr="00C003FA">
              <w:t>3,600</w:t>
            </w:r>
          </w:p>
        </w:tc>
      </w:tr>
      <w:tr w:rsidR="00501AA7" w:rsidRPr="00C003FA" w:rsidTr="00A4689B">
        <w:trPr>
          <w:jc w:val="center"/>
        </w:trPr>
        <w:tc>
          <w:tcPr>
            <w:tcW w:w="4543" w:type="dxa"/>
            <w:vAlign w:val="bottom"/>
          </w:tcPr>
          <w:p w:rsidR="00501AA7" w:rsidRPr="00C003FA" w:rsidRDefault="00501AA7" w:rsidP="00A4689B">
            <w:pPr>
              <w:jc w:val="left"/>
            </w:pPr>
            <w:r w:rsidRPr="00C003FA">
              <w:t>Jefferson County</w:t>
            </w:r>
          </w:p>
        </w:tc>
        <w:tc>
          <w:tcPr>
            <w:tcW w:w="1785" w:type="dxa"/>
            <w:vAlign w:val="bottom"/>
          </w:tcPr>
          <w:p w:rsidR="00501AA7" w:rsidRPr="00C003FA" w:rsidRDefault="00501AA7" w:rsidP="00A4689B">
            <w:pPr>
              <w:tabs>
                <w:tab w:val="decimal" w:pos="1109"/>
              </w:tabs>
              <w:jc w:val="left"/>
            </w:pPr>
            <w:r w:rsidRPr="00C003FA">
              <w:t>3,400</w:t>
            </w:r>
          </w:p>
        </w:tc>
      </w:tr>
      <w:tr w:rsidR="00501AA7" w:rsidRPr="00C003FA" w:rsidTr="00A4689B">
        <w:trPr>
          <w:jc w:val="center"/>
        </w:trPr>
        <w:tc>
          <w:tcPr>
            <w:tcW w:w="4543" w:type="dxa"/>
            <w:vAlign w:val="bottom"/>
          </w:tcPr>
          <w:p w:rsidR="00501AA7" w:rsidRPr="00C003FA" w:rsidRDefault="00501AA7" w:rsidP="00A4689B">
            <w:pPr>
              <w:jc w:val="left"/>
            </w:pPr>
            <w:r w:rsidRPr="00C003FA">
              <w:t>U.S. Department of Veteran Affairs</w:t>
            </w:r>
          </w:p>
        </w:tc>
        <w:tc>
          <w:tcPr>
            <w:tcW w:w="1785" w:type="dxa"/>
            <w:vAlign w:val="bottom"/>
          </w:tcPr>
          <w:p w:rsidR="00501AA7" w:rsidRPr="00C003FA" w:rsidRDefault="00501AA7" w:rsidP="00A4689B">
            <w:pPr>
              <w:tabs>
                <w:tab w:val="decimal" w:pos="1109"/>
              </w:tabs>
              <w:jc w:val="left"/>
            </w:pPr>
            <w:r w:rsidRPr="00C003FA">
              <w:t>3,200</w:t>
            </w:r>
          </w:p>
        </w:tc>
      </w:tr>
      <w:tr w:rsidR="00501AA7" w:rsidRPr="00C003FA" w:rsidTr="00A4689B">
        <w:trPr>
          <w:jc w:val="center"/>
        </w:trPr>
        <w:tc>
          <w:tcPr>
            <w:tcW w:w="4543" w:type="dxa"/>
            <w:vAlign w:val="bottom"/>
          </w:tcPr>
          <w:p w:rsidR="00501AA7" w:rsidRPr="00C003FA" w:rsidRDefault="00501AA7" w:rsidP="00A4689B">
            <w:pPr>
              <w:jc w:val="left"/>
            </w:pPr>
            <w:r w:rsidRPr="00C003FA">
              <w:t>Mesa County Valley School District 51</w:t>
            </w:r>
          </w:p>
        </w:tc>
        <w:tc>
          <w:tcPr>
            <w:tcW w:w="1785" w:type="dxa"/>
            <w:vAlign w:val="bottom"/>
          </w:tcPr>
          <w:p w:rsidR="00501AA7" w:rsidRPr="00C003FA" w:rsidRDefault="00501AA7" w:rsidP="00A4689B">
            <w:pPr>
              <w:tabs>
                <w:tab w:val="decimal" w:pos="1109"/>
              </w:tabs>
              <w:jc w:val="left"/>
            </w:pPr>
            <w:r w:rsidRPr="00C003FA">
              <w:t>3,000</w:t>
            </w:r>
          </w:p>
        </w:tc>
      </w:tr>
      <w:tr w:rsidR="00501AA7" w:rsidRPr="00C003FA" w:rsidTr="00A4689B">
        <w:trPr>
          <w:jc w:val="center"/>
        </w:trPr>
        <w:tc>
          <w:tcPr>
            <w:tcW w:w="4543" w:type="dxa"/>
            <w:vAlign w:val="bottom"/>
          </w:tcPr>
          <w:p w:rsidR="00501AA7" w:rsidRPr="00C003FA" w:rsidRDefault="00501AA7" w:rsidP="00A4689B">
            <w:pPr>
              <w:jc w:val="left"/>
            </w:pPr>
            <w:r w:rsidRPr="00C003FA">
              <w:t>El Paso County</w:t>
            </w:r>
          </w:p>
        </w:tc>
        <w:tc>
          <w:tcPr>
            <w:tcW w:w="1785" w:type="dxa"/>
            <w:vAlign w:val="bottom"/>
          </w:tcPr>
          <w:p w:rsidR="00501AA7" w:rsidRPr="00C003FA" w:rsidRDefault="00501AA7" w:rsidP="00A4689B">
            <w:pPr>
              <w:tabs>
                <w:tab w:val="decimal" w:pos="1109"/>
              </w:tabs>
              <w:jc w:val="left"/>
            </w:pPr>
            <w:r w:rsidRPr="00C003FA">
              <w:t>2,800</w:t>
            </w:r>
          </w:p>
        </w:tc>
      </w:tr>
      <w:tr w:rsidR="00501AA7" w:rsidRPr="00C003FA" w:rsidTr="00A4689B">
        <w:trPr>
          <w:jc w:val="center"/>
        </w:trPr>
        <w:tc>
          <w:tcPr>
            <w:tcW w:w="4543" w:type="dxa"/>
            <w:vAlign w:val="bottom"/>
          </w:tcPr>
          <w:p w:rsidR="00501AA7" w:rsidRPr="00C003FA" w:rsidRDefault="00501AA7" w:rsidP="00A4689B">
            <w:pPr>
              <w:jc w:val="left"/>
            </w:pPr>
            <w:r w:rsidRPr="00C003FA">
              <w:t>Regional Transportation District (RTD)</w:t>
            </w:r>
          </w:p>
        </w:tc>
        <w:tc>
          <w:tcPr>
            <w:tcW w:w="1785" w:type="dxa"/>
            <w:vAlign w:val="bottom"/>
          </w:tcPr>
          <w:p w:rsidR="00501AA7" w:rsidRPr="00C003FA" w:rsidRDefault="00501AA7" w:rsidP="00A4689B">
            <w:pPr>
              <w:tabs>
                <w:tab w:val="decimal" w:pos="1109"/>
              </w:tabs>
              <w:jc w:val="left"/>
            </w:pPr>
            <w:r w:rsidRPr="00C003FA">
              <w:t>2,800</w:t>
            </w:r>
          </w:p>
        </w:tc>
      </w:tr>
      <w:tr w:rsidR="00501AA7" w:rsidRPr="00C003FA" w:rsidTr="00A4689B">
        <w:trPr>
          <w:jc w:val="center"/>
        </w:trPr>
        <w:tc>
          <w:tcPr>
            <w:tcW w:w="4543" w:type="dxa"/>
            <w:vAlign w:val="bottom"/>
          </w:tcPr>
          <w:p w:rsidR="00501AA7" w:rsidRPr="00C003FA" w:rsidRDefault="00501AA7" w:rsidP="00A4689B">
            <w:pPr>
              <w:jc w:val="left"/>
            </w:pPr>
            <w:r w:rsidRPr="00C003FA">
              <w:t>School District 49</w:t>
            </w:r>
          </w:p>
        </w:tc>
        <w:tc>
          <w:tcPr>
            <w:tcW w:w="1785" w:type="dxa"/>
            <w:vAlign w:val="bottom"/>
          </w:tcPr>
          <w:p w:rsidR="00501AA7" w:rsidRPr="00C003FA" w:rsidRDefault="00501AA7" w:rsidP="00A4689B">
            <w:pPr>
              <w:tabs>
                <w:tab w:val="decimal" w:pos="1109"/>
              </w:tabs>
              <w:jc w:val="left"/>
            </w:pPr>
            <w:r w:rsidRPr="00C003FA">
              <w:t>2,700</w:t>
            </w:r>
          </w:p>
        </w:tc>
      </w:tr>
    </w:tbl>
    <w:p w:rsidR="005162B7" w:rsidRPr="008E459C" w:rsidRDefault="005162B7" w:rsidP="005162B7">
      <w:pPr>
        <w:pStyle w:val="OStablenotes"/>
        <w:keepNext w:val="0"/>
        <w:spacing w:before="80" w:after="0"/>
        <w:rPr>
          <w:spacing w:val="-3"/>
        </w:rPr>
      </w:pPr>
      <w:r>
        <w:rPr>
          <w:spacing w:val="-3"/>
        </w:rPr>
        <w:t>________________________</w:t>
      </w:r>
    </w:p>
    <w:p w:rsidR="005942B3" w:rsidRDefault="005942B3" w:rsidP="00940E5F">
      <w:pPr>
        <w:pStyle w:val="OStablenotes"/>
        <w:spacing w:before="80" w:after="0"/>
      </w:pPr>
      <w:r w:rsidRPr="0077595C">
        <w:rPr>
          <w:vertAlign w:val="superscript"/>
        </w:rPr>
        <w:t>1</w:t>
      </w:r>
      <w:r>
        <w:tab/>
        <w:t>Includes both full- and part-time employees.</w:t>
      </w:r>
    </w:p>
    <w:p w:rsidR="005942B3" w:rsidRDefault="005942B3" w:rsidP="00940E5F">
      <w:pPr>
        <w:pStyle w:val="OStablesources"/>
        <w:spacing w:before="80"/>
      </w:pPr>
      <w:r>
        <w:t>Source:</w:t>
      </w:r>
      <w:r>
        <w:tab/>
        <w:t>Compiled by Development Research Partne</w:t>
      </w:r>
      <w:r w:rsidR="00501AA7">
        <w:t>rs from various sources, May 2020</w:t>
      </w:r>
      <w:r>
        <w:t>.</w:t>
      </w:r>
    </w:p>
    <w:p w:rsidR="003A4160" w:rsidRDefault="003A4160">
      <w:pPr>
        <w:spacing w:after="160" w:line="259" w:lineRule="auto"/>
        <w:jc w:val="left"/>
        <w:rPr>
          <w:rFonts w:eastAsia="Times New Roman" w:cs="Times New Roman"/>
          <w:b/>
          <w:bCs/>
          <w:szCs w:val="22"/>
        </w:rPr>
      </w:pPr>
      <w:r>
        <w:br w:type="page"/>
      </w:r>
    </w:p>
    <w:p w:rsidR="005942B3" w:rsidRDefault="005942B3" w:rsidP="00940E5F">
      <w:pPr>
        <w:pStyle w:val="OSappendixsubheading0"/>
      </w:pPr>
      <w:r>
        <w:t>Retail Sales</w:t>
      </w:r>
    </w:p>
    <w:p w:rsidR="005942B3" w:rsidRDefault="005942B3" w:rsidP="00940E5F">
      <w:pPr>
        <w:pStyle w:val="BodyText1"/>
      </w:pPr>
      <w:r>
        <w:t>The following table provides recent annual sales figures as reported for state sales tax purposes.</w:t>
      </w:r>
    </w:p>
    <w:tbl>
      <w:tblPr>
        <w:tblStyle w:val="TableGrid20"/>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0"/>
        <w:gridCol w:w="1424"/>
        <w:gridCol w:w="1387"/>
        <w:gridCol w:w="1422"/>
        <w:gridCol w:w="1391"/>
        <w:gridCol w:w="1317"/>
        <w:gridCol w:w="1259"/>
      </w:tblGrid>
      <w:tr w:rsidR="00A4689B" w:rsidRPr="00C003FA" w:rsidTr="00A4689B">
        <w:trPr>
          <w:jc w:val="center"/>
        </w:trPr>
        <w:tc>
          <w:tcPr>
            <w:tcW w:w="9360" w:type="dxa"/>
            <w:gridSpan w:val="7"/>
            <w:vAlign w:val="bottom"/>
          </w:tcPr>
          <w:p w:rsidR="00A4689B" w:rsidRPr="00C003FA" w:rsidRDefault="00A4689B" w:rsidP="00A4689B">
            <w:pPr>
              <w:spacing w:after="120"/>
              <w:jc w:val="center"/>
            </w:pPr>
            <w:r w:rsidRPr="00C003FA">
              <w:t>Colorado Sales and Use Tax Net Collections</w:t>
            </w:r>
            <w:r w:rsidRPr="00C003FA">
              <w:br/>
              <w:t>Fiscal Years 2015 to 2019</w:t>
            </w:r>
          </w:p>
        </w:tc>
      </w:tr>
      <w:tr w:rsidR="00A4689B" w:rsidRPr="00C003FA" w:rsidTr="00A4689B">
        <w:trPr>
          <w:jc w:val="center"/>
        </w:trPr>
        <w:tc>
          <w:tcPr>
            <w:tcW w:w="1160" w:type="dxa"/>
            <w:vAlign w:val="bottom"/>
          </w:tcPr>
          <w:p w:rsidR="00A4689B" w:rsidRPr="00C003FA" w:rsidRDefault="00A4689B" w:rsidP="00A4689B">
            <w:pPr>
              <w:spacing w:after="120"/>
              <w:jc w:val="center"/>
            </w:pPr>
          </w:p>
        </w:tc>
        <w:tc>
          <w:tcPr>
            <w:tcW w:w="2811" w:type="dxa"/>
            <w:gridSpan w:val="2"/>
            <w:vAlign w:val="bottom"/>
          </w:tcPr>
          <w:p w:rsidR="00A4689B" w:rsidRPr="00C003FA" w:rsidRDefault="00A4689B" w:rsidP="00A4689B">
            <w:pPr>
              <w:pBdr>
                <w:bottom w:val="single" w:sz="4" w:space="1" w:color="auto"/>
              </w:pBdr>
              <w:spacing w:after="120"/>
              <w:jc w:val="center"/>
            </w:pPr>
            <w:r w:rsidRPr="00C003FA">
              <w:t>Sales Tax</w:t>
            </w:r>
          </w:p>
        </w:tc>
        <w:tc>
          <w:tcPr>
            <w:tcW w:w="2813" w:type="dxa"/>
            <w:gridSpan w:val="2"/>
            <w:vAlign w:val="bottom"/>
          </w:tcPr>
          <w:p w:rsidR="00A4689B" w:rsidRPr="00C003FA" w:rsidRDefault="00A4689B" w:rsidP="00A4689B">
            <w:pPr>
              <w:pBdr>
                <w:bottom w:val="single" w:sz="4" w:space="1" w:color="auto"/>
              </w:pBdr>
              <w:spacing w:after="120"/>
              <w:jc w:val="center"/>
            </w:pPr>
            <w:r w:rsidRPr="00C003FA">
              <w:t>Consumer Use Tax</w:t>
            </w:r>
          </w:p>
        </w:tc>
        <w:tc>
          <w:tcPr>
            <w:tcW w:w="2576" w:type="dxa"/>
            <w:gridSpan w:val="2"/>
          </w:tcPr>
          <w:p w:rsidR="00A4689B" w:rsidRPr="00C003FA" w:rsidRDefault="00A4689B" w:rsidP="00A4689B">
            <w:pPr>
              <w:pBdr>
                <w:bottom w:val="single" w:sz="4" w:space="1" w:color="auto"/>
              </w:pBdr>
              <w:spacing w:after="120"/>
              <w:jc w:val="center"/>
            </w:pPr>
            <w:r w:rsidRPr="00C003FA">
              <w:t>Retailer Use Tax</w:t>
            </w:r>
          </w:p>
        </w:tc>
      </w:tr>
      <w:tr w:rsidR="00A4689B" w:rsidRPr="00C003FA" w:rsidTr="00A4689B">
        <w:trPr>
          <w:jc w:val="center"/>
        </w:trPr>
        <w:tc>
          <w:tcPr>
            <w:tcW w:w="1160" w:type="dxa"/>
            <w:vAlign w:val="bottom"/>
          </w:tcPr>
          <w:p w:rsidR="00A4689B" w:rsidRPr="00C003FA" w:rsidRDefault="00A4689B" w:rsidP="00A4689B">
            <w:pPr>
              <w:spacing w:after="120"/>
              <w:jc w:val="center"/>
            </w:pPr>
          </w:p>
        </w:tc>
        <w:tc>
          <w:tcPr>
            <w:tcW w:w="1424" w:type="dxa"/>
            <w:vAlign w:val="bottom"/>
          </w:tcPr>
          <w:p w:rsidR="00A4689B" w:rsidRPr="00C003FA" w:rsidRDefault="00A4689B" w:rsidP="00A4689B">
            <w:pPr>
              <w:pBdr>
                <w:bottom w:val="single" w:sz="4" w:space="1" w:color="auto"/>
              </w:pBdr>
              <w:spacing w:after="120"/>
              <w:jc w:val="center"/>
            </w:pPr>
            <w:r w:rsidRPr="00C003FA">
              <w:t>Amount (thousands)</w:t>
            </w:r>
          </w:p>
        </w:tc>
        <w:tc>
          <w:tcPr>
            <w:tcW w:w="1387" w:type="dxa"/>
            <w:vAlign w:val="bottom"/>
          </w:tcPr>
          <w:p w:rsidR="00A4689B" w:rsidRPr="00C003FA" w:rsidRDefault="00A4689B" w:rsidP="00A4689B">
            <w:pPr>
              <w:pBdr>
                <w:bottom w:val="single" w:sz="4" w:space="1" w:color="auto"/>
              </w:pBdr>
              <w:spacing w:after="120"/>
              <w:jc w:val="center"/>
            </w:pPr>
            <w:r w:rsidRPr="00C003FA">
              <w:t>%</w:t>
            </w:r>
            <w:r w:rsidRPr="00C003FA">
              <w:br/>
              <w:t>Change</w:t>
            </w:r>
          </w:p>
        </w:tc>
        <w:tc>
          <w:tcPr>
            <w:tcW w:w="1422" w:type="dxa"/>
            <w:vAlign w:val="bottom"/>
          </w:tcPr>
          <w:p w:rsidR="00A4689B" w:rsidRPr="00C003FA" w:rsidRDefault="00A4689B" w:rsidP="00A4689B">
            <w:pPr>
              <w:pBdr>
                <w:bottom w:val="single" w:sz="4" w:space="1" w:color="auto"/>
              </w:pBdr>
              <w:spacing w:after="120"/>
              <w:jc w:val="center"/>
            </w:pPr>
            <w:r w:rsidRPr="00C003FA">
              <w:t>Amount (thousands)</w:t>
            </w:r>
          </w:p>
        </w:tc>
        <w:tc>
          <w:tcPr>
            <w:tcW w:w="1391" w:type="dxa"/>
            <w:vAlign w:val="bottom"/>
          </w:tcPr>
          <w:p w:rsidR="00A4689B" w:rsidRPr="00C003FA" w:rsidRDefault="00A4689B" w:rsidP="00A4689B">
            <w:pPr>
              <w:pBdr>
                <w:bottom w:val="single" w:sz="4" w:space="1" w:color="auto"/>
              </w:pBdr>
              <w:spacing w:after="120"/>
              <w:jc w:val="center"/>
            </w:pPr>
            <w:r w:rsidRPr="00C003FA">
              <w:t>%</w:t>
            </w:r>
            <w:r w:rsidRPr="00C003FA">
              <w:br/>
              <w:t>Change</w:t>
            </w:r>
          </w:p>
        </w:tc>
        <w:tc>
          <w:tcPr>
            <w:tcW w:w="1317" w:type="dxa"/>
            <w:vAlign w:val="bottom"/>
          </w:tcPr>
          <w:p w:rsidR="00A4689B" w:rsidRPr="00C003FA" w:rsidRDefault="00A4689B" w:rsidP="00A4689B">
            <w:pPr>
              <w:pBdr>
                <w:bottom w:val="single" w:sz="4" w:space="1" w:color="auto"/>
              </w:pBdr>
              <w:spacing w:after="120"/>
              <w:jc w:val="center"/>
            </w:pPr>
            <w:r w:rsidRPr="00C003FA">
              <w:t>Amount (thousands)</w:t>
            </w:r>
          </w:p>
        </w:tc>
        <w:tc>
          <w:tcPr>
            <w:tcW w:w="1259" w:type="dxa"/>
            <w:vAlign w:val="bottom"/>
          </w:tcPr>
          <w:p w:rsidR="00A4689B" w:rsidRPr="00C003FA" w:rsidRDefault="00A4689B" w:rsidP="00A4689B">
            <w:pPr>
              <w:pBdr>
                <w:bottom w:val="single" w:sz="4" w:space="1" w:color="auto"/>
              </w:pBdr>
              <w:spacing w:after="120"/>
              <w:jc w:val="center"/>
            </w:pPr>
            <w:r w:rsidRPr="00C003FA">
              <w:t>%</w:t>
            </w:r>
            <w:r w:rsidRPr="00C003FA">
              <w:br/>
              <w:t>Change</w:t>
            </w:r>
          </w:p>
        </w:tc>
      </w:tr>
      <w:tr w:rsidR="00A4689B" w:rsidRPr="00C003FA" w:rsidTr="00A4689B">
        <w:trPr>
          <w:jc w:val="center"/>
        </w:trPr>
        <w:tc>
          <w:tcPr>
            <w:tcW w:w="1160" w:type="dxa"/>
            <w:vAlign w:val="bottom"/>
          </w:tcPr>
          <w:p w:rsidR="00A4689B" w:rsidRPr="00C003FA" w:rsidRDefault="00A4689B" w:rsidP="00A4689B">
            <w:pPr>
              <w:jc w:val="center"/>
            </w:pPr>
            <w:r w:rsidRPr="00C003FA">
              <w:t>2015</w:t>
            </w:r>
          </w:p>
        </w:tc>
        <w:tc>
          <w:tcPr>
            <w:tcW w:w="1424" w:type="dxa"/>
            <w:vAlign w:val="bottom"/>
          </w:tcPr>
          <w:p w:rsidR="00A4689B" w:rsidRPr="00C003FA" w:rsidRDefault="00A4689B" w:rsidP="00A4689B">
            <w:pPr>
              <w:tabs>
                <w:tab w:val="decimal" w:pos="1066"/>
              </w:tabs>
              <w:jc w:val="left"/>
            </w:pPr>
            <w:r w:rsidRPr="00C003FA">
              <w:t>$2,561,913</w:t>
            </w:r>
          </w:p>
        </w:tc>
        <w:tc>
          <w:tcPr>
            <w:tcW w:w="1387" w:type="dxa"/>
            <w:vAlign w:val="bottom"/>
          </w:tcPr>
          <w:p w:rsidR="00A4689B" w:rsidRPr="00C003FA" w:rsidRDefault="00A4689B" w:rsidP="00A4689B">
            <w:pPr>
              <w:tabs>
                <w:tab w:val="decimal" w:pos="590"/>
              </w:tabs>
              <w:jc w:val="left"/>
            </w:pPr>
            <w:r w:rsidRPr="00C003FA">
              <w:t>8.0%</w:t>
            </w:r>
          </w:p>
        </w:tc>
        <w:tc>
          <w:tcPr>
            <w:tcW w:w="1422" w:type="dxa"/>
            <w:vAlign w:val="bottom"/>
          </w:tcPr>
          <w:p w:rsidR="00A4689B" w:rsidRPr="00C003FA" w:rsidRDefault="00A4689B" w:rsidP="00A4689B">
            <w:pPr>
              <w:tabs>
                <w:tab w:val="decimal" w:pos="955"/>
              </w:tabs>
              <w:jc w:val="left"/>
            </w:pPr>
            <w:r w:rsidRPr="00C003FA">
              <w:t>$123,175</w:t>
            </w:r>
          </w:p>
        </w:tc>
        <w:tc>
          <w:tcPr>
            <w:tcW w:w="1391" w:type="dxa"/>
            <w:vAlign w:val="bottom"/>
          </w:tcPr>
          <w:p w:rsidR="00A4689B" w:rsidRPr="00C003FA" w:rsidRDefault="00A4689B" w:rsidP="00A4689B">
            <w:pPr>
              <w:tabs>
                <w:tab w:val="decimal" w:pos="599"/>
              </w:tabs>
              <w:jc w:val="left"/>
            </w:pPr>
            <w:r w:rsidRPr="00C003FA">
              <w:t>5.9%</w:t>
            </w:r>
          </w:p>
        </w:tc>
        <w:tc>
          <w:tcPr>
            <w:tcW w:w="1317" w:type="dxa"/>
          </w:tcPr>
          <w:p w:rsidR="00A4689B" w:rsidRPr="00C003FA" w:rsidRDefault="00A4689B" w:rsidP="00A4689B">
            <w:pPr>
              <w:tabs>
                <w:tab w:val="decimal" w:pos="888"/>
              </w:tabs>
              <w:jc w:val="left"/>
            </w:pPr>
            <w:r w:rsidRPr="00C003FA">
              <w:t>$132,685</w:t>
            </w:r>
          </w:p>
        </w:tc>
        <w:tc>
          <w:tcPr>
            <w:tcW w:w="1259" w:type="dxa"/>
          </w:tcPr>
          <w:p w:rsidR="00A4689B" w:rsidRPr="00C003FA" w:rsidRDefault="00A4689B" w:rsidP="00A4689B">
            <w:pPr>
              <w:tabs>
                <w:tab w:val="decimal" w:pos="453"/>
              </w:tabs>
              <w:jc w:val="left"/>
            </w:pPr>
            <w:r w:rsidRPr="00C003FA">
              <w:t>6.0%</w:t>
            </w:r>
          </w:p>
        </w:tc>
      </w:tr>
      <w:tr w:rsidR="00A4689B" w:rsidRPr="00C003FA" w:rsidTr="00A4689B">
        <w:trPr>
          <w:jc w:val="center"/>
        </w:trPr>
        <w:tc>
          <w:tcPr>
            <w:tcW w:w="1160" w:type="dxa"/>
            <w:vAlign w:val="bottom"/>
          </w:tcPr>
          <w:p w:rsidR="00A4689B" w:rsidRPr="00C003FA" w:rsidRDefault="00A4689B" w:rsidP="00A4689B">
            <w:pPr>
              <w:jc w:val="center"/>
            </w:pPr>
            <w:r w:rsidRPr="00C003FA">
              <w:t>2016</w:t>
            </w:r>
          </w:p>
        </w:tc>
        <w:tc>
          <w:tcPr>
            <w:tcW w:w="1424" w:type="dxa"/>
            <w:vAlign w:val="bottom"/>
          </w:tcPr>
          <w:p w:rsidR="00A4689B" w:rsidRPr="00C003FA" w:rsidRDefault="00A4689B" w:rsidP="00A4689B">
            <w:pPr>
              <w:tabs>
                <w:tab w:val="decimal" w:pos="1066"/>
              </w:tabs>
              <w:jc w:val="left"/>
            </w:pPr>
            <w:r w:rsidRPr="00C003FA">
              <w:t>2,596,355</w:t>
            </w:r>
          </w:p>
        </w:tc>
        <w:tc>
          <w:tcPr>
            <w:tcW w:w="1387" w:type="dxa"/>
            <w:vAlign w:val="bottom"/>
          </w:tcPr>
          <w:p w:rsidR="00A4689B" w:rsidRPr="00C003FA" w:rsidRDefault="00A4689B" w:rsidP="00A4689B">
            <w:pPr>
              <w:tabs>
                <w:tab w:val="decimal" w:pos="590"/>
              </w:tabs>
              <w:jc w:val="left"/>
            </w:pPr>
            <w:r w:rsidRPr="00C003FA">
              <w:t>1.3</w:t>
            </w:r>
          </w:p>
        </w:tc>
        <w:tc>
          <w:tcPr>
            <w:tcW w:w="1422" w:type="dxa"/>
            <w:vAlign w:val="bottom"/>
          </w:tcPr>
          <w:p w:rsidR="00A4689B" w:rsidRPr="00C003FA" w:rsidRDefault="00A4689B" w:rsidP="00A4689B">
            <w:pPr>
              <w:tabs>
                <w:tab w:val="decimal" w:pos="955"/>
              </w:tabs>
              <w:jc w:val="left"/>
            </w:pPr>
            <w:r w:rsidRPr="00C003FA">
              <w:t>111,227</w:t>
            </w:r>
          </w:p>
        </w:tc>
        <w:tc>
          <w:tcPr>
            <w:tcW w:w="1391" w:type="dxa"/>
            <w:vAlign w:val="bottom"/>
          </w:tcPr>
          <w:p w:rsidR="00A4689B" w:rsidRPr="00C003FA" w:rsidRDefault="00A4689B" w:rsidP="00A4689B">
            <w:pPr>
              <w:tabs>
                <w:tab w:val="decimal" w:pos="599"/>
              </w:tabs>
              <w:jc w:val="left"/>
            </w:pPr>
            <w:r w:rsidRPr="00C003FA">
              <w:t>(9.7)</w:t>
            </w:r>
          </w:p>
        </w:tc>
        <w:tc>
          <w:tcPr>
            <w:tcW w:w="1317" w:type="dxa"/>
          </w:tcPr>
          <w:p w:rsidR="00A4689B" w:rsidRPr="00C003FA" w:rsidRDefault="00A4689B" w:rsidP="00A4689B">
            <w:pPr>
              <w:tabs>
                <w:tab w:val="decimal" w:pos="888"/>
              </w:tabs>
              <w:jc w:val="left"/>
            </w:pPr>
            <w:r w:rsidRPr="00C003FA">
              <w:t>132,591</w:t>
            </w:r>
          </w:p>
        </w:tc>
        <w:tc>
          <w:tcPr>
            <w:tcW w:w="1259" w:type="dxa"/>
          </w:tcPr>
          <w:p w:rsidR="00A4689B" w:rsidRPr="00C003FA" w:rsidRDefault="00A4689B" w:rsidP="00A4689B">
            <w:pPr>
              <w:tabs>
                <w:tab w:val="decimal" w:pos="453"/>
              </w:tabs>
              <w:jc w:val="left"/>
            </w:pPr>
            <w:r w:rsidRPr="00C003FA">
              <w:t>(0.1)</w:t>
            </w:r>
          </w:p>
        </w:tc>
      </w:tr>
      <w:tr w:rsidR="00A4689B" w:rsidRPr="00C003FA" w:rsidTr="00A4689B">
        <w:trPr>
          <w:jc w:val="center"/>
        </w:trPr>
        <w:tc>
          <w:tcPr>
            <w:tcW w:w="1160" w:type="dxa"/>
            <w:vAlign w:val="bottom"/>
          </w:tcPr>
          <w:p w:rsidR="00A4689B" w:rsidRPr="00C003FA" w:rsidRDefault="00A4689B" w:rsidP="00A4689B">
            <w:pPr>
              <w:jc w:val="center"/>
            </w:pPr>
            <w:r w:rsidRPr="00C003FA">
              <w:t>2017</w:t>
            </w:r>
          </w:p>
        </w:tc>
        <w:tc>
          <w:tcPr>
            <w:tcW w:w="1424" w:type="dxa"/>
            <w:vAlign w:val="bottom"/>
          </w:tcPr>
          <w:p w:rsidR="00A4689B" w:rsidRPr="00C003FA" w:rsidRDefault="00A4689B" w:rsidP="00A4689B">
            <w:pPr>
              <w:tabs>
                <w:tab w:val="decimal" w:pos="1066"/>
              </w:tabs>
              <w:jc w:val="left"/>
            </w:pPr>
            <w:r w:rsidRPr="00C003FA">
              <w:t>2,719,778</w:t>
            </w:r>
          </w:p>
        </w:tc>
        <w:tc>
          <w:tcPr>
            <w:tcW w:w="1387" w:type="dxa"/>
            <w:vAlign w:val="bottom"/>
          </w:tcPr>
          <w:p w:rsidR="00A4689B" w:rsidRPr="00C003FA" w:rsidRDefault="00A4689B" w:rsidP="00A4689B">
            <w:pPr>
              <w:tabs>
                <w:tab w:val="decimal" w:pos="590"/>
              </w:tabs>
              <w:jc w:val="left"/>
            </w:pPr>
            <w:r w:rsidRPr="00C003FA">
              <w:t>4.8</w:t>
            </w:r>
          </w:p>
        </w:tc>
        <w:tc>
          <w:tcPr>
            <w:tcW w:w="1422" w:type="dxa"/>
            <w:vAlign w:val="bottom"/>
          </w:tcPr>
          <w:p w:rsidR="00A4689B" w:rsidRPr="00C003FA" w:rsidRDefault="00A4689B" w:rsidP="00A4689B">
            <w:pPr>
              <w:tabs>
                <w:tab w:val="decimal" w:pos="955"/>
              </w:tabs>
              <w:jc w:val="left"/>
            </w:pPr>
            <w:r w:rsidRPr="00C003FA">
              <w:t>109,037</w:t>
            </w:r>
          </w:p>
        </w:tc>
        <w:tc>
          <w:tcPr>
            <w:tcW w:w="1391" w:type="dxa"/>
            <w:vAlign w:val="bottom"/>
          </w:tcPr>
          <w:p w:rsidR="00A4689B" w:rsidRPr="00C003FA" w:rsidRDefault="00A4689B" w:rsidP="00A4689B">
            <w:pPr>
              <w:tabs>
                <w:tab w:val="decimal" w:pos="599"/>
              </w:tabs>
              <w:jc w:val="left"/>
            </w:pPr>
            <w:r w:rsidRPr="00C003FA">
              <w:t>(2.0)</w:t>
            </w:r>
          </w:p>
        </w:tc>
        <w:tc>
          <w:tcPr>
            <w:tcW w:w="1317" w:type="dxa"/>
          </w:tcPr>
          <w:p w:rsidR="00A4689B" w:rsidRPr="00C003FA" w:rsidRDefault="00A4689B" w:rsidP="00A4689B">
            <w:pPr>
              <w:tabs>
                <w:tab w:val="decimal" w:pos="888"/>
              </w:tabs>
              <w:jc w:val="left"/>
            </w:pPr>
            <w:r w:rsidRPr="00C003FA">
              <w:t>149,567</w:t>
            </w:r>
          </w:p>
        </w:tc>
        <w:tc>
          <w:tcPr>
            <w:tcW w:w="1259" w:type="dxa"/>
          </w:tcPr>
          <w:p w:rsidR="00A4689B" w:rsidRPr="00C003FA" w:rsidRDefault="00A4689B" w:rsidP="00A4689B">
            <w:pPr>
              <w:tabs>
                <w:tab w:val="decimal" w:pos="453"/>
              </w:tabs>
              <w:jc w:val="left"/>
            </w:pPr>
            <w:r w:rsidRPr="00C003FA">
              <w:t>12.8</w:t>
            </w:r>
          </w:p>
        </w:tc>
      </w:tr>
      <w:tr w:rsidR="00A4689B" w:rsidRPr="00C003FA" w:rsidTr="00A4689B">
        <w:trPr>
          <w:jc w:val="center"/>
        </w:trPr>
        <w:tc>
          <w:tcPr>
            <w:tcW w:w="1160" w:type="dxa"/>
            <w:vAlign w:val="bottom"/>
          </w:tcPr>
          <w:p w:rsidR="00A4689B" w:rsidRPr="00C003FA" w:rsidRDefault="00A4689B" w:rsidP="00A4689B">
            <w:pPr>
              <w:jc w:val="center"/>
            </w:pPr>
            <w:r w:rsidRPr="00C003FA">
              <w:t>2018</w:t>
            </w:r>
          </w:p>
        </w:tc>
        <w:tc>
          <w:tcPr>
            <w:tcW w:w="1424" w:type="dxa"/>
            <w:vAlign w:val="bottom"/>
          </w:tcPr>
          <w:p w:rsidR="00A4689B" w:rsidRPr="00C003FA" w:rsidRDefault="00A4689B" w:rsidP="00A4689B">
            <w:pPr>
              <w:tabs>
                <w:tab w:val="decimal" w:pos="1066"/>
              </w:tabs>
              <w:jc w:val="left"/>
            </w:pPr>
            <w:r w:rsidRPr="00C003FA">
              <w:t>2,906,717</w:t>
            </w:r>
          </w:p>
        </w:tc>
        <w:tc>
          <w:tcPr>
            <w:tcW w:w="1387" w:type="dxa"/>
            <w:vAlign w:val="bottom"/>
          </w:tcPr>
          <w:p w:rsidR="00A4689B" w:rsidRPr="00C003FA" w:rsidRDefault="00A4689B" w:rsidP="00A4689B">
            <w:pPr>
              <w:tabs>
                <w:tab w:val="decimal" w:pos="590"/>
              </w:tabs>
              <w:jc w:val="left"/>
            </w:pPr>
            <w:r w:rsidRPr="00C003FA">
              <w:t>6.9</w:t>
            </w:r>
          </w:p>
        </w:tc>
        <w:tc>
          <w:tcPr>
            <w:tcW w:w="1422" w:type="dxa"/>
            <w:vAlign w:val="bottom"/>
          </w:tcPr>
          <w:p w:rsidR="00A4689B" w:rsidRPr="00C003FA" w:rsidRDefault="00A4689B" w:rsidP="00A4689B">
            <w:pPr>
              <w:tabs>
                <w:tab w:val="decimal" w:pos="955"/>
              </w:tabs>
              <w:jc w:val="left"/>
            </w:pPr>
            <w:r w:rsidRPr="00C003FA">
              <w:t>121,158</w:t>
            </w:r>
          </w:p>
        </w:tc>
        <w:tc>
          <w:tcPr>
            <w:tcW w:w="1391" w:type="dxa"/>
            <w:vAlign w:val="bottom"/>
          </w:tcPr>
          <w:p w:rsidR="00A4689B" w:rsidRPr="00C003FA" w:rsidRDefault="00A4689B" w:rsidP="00A4689B">
            <w:pPr>
              <w:tabs>
                <w:tab w:val="decimal" w:pos="599"/>
              </w:tabs>
              <w:jc w:val="left"/>
            </w:pPr>
            <w:r w:rsidRPr="00C003FA">
              <w:t>11.1</w:t>
            </w:r>
          </w:p>
        </w:tc>
        <w:tc>
          <w:tcPr>
            <w:tcW w:w="1317" w:type="dxa"/>
          </w:tcPr>
          <w:p w:rsidR="00A4689B" w:rsidRPr="00C003FA" w:rsidRDefault="00A4689B" w:rsidP="00A4689B">
            <w:pPr>
              <w:tabs>
                <w:tab w:val="decimal" w:pos="888"/>
              </w:tabs>
              <w:jc w:val="left"/>
            </w:pPr>
            <w:r w:rsidRPr="00C003FA">
              <w:t>184,034</w:t>
            </w:r>
          </w:p>
        </w:tc>
        <w:tc>
          <w:tcPr>
            <w:tcW w:w="1259" w:type="dxa"/>
          </w:tcPr>
          <w:p w:rsidR="00A4689B" w:rsidRPr="00C003FA" w:rsidRDefault="00A4689B" w:rsidP="00A4689B">
            <w:pPr>
              <w:tabs>
                <w:tab w:val="decimal" w:pos="453"/>
              </w:tabs>
              <w:jc w:val="left"/>
            </w:pPr>
            <w:r w:rsidRPr="00C003FA">
              <w:t>23.0</w:t>
            </w:r>
          </w:p>
        </w:tc>
      </w:tr>
      <w:tr w:rsidR="00A4689B" w:rsidRPr="00C003FA" w:rsidTr="00A4689B">
        <w:trPr>
          <w:jc w:val="center"/>
        </w:trPr>
        <w:tc>
          <w:tcPr>
            <w:tcW w:w="1160" w:type="dxa"/>
            <w:vAlign w:val="bottom"/>
          </w:tcPr>
          <w:p w:rsidR="00A4689B" w:rsidRPr="00C003FA" w:rsidRDefault="00A4689B" w:rsidP="00A4689B">
            <w:pPr>
              <w:jc w:val="center"/>
            </w:pPr>
            <w:r w:rsidRPr="00C003FA">
              <w:t>2019</w:t>
            </w:r>
          </w:p>
        </w:tc>
        <w:tc>
          <w:tcPr>
            <w:tcW w:w="1424" w:type="dxa"/>
            <w:vAlign w:val="bottom"/>
          </w:tcPr>
          <w:p w:rsidR="00A4689B" w:rsidRPr="00C003FA" w:rsidRDefault="00A4689B" w:rsidP="00A4689B">
            <w:pPr>
              <w:tabs>
                <w:tab w:val="decimal" w:pos="1066"/>
              </w:tabs>
              <w:jc w:val="left"/>
            </w:pPr>
            <w:r w:rsidRPr="00C003FA">
              <w:t>3,031,974</w:t>
            </w:r>
          </w:p>
        </w:tc>
        <w:tc>
          <w:tcPr>
            <w:tcW w:w="1387" w:type="dxa"/>
            <w:vAlign w:val="bottom"/>
          </w:tcPr>
          <w:p w:rsidR="00A4689B" w:rsidRPr="00C003FA" w:rsidRDefault="00A4689B" w:rsidP="00A4689B">
            <w:pPr>
              <w:tabs>
                <w:tab w:val="decimal" w:pos="590"/>
              </w:tabs>
              <w:jc w:val="left"/>
            </w:pPr>
            <w:r w:rsidRPr="00C003FA">
              <w:t>4.3</w:t>
            </w:r>
          </w:p>
        </w:tc>
        <w:tc>
          <w:tcPr>
            <w:tcW w:w="1422" w:type="dxa"/>
            <w:vAlign w:val="bottom"/>
          </w:tcPr>
          <w:p w:rsidR="00A4689B" w:rsidRPr="00C003FA" w:rsidRDefault="00A4689B" w:rsidP="00A4689B">
            <w:pPr>
              <w:tabs>
                <w:tab w:val="decimal" w:pos="955"/>
              </w:tabs>
              <w:jc w:val="left"/>
            </w:pPr>
            <w:r w:rsidRPr="00C003FA">
              <w:t>124,947</w:t>
            </w:r>
          </w:p>
        </w:tc>
        <w:tc>
          <w:tcPr>
            <w:tcW w:w="1391" w:type="dxa"/>
            <w:vAlign w:val="bottom"/>
          </w:tcPr>
          <w:p w:rsidR="00A4689B" w:rsidRPr="00C003FA" w:rsidRDefault="00A4689B" w:rsidP="00A4689B">
            <w:pPr>
              <w:tabs>
                <w:tab w:val="decimal" w:pos="599"/>
              </w:tabs>
              <w:jc w:val="left"/>
            </w:pPr>
            <w:r w:rsidRPr="00C003FA">
              <w:t>3.1</w:t>
            </w:r>
          </w:p>
        </w:tc>
        <w:tc>
          <w:tcPr>
            <w:tcW w:w="1317" w:type="dxa"/>
          </w:tcPr>
          <w:p w:rsidR="00A4689B" w:rsidRPr="00C003FA" w:rsidRDefault="00A4689B" w:rsidP="00A4689B">
            <w:pPr>
              <w:tabs>
                <w:tab w:val="decimal" w:pos="888"/>
              </w:tabs>
              <w:jc w:val="left"/>
            </w:pPr>
            <w:r w:rsidRPr="00C003FA">
              <w:t>218,136</w:t>
            </w:r>
          </w:p>
        </w:tc>
        <w:tc>
          <w:tcPr>
            <w:tcW w:w="1259" w:type="dxa"/>
          </w:tcPr>
          <w:p w:rsidR="00A4689B" w:rsidRPr="00C003FA" w:rsidRDefault="00A4689B" w:rsidP="00A4689B">
            <w:pPr>
              <w:tabs>
                <w:tab w:val="decimal" w:pos="453"/>
              </w:tabs>
              <w:jc w:val="left"/>
            </w:pPr>
            <w:r w:rsidRPr="00C003FA">
              <w:t>18.5</w:t>
            </w:r>
          </w:p>
        </w:tc>
      </w:tr>
    </w:tbl>
    <w:p w:rsidR="005162B7" w:rsidRPr="008E459C" w:rsidRDefault="005162B7" w:rsidP="005162B7">
      <w:pPr>
        <w:pStyle w:val="OStablenotes"/>
        <w:keepNext w:val="0"/>
        <w:spacing w:before="80" w:after="0"/>
        <w:rPr>
          <w:spacing w:val="-3"/>
        </w:rPr>
      </w:pPr>
      <w:r>
        <w:rPr>
          <w:spacing w:val="-3"/>
        </w:rPr>
        <w:t>________________________</w:t>
      </w:r>
    </w:p>
    <w:p w:rsidR="005942B3" w:rsidRDefault="005942B3" w:rsidP="00940E5F">
      <w:pPr>
        <w:pStyle w:val="OStablesources"/>
        <w:spacing w:before="80"/>
      </w:pPr>
      <w:r w:rsidRPr="005942B3">
        <w:t>Source:</w:t>
      </w:r>
      <w:r w:rsidRPr="005942B3">
        <w:tab/>
        <w:t>Colorado Department of Revenue.</w:t>
      </w:r>
    </w:p>
    <w:p w:rsidR="003A4160" w:rsidRDefault="003A4160" w:rsidP="00940E5F">
      <w:pPr>
        <w:pStyle w:val="OStablesources"/>
        <w:spacing w:before="80"/>
      </w:pPr>
    </w:p>
    <w:p w:rsidR="003A4160" w:rsidRDefault="003A4160" w:rsidP="00940E5F">
      <w:pPr>
        <w:pStyle w:val="OStablesources"/>
        <w:spacing w:before="80"/>
      </w:pPr>
    </w:p>
    <w:p w:rsidR="00A4689B" w:rsidRDefault="00A4689B" w:rsidP="00940E5F">
      <w:pPr>
        <w:pStyle w:val="BodyText1"/>
        <w:sectPr w:rsidR="00A4689B" w:rsidSect="003E61BE">
          <w:footerReference w:type="first" r:id="rId48"/>
          <w:footnotePr>
            <w:numRestart w:val="eachPage"/>
          </w:footnotePr>
          <w:pgSz w:w="12240" w:h="15840"/>
          <w:pgMar w:top="1440" w:right="1440" w:bottom="1440" w:left="1440" w:header="720" w:footer="720" w:gutter="0"/>
          <w:cols w:space="720"/>
          <w:titlePg/>
          <w:docGrid w:linePitch="360"/>
        </w:sectPr>
      </w:pPr>
    </w:p>
    <w:p w:rsidR="005942B3" w:rsidRDefault="005942B3" w:rsidP="00940E5F">
      <w:pPr>
        <w:pStyle w:val="BodyText1"/>
      </w:pPr>
      <w:r w:rsidRPr="005942B3">
        <w:t>The following table provides retail sales totals by industry for the State for the most recent five years and year-to-date available. Retail sales data is only available through February 2016 as the Colorado Department of Revenue is currently experiencing a system problem that prevents the Retail Sales Reports from being produced.  The Department is working to resolve the issue as soon as possible.</w:t>
      </w:r>
    </w:p>
    <w:tbl>
      <w:tblPr>
        <w:tblStyle w:val="TableGrid20"/>
        <w:tblW w:w="116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1"/>
        <w:gridCol w:w="776"/>
        <w:gridCol w:w="678"/>
        <w:gridCol w:w="776"/>
        <w:gridCol w:w="676"/>
        <w:gridCol w:w="776"/>
        <w:gridCol w:w="675"/>
        <w:gridCol w:w="776"/>
        <w:gridCol w:w="675"/>
        <w:gridCol w:w="776"/>
        <w:gridCol w:w="675"/>
        <w:gridCol w:w="755"/>
        <w:gridCol w:w="761"/>
        <w:gridCol w:w="675"/>
      </w:tblGrid>
      <w:tr w:rsidR="00A4689B" w:rsidRPr="00C003FA" w:rsidTr="00A4689B">
        <w:trPr>
          <w:jc w:val="center"/>
        </w:trPr>
        <w:tc>
          <w:tcPr>
            <w:tcW w:w="11681" w:type="dxa"/>
            <w:gridSpan w:val="14"/>
            <w:vAlign w:val="bottom"/>
          </w:tcPr>
          <w:p w:rsidR="00A4689B" w:rsidRPr="00C003FA" w:rsidRDefault="00A4689B" w:rsidP="00A4689B">
            <w:pPr>
              <w:jc w:val="center"/>
              <w:rPr>
                <w:sz w:val="14"/>
              </w:rPr>
            </w:pPr>
            <w:r w:rsidRPr="00C003FA">
              <w:rPr>
                <w:sz w:val="14"/>
              </w:rPr>
              <w:t xml:space="preserve">Colorado Retail Sales by Industry </w:t>
            </w:r>
            <w:r w:rsidRPr="00C003FA">
              <w:rPr>
                <w:sz w:val="14"/>
              </w:rPr>
              <w:br/>
              <w:t>(millions)</w:t>
            </w:r>
            <w:r w:rsidRPr="00C003FA">
              <w:rPr>
                <w:sz w:val="14"/>
              </w:rPr>
              <w:br/>
              <w:t>and</w:t>
            </w:r>
            <w:r w:rsidRPr="00C003FA">
              <w:rPr>
                <w:sz w:val="14"/>
              </w:rPr>
              <w:br/>
              <w:t>Percentage Change From Prior Year</w:t>
            </w:r>
          </w:p>
        </w:tc>
      </w:tr>
      <w:tr w:rsidR="00A4689B" w:rsidRPr="00C003FA" w:rsidTr="00A4689B">
        <w:trPr>
          <w:jc w:val="center"/>
        </w:trPr>
        <w:tc>
          <w:tcPr>
            <w:tcW w:w="2231" w:type="dxa"/>
            <w:vAlign w:val="bottom"/>
          </w:tcPr>
          <w:p w:rsidR="00A4689B" w:rsidRPr="00C003FA" w:rsidRDefault="00A4689B" w:rsidP="00A4689B">
            <w:pPr>
              <w:spacing w:after="60"/>
              <w:jc w:val="left"/>
              <w:rPr>
                <w:sz w:val="14"/>
              </w:rPr>
            </w:pPr>
          </w:p>
        </w:tc>
        <w:tc>
          <w:tcPr>
            <w:tcW w:w="776" w:type="dxa"/>
            <w:vAlign w:val="bottom"/>
          </w:tcPr>
          <w:p w:rsidR="00A4689B" w:rsidRPr="00C003FA" w:rsidRDefault="00A4689B" w:rsidP="00A4689B">
            <w:pPr>
              <w:spacing w:after="60"/>
              <w:jc w:val="left"/>
              <w:rPr>
                <w:sz w:val="14"/>
              </w:rPr>
            </w:pPr>
          </w:p>
        </w:tc>
        <w:tc>
          <w:tcPr>
            <w:tcW w:w="678" w:type="dxa"/>
            <w:vAlign w:val="bottom"/>
          </w:tcPr>
          <w:p w:rsidR="00A4689B" w:rsidRPr="00C003FA" w:rsidRDefault="00A4689B" w:rsidP="00A4689B">
            <w:pPr>
              <w:spacing w:after="60"/>
              <w:jc w:val="left"/>
              <w:rPr>
                <w:sz w:val="14"/>
              </w:rPr>
            </w:pPr>
          </w:p>
        </w:tc>
        <w:tc>
          <w:tcPr>
            <w:tcW w:w="776" w:type="dxa"/>
            <w:vAlign w:val="bottom"/>
          </w:tcPr>
          <w:p w:rsidR="00A4689B" w:rsidRPr="00C003FA" w:rsidRDefault="00A4689B" w:rsidP="00A4689B">
            <w:pPr>
              <w:spacing w:after="60"/>
              <w:jc w:val="left"/>
              <w:rPr>
                <w:sz w:val="14"/>
              </w:rPr>
            </w:pPr>
          </w:p>
        </w:tc>
        <w:tc>
          <w:tcPr>
            <w:tcW w:w="676" w:type="dxa"/>
            <w:vAlign w:val="bottom"/>
          </w:tcPr>
          <w:p w:rsidR="00A4689B" w:rsidRPr="00C003FA" w:rsidRDefault="00A4689B" w:rsidP="00A4689B">
            <w:pPr>
              <w:spacing w:after="60"/>
              <w:jc w:val="left"/>
              <w:rPr>
                <w:sz w:val="14"/>
              </w:rPr>
            </w:pPr>
          </w:p>
        </w:tc>
        <w:tc>
          <w:tcPr>
            <w:tcW w:w="776" w:type="dxa"/>
            <w:vAlign w:val="bottom"/>
          </w:tcPr>
          <w:p w:rsidR="00A4689B" w:rsidRPr="00C003FA" w:rsidRDefault="00A4689B" w:rsidP="00A4689B">
            <w:pPr>
              <w:spacing w:after="60"/>
              <w:jc w:val="left"/>
              <w:rPr>
                <w:sz w:val="14"/>
              </w:rPr>
            </w:pPr>
          </w:p>
        </w:tc>
        <w:tc>
          <w:tcPr>
            <w:tcW w:w="675" w:type="dxa"/>
            <w:vAlign w:val="bottom"/>
          </w:tcPr>
          <w:p w:rsidR="00A4689B" w:rsidRPr="00C003FA" w:rsidRDefault="00A4689B" w:rsidP="00A4689B">
            <w:pPr>
              <w:spacing w:after="60"/>
              <w:jc w:val="left"/>
              <w:rPr>
                <w:sz w:val="14"/>
              </w:rPr>
            </w:pPr>
          </w:p>
        </w:tc>
        <w:tc>
          <w:tcPr>
            <w:tcW w:w="776" w:type="dxa"/>
            <w:vAlign w:val="bottom"/>
          </w:tcPr>
          <w:p w:rsidR="00A4689B" w:rsidRPr="00C003FA" w:rsidRDefault="00A4689B" w:rsidP="00A4689B">
            <w:pPr>
              <w:spacing w:after="60"/>
              <w:jc w:val="left"/>
              <w:rPr>
                <w:sz w:val="14"/>
              </w:rPr>
            </w:pPr>
          </w:p>
        </w:tc>
        <w:tc>
          <w:tcPr>
            <w:tcW w:w="675" w:type="dxa"/>
            <w:vAlign w:val="bottom"/>
          </w:tcPr>
          <w:p w:rsidR="00A4689B" w:rsidRPr="00C003FA" w:rsidRDefault="00A4689B" w:rsidP="00A4689B">
            <w:pPr>
              <w:spacing w:after="60"/>
              <w:jc w:val="left"/>
              <w:rPr>
                <w:sz w:val="14"/>
              </w:rPr>
            </w:pPr>
          </w:p>
        </w:tc>
        <w:tc>
          <w:tcPr>
            <w:tcW w:w="776" w:type="dxa"/>
            <w:vAlign w:val="bottom"/>
          </w:tcPr>
          <w:p w:rsidR="00A4689B" w:rsidRPr="00C003FA" w:rsidRDefault="00A4689B" w:rsidP="00A4689B">
            <w:pPr>
              <w:spacing w:after="60"/>
              <w:jc w:val="left"/>
              <w:rPr>
                <w:sz w:val="14"/>
              </w:rPr>
            </w:pPr>
          </w:p>
        </w:tc>
        <w:tc>
          <w:tcPr>
            <w:tcW w:w="675" w:type="dxa"/>
            <w:vAlign w:val="bottom"/>
          </w:tcPr>
          <w:p w:rsidR="00A4689B" w:rsidRPr="00C003FA" w:rsidRDefault="00A4689B" w:rsidP="00A4689B">
            <w:pPr>
              <w:spacing w:after="60"/>
              <w:jc w:val="left"/>
              <w:rPr>
                <w:sz w:val="14"/>
              </w:rPr>
            </w:pPr>
          </w:p>
        </w:tc>
        <w:tc>
          <w:tcPr>
            <w:tcW w:w="2191" w:type="dxa"/>
            <w:gridSpan w:val="3"/>
            <w:vAlign w:val="bottom"/>
          </w:tcPr>
          <w:p w:rsidR="00A4689B" w:rsidRPr="00C003FA" w:rsidRDefault="00A4689B" w:rsidP="00A4689B">
            <w:pPr>
              <w:pBdr>
                <w:bottom w:val="single" w:sz="4" w:space="1" w:color="auto"/>
              </w:pBdr>
              <w:spacing w:after="60"/>
              <w:jc w:val="center"/>
              <w:rPr>
                <w:sz w:val="14"/>
              </w:rPr>
            </w:pPr>
            <w:r w:rsidRPr="00C003FA">
              <w:rPr>
                <w:sz w:val="14"/>
              </w:rPr>
              <w:t>Year-to-Date Totals Through February</w:t>
            </w:r>
          </w:p>
        </w:tc>
      </w:tr>
      <w:tr w:rsidR="00A4689B" w:rsidRPr="00C003FA" w:rsidTr="00A4689B">
        <w:trPr>
          <w:jc w:val="center"/>
        </w:trPr>
        <w:tc>
          <w:tcPr>
            <w:tcW w:w="2231" w:type="dxa"/>
            <w:vAlign w:val="bottom"/>
          </w:tcPr>
          <w:p w:rsidR="00A4689B" w:rsidRPr="00C003FA" w:rsidRDefault="00A4689B" w:rsidP="00A4689B">
            <w:pPr>
              <w:pBdr>
                <w:bottom w:val="single" w:sz="4" w:space="1" w:color="auto"/>
              </w:pBdr>
              <w:spacing w:after="120"/>
              <w:jc w:val="center"/>
              <w:rPr>
                <w:sz w:val="14"/>
              </w:rPr>
            </w:pPr>
            <w:r w:rsidRPr="00C003FA">
              <w:rPr>
                <w:sz w:val="14"/>
              </w:rPr>
              <w:t>Industry</w:t>
            </w:r>
          </w:p>
        </w:tc>
        <w:tc>
          <w:tcPr>
            <w:tcW w:w="776" w:type="dxa"/>
            <w:vAlign w:val="bottom"/>
          </w:tcPr>
          <w:p w:rsidR="00A4689B" w:rsidRPr="00C003FA" w:rsidRDefault="00A4689B" w:rsidP="00A4689B">
            <w:pPr>
              <w:pBdr>
                <w:bottom w:val="single" w:sz="4" w:space="1" w:color="auto"/>
              </w:pBdr>
              <w:spacing w:after="120"/>
              <w:jc w:val="center"/>
              <w:rPr>
                <w:sz w:val="14"/>
              </w:rPr>
            </w:pPr>
            <w:r w:rsidRPr="00C003FA">
              <w:rPr>
                <w:sz w:val="14"/>
              </w:rPr>
              <w:t>2015</w:t>
            </w:r>
          </w:p>
        </w:tc>
        <w:tc>
          <w:tcPr>
            <w:tcW w:w="678" w:type="dxa"/>
            <w:vAlign w:val="bottom"/>
          </w:tcPr>
          <w:p w:rsidR="00A4689B" w:rsidRPr="00C003FA" w:rsidRDefault="00A4689B" w:rsidP="00A4689B">
            <w:pPr>
              <w:pBdr>
                <w:bottom w:val="single" w:sz="4" w:space="1" w:color="auto"/>
              </w:pBdr>
              <w:spacing w:after="120"/>
              <w:jc w:val="center"/>
              <w:rPr>
                <w:sz w:val="14"/>
              </w:rPr>
            </w:pPr>
            <w:r w:rsidRPr="00C003FA">
              <w:rPr>
                <w:sz w:val="14"/>
              </w:rPr>
              <w:t>% Change</w:t>
            </w:r>
          </w:p>
        </w:tc>
        <w:tc>
          <w:tcPr>
            <w:tcW w:w="776" w:type="dxa"/>
            <w:vAlign w:val="bottom"/>
          </w:tcPr>
          <w:p w:rsidR="00A4689B" w:rsidRPr="00C003FA" w:rsidRDefault="00A4689B" w:rsidP="00A4689B">
            <w:pPr>
              <w:pBdr>
                <w:bottom w:val="single" w:sz="4" w:space="1" w:color="auto"/>
              </w:pBdr>
              <w:spacing w:after="120"/>
              <w:jc w:val="center"/>
              <w:rPr>
                <w:sz w:val="14"/>
              </w:rPr>
            </w:pPr>
            <w:r w:rsidRPr="00C003FA">
              <w:rPr>
                <w:sz w:val="14"/>
              </w:rPr>
              <w:t>2016</w:t>
            </w:r>
          </w:p>
        </w:tc>
        <w:tc>
          <w:tcPr>
            <w:tcW w:w="676" w:type="dxa"/>
            <w:vAlign w:val="bottom"/>
          </w:tcPr>
          <w:p w:rsidR="00A4689B" w:rsidRPr="00C003FA" w:rsidRDefault="00A4689B" w:rsidP="00A4689B">
            <w:pPr>
              <w:pBdr>
                <w:bottom w:val="single" w:sz="4" w:space="1" w:color="auto"/>
              </w:pBdr>
              <w:spacing w:after="120"/>
              <w:jc w:val="center"/>
              <w:rPr>
                <w:sz w:val="14"/>
              </w:rPr>
            </w:pPr>
            <w:r w:rsidRPr="00C003FA">
              <w:rPr>
                <w:sz w:val="14"/>
              </w:rPr>
              <w:t>% Change</w:t>
            </w:r>
          </w:p>
        </w:tc>
        <w:tc>
          <w:tcPr>
            <w:tcW w:w="776" w:type="dxa"/>
            <w:vAlign w:val="bottom"/>
          </w:tcPr>
          <w:p w:rsidR="00A4689B" w:rsidRPr="00C003FA" w:rsidRDefault="00A4689B" w:rsidP="00A4689B">
            <w:pPr>
              <w:pBdr>
                <w:bottom w:val="single" w:sz="4" w:space="1" w:color="auto"/>
              </w:pBdr>
              <w:spacing w:after="120"/>
              <w:jc w:val="center"/>
              <w:rPr>
                <w:sz w:val="14"/>
              </w:rPr>
            </w:pPr>
            <w:r w:rsidRPr="00C003FA">
              <w:rPr>
                <w:sz w:val="14"/>
              </w:rPr>
              <w:t>2017</w:t>
            </w:r>
          </w:p>
        </w:tc>
        <w:tc>
          <w:tcPr>
            <w:tcW w:w="675" w:type="dxa"/>
            <w:vAlign w:val="bottom"/>
          </w:tcPr>
          <w:p w:rsidR="00A4689B" w:rsidRPr="00C003FA" w:rsidRDefault="00A4689B" w:rsidP="00A4689B">
            <w:pPr>
              <w:pBdr>
                <w:bottom w:val="single" w:sz="4" w:space="1" w:color="auto"/>
              </w:pBdr>
              <w:spacing w:after="120"/>
              <w:jc w:val="center"/>
              <w:rPr>
                <w:sz w:val="14"/>
              </w:rPr>
            </w:pPr>
            <w:r w:rsidRPr="00C003FA">
              <w:rPr>
                <w:sz w:val="14"/>
              </w:rPr>
              <w:t>% Change</w:t>
            </w:r>
          </w:p>
        </w:tc>
        <w:tc>
          <w:tcPr>
            <w:tcW w:w="776" w:type="dxa"/>
            <w:vAlign w:val="bottom"/>
          </w:tcPr>
          <w:p w:rsidR="00A4689B" w:rsidRPr="00C003FA" w:rsidRDefault="00A4689B" w:rsidP="00A4689B">
            <w:pPr>
              <w:pBdr>
                <w:bottom w:val="single" w:sz="4" w:space="1" w:color="auto"/>
              </w:pBdr>
              <w:spacing w:after="120"/>
              <w:jc w:val="center"/>
              <w:rPr>
                <w:sz w:val="14"/>
              </w:rPr>
            </w:pPr>
            <w:r w:rsidRPr="00C003FA">
              <w:rPr>
                <w:sz w:val="14"/>
              </w:rPr>
              <w:t>2018</w:t>
            </w:r>
          </w:p>
        </w:tc>
        <w:tc>
          <w:tcPr>
            <w:tcW w:w="675" w:type="dxa"/>
            <w:vAlign w:val="bottom"/>
          </w:tcPr>
          <w:p w:rsidR="00A4689B" w:rsidRPr="00C003FA" w:rsidRDefault="00A4689B" w:rsidP="00A4689B">
            <w:pPr>
              <w:pBdr>
                <w:bottom w:val="single" w:sz="4" w:space="1" w:color="auto"/>
              </w:pBdr>
              <w:spacing w:after="120"/>
              <w:jc w:val="center"/>
              <w:rPr>
                <w:sz w:val="14"/>
              </w:rPr>
            </w:pPr>
            <w:r w:rsidRPr="00C003FA">
              <w:rPr>
                <w:sz w:val="14"/>
              </w:rPr>
              <w:t>% Change</w:t>
            </w:r>
          </w:p>
        </w:tc>
        <w:tc>
          <w:tcPr>
            <w:tcW w:w="776" w:type="dxa"/>
            <w:vAlign w:val="bottom"/>
          </w:tcPr>
          <w:p w:rsidR="00A4689B" w:rsidRPr="00C003FA" w:rsidRDefault="00A4689B" w:rsidP="00A4689B">
            <w:pPr>
              <w:pBdr>
                <w:bottom w:val="single" w:sz="4" w:space="1" w:color="auto"/>
              </w:pBdr>
              <w:spacing w:after="120"/>
              <w:jc w:val="center"/>
              <w:rPr>
                <w:sz w:val="14"/>
              </w:rPr>
            </w:pPr>
            <w:r w:rsidRPr="00C003FA">
              <w:rPr>
                <w:sz w:val="14"/>
              </w:rPr>
              <w:t>2019</w:t>
            </w:r>
          </w:p>
        </w:tc>
        <w:tc>
          <w:tcPr>
            <w:tcW w:w="675" w:type="dxa"/>
            <w:vAlign w:val="bottom"/>
          </w:tcPr>
          <w:p w:rsidR="00A4689B" w:rsidRPr="00C003FA" w:rsidRDefault="00A4689B" w:rsidP="00A4689B">
            <w:pPr>
              <w:pBdr>
                <w:bottom w:val="single" w:sz="4" w:space="1" w:color="auto"/>
              </w:pBdr>
              <w:spacing w:after="120"/>
              <w:jc w:val="center"/>
              <w:rPr>
                <w:sz w:val="14"/>
              </w:rPr>
            </w:pPr>
            <w:r w:rsidRPr="00C003FA">
              <w:rPr>
                <w:sz w:val="14"/>
              </w:rPr>
              <w:t>% Change</w:t>
            </w:r>
          </w:p>
        </w:tc>
        <w:tc>
          <w:tcPr>
            <w:tcW w:w="755" w:type="dxa"/>
            <w:vAlign w:val="bottom"/>
          </w:tcPr>
          <w:p w:rsidR="00A4689B" w:rsidRPr="00C003FA" w:rsidRDefault="00A4689B" w:rsidP="00A4689B">
            <w:pPr>
              <w:pBdr>
                <w:bottom w:val="single" w:sz="4" w:space="1" w:color="auto"/>
              </w:pBdr>
              <w:spacing w:after="120"/>
              <w:jc w:val="center"/>
              <w:rPr>
                <w:sz w:val="14"/>
              </w:rPr>
            </w:pPr>
            <w:r w:rsidRPr="00C003FA">
              <w:rPr>
                <w:sz w:val="14"/>
              </w:rPr>
              <w:t>2019</w:t>
            </w:r>
          </w:p>
        </w:tc>
        <w:tc>
          <w:tcPr>
            <w:tcW w:w="761" w:type="dxa"/>
            <w:vAlign w:val="bottom"/>
          </w:tcPr>
          <w:p w:rsidR="00A4689B" w:rsidRPr="00C003FA" w:rsidRDefault="00A4689B" w:rsidP="00A4689B">
            <w:pPr>
              <w:pBdr>
                <w:bottom w:val="single" w:sz="4" w:space="1" w:color="auto"/>
              </w:pBdr>
              <w:spacing w:after="120"/>
              <w:jc w:val="center"/>
              <w:rPr>
                <w:sz w:val="14"/>
              </w:rPr>
            </w:pPr>
            <w:r w:rsidRPr="00C003FA">
              <w:rPr>
                <w:sz w:val="14"/>
              </w:rPr>
              <w:t>2020</w:t>
            </w:r>
          </w:p>
        </w:tc>
        <w:tc>
          <w:tcPr>
            <w:tcW w:w="675" w:type="dxa"/>
            <w:vAlign w:val="bottom"/>
          </w:tcPr>
          <w:p w:rsidR="00A4689B" w:rsidRPr="00C003FA" w:rsidRDefault="00A4689B" w:rsidP="00A4689B">
            <w:pPr>
              <w:pBdr>
                <w:bottom w:val="single" w:sz="4" w:space="1" w:color="auto"/>
              </w:pBdr>
              <w:spacing w:after="120"/>
              <w:jc w:val="center"/>
              <w:rPr>
                <w:sz w:val="14"/>
              </w:rPr>
            </w:pPr>
            <w:r w:rsidRPr="00C003FA">
              <w:rPr>
                <w:sz w:val="14"/>
              </w:rPr>
              <w:t>% Change</w:t>
            </w:r>
          </w:p>
        </w:tc>
      </w:tr>
      <w:tr w:rsidR="00A4689B" w:rsidRPr="00C003FA" w:rsidTr="00A4689B">
        <w:trPr>
          <w:jc w:val="center"/>
        </w:trPr>
        <w:tc>
          <w:tcPr>
            <w:tcW w:w="2231" w:type="dxa"/>
            <w:vAlign w:val="bottom"/>
          </w:tcPr>
          <w:p w:rsidR="00A4689B" w:rsidRPr="00C003FA" w:rsidRDefault="00A4689B" w:rsidP="00A4689B">
            <w:pPr>
              <w:jc w:val="left"/>
              <w:rPr>
                <w:sz w:val="14"/>
              </w:rPr>
            </w:pPr>
            <w:r w:rsidRPr="00C003FA">
              <w:rPr>
                <w:sz w:val="14"/>
              </w:rPr>
              <w:t>Agriculture/Forestry/Fishing</w:t>
            </w:r>
          </w:p>
        </w:tc>
        <w:tc>
          <w:tcPr>
            <w:tcW w:w="776" w:type="dxa"/>
            <w:vAlign w:val="bottom"/>
          </w:tcPr>
          <w:p w:rsidR="00A4689B" w:rsidRPr="00C003FA" w:rsidRDefault="00A4689B" w:rsidP="00A4689B">
            <w:pPr>
              <w:tabs>
                <w:tab w:val="decimal" w:pos="411"/>
              </w:tabs>
              <w:jc w:val="left"/>
              <w:rPr>
                <w:sz w:val="14"/>
              </w:rPr>
            </w:pPr>
            <w:r w:rsidRPr="00C003FA">
              <w:rPr>
                <w:sz w:val="14"/>
              </w:rPr>
              <w:t>$    500.6</w:t>
            </w:r>
          </w:p>
        </w:tc>
        <w:tc>
          <w:tcPr>
            <w:tcW w:w="678" w:type="dxa"/>
            <w:vAlign w:val="bottom"/>
          </w:tcPr>
          <w:p w:rsidR="00A4689B" w:rsidRPr="00C003FA" w:rsidRDefault="00A4689B" w:rsidP="00A4689B">
            <w:pPr>
              <w:tabs>
                <w:tab w:val="decimal" w:pos="189"/>
              </w:tabs>
              <w:jc w:val="left"/>
              <w:rPr>
                <w:sz w:val="14"/>
              </w:rPr>
            </w:pPr>
            <w:r w:rsidRPr="00C003FA">
              <w:rPr>
                <w:sz w:val="14"/>
              </w:rPr>
              <w:t>13.6%</w:t>
            </w:r>
          </w:p>
        </w:tc>
        <w:tc>
          <w:tcPr>
            <w:tcW w:w="776" w:type="dxa"/>
            <w:vAlign w:val="bottom"/>
          </w:tcPr>
          <w:p w:rsidR="00A4689B" w:rsidRPr="00C003FA" w:rsidRDefault="00A4689B" w:rsidP="00A4689B">
            <w:pPr>
              <w:tabs>
                <w:tab w:val="decimal" w:pos="433"/>
              </w:tabs>
              <w:jc w:val="left"/>
              <w:rPr>
                <w:sz w:val="14"/>
              </w:rPr>
            </w:pPr>
            <w:r w:rsidRPr="00C003FA">
              <w:rPr>
                <w:sz w:val="14"/>
              </w:rPr>
              <w:t>$    599.5</w:t>
            </w:r>
          </w:p>
        </w:tc>
        <w:tc>
          <w:tcPr>
            <w:tcW w:w="676" w:type="dxa"/>
            <w:vAlign w:val="bottom"/>
          </w:tcPr>
          <w:p w:rsidR="00A4689B" w:rsidRPr="00C003FA" w:rsidRDefault="00A4689B" w:rsidP="00A4689B">
            <w:pPr>
              <w:tabs>
                <w:tab w:val="decimal" w:pos="222"/>
              </w:tabs>
              <w:jc w:val="left"/>
              <w:rPr>
                <w:sz w:val="14"/>
              </w:rPr>
            </w:pPr>
            <w:r w:rsidRPr="00C003FA">
              <w:rPr>
                <w:sz w:val="14"/>
              </w:rPr>
              <w:t>11.8%</w:t>
            </w:r>
          </w:p>
        </w:tc>
        <w:tc>
          <w:tcPr>
            <w:tcW w:w="776" w:type="dxa"/>
            <w:vAlign w:val="bottom"/>
          </w:tcPr>
          <w:p w:rsidR="00A4689B" w:rsidRPr="00C003FA" w:rsidRDefault="00A4689B" w:rsidP="00A4689B">
            <w:pPr>
              <w:tabs>
                <w:tab w:val="decimal" w:pos="422"/>
              </w:tabs>
              <w:jc w:val="left"/>
              <w:rPr>
                <w:sz w:val="14"/>
              </w:rPr>
            </w:pPr>
            <w:r w:rsidRPr="00C003FA">
              <w:rPr>
                <w:sz w:val="14"/>
              </w:rPr>
              <w:t>$    417.9</w:t>
            </w:r>
          </w:p>
        </w:tc>
        <w:tc>
          <w:tcPr>
            <w:tcW w:w="675" w:type="dxa"/>
            <w:vAlign w:val="bottom"/>
          </w:tcPr>
          <w:p w:rsidR="00A4689B" w:rsidRPr="00C003FA" w:rsidRDefault="00A4689B" w:rsidP="00A4689B">
            <w:pPr>
              <w:tabs>
                <w:tab w:val="decimal" w:pos="192"/>
              </w:tabs>
              <w:jc w:val="left"/>
              <w:rPr>
                <w:sz w:val="14"/>
              </w:rPr>
            </w:pPr>
            <w:r w:rsidRPr="00C003FA">
              <w:rPr>
                <w:sz w:val="14"/>
              </w:rPr>
              <w:t>-25.3%</w:t>
            </w:r>
          </w:p>
        </w:tc>
        <w:tc>
          <w:tcPr>
            <w:tcW w:w="776" w:type="dxa"/>
            <w:vAlign w:val="bottom"/>
          </w:tcPr>
          <w:p w:rsidR="00A4689B" w:rsidRPr="00C003FA" w:rsidRDefault="00A4689B" w:rsidP="00A4689B">
            <w:pPr>
              <w:tabs>
                <w:tab w:val="decimal" w:pos="411"/>
              </w:tabs>
              <w:jc w:val="left"/>
              <w:rPr>
                <w:sz w:val="14"/>
              </w:rPr>
            </w:pPr>
            <w:r w:rsidRPr="00C003FA">
              <w:rPr>
                <w:sz w:val="14"/>
              </w:rPr>
              <w:t>$   587.2</w:t>
            </w:r>
          </w:p>
        </w:tc>
        <w:tc>
          <w:tcPr>
            <w:tcW w:w="675" w:type="dxa"/>
            <w:vAlign w:val="bottom"/>
          </w:tcPr>
          <w:p w:rsidR="00A4689B" w:rsidRPr="00C003FA" w:rsidRDefault="00A4689B" w:rsidP="00A4689B">
            <w:pPr>
              <w:tabs>
                <w:tab w:val="decimal" w:pos="189"/>
              </w:tabs>
              <w:jc w:val="left"/>
              <w:rPr>
                <w:sz w:val="14"/>
              </w:rPr>
            </w:pPr>
            <w:r w:rsidRPr="00C003FA">
              <w:rPr>
                <w:sz w:val="14"/>
              </w:rPr>
              <w:t>40.5%</w:t>
            </w:r>
          </w:p>
        </w:tc>
        <w:tc>
          <w:tcPr>
            <w:tcW w:w="776" w:type="dxa"/>
            <w:vAlign w:val="bottom"/>
          </w:tcPr>
          <w:p w:rsidR="00A4689B" w:rsidRPr="00C003FA" w:rsidRDefault="00A4689B" w:rsidP="00A4689B">
            <w:pPr>
              <w:tabs>
                <w:tab w:val="decimal" w:pos="411"/>
              </w:tabs>
              <w:jc w:val="left"/>
              <w:rPr>
                <w:sz w:val="14"/>
              </w:rPr>
            </w:pPr>
            <w:r w:rsidRPr="00C003FA">
              <w:rPr>
                <w:sz w:val="14"/>
              </w:rPr>
              <w:t>$   521.1</w:t>
            </w:r>
          </w:p>
        </w:tc>
        <w:tc>
          <w:tcPr>
            <w:tcW w:w="675" w:type="dxa"/>
            <w:vAlign w:val="bottom"/>
          </w:tcPr>
          <w:p w:rsidR="00A4689B" w:rsidRPr="00C003FA" w:rsidRDefault="00A4689B" w:rsidP="00A4689B">
            <w:pPr>
              <w:tabs>
                <w:tab w:val="decimal" w:pos="189"/>
              </w:tabs>
              <w:jc w:val="left"/>
              <w:rPr>
                <w:sz w:val="14"/>
              </w:rPr>
            </w:pPr>
            <w:r w:rsidRPr="00C003FA">
              <w:rPr>
                <w:sz w:val="14"/>
              </w:rPr>
              <w:t>-11.3%</w:t>
            </w:r>
          </w:p>
        </w:tc>
        <w:tc>
          <w:tcPr>
            <w:tcW w:w="755" w:type="dxa"/>
            <w:vAlign w:val="bottom"/>
          </w:tcPr>
          <w:p w:rsidR="00A4689B" w:rsidRPr="00C003FA" w:rsidRDefault="00A4689B" w:rsidP="00A4689B">
            <w:pPr>
              <w:tabs>
                <w:tab w:val="decimal" w:pos="418"/>
              </w:tabs>
              <w:jc w:val="left"/>
              <w:rPr>
                <w:sz w:val="14"/>
              </w:rPr>
            </w:pPr>
            <w:r w:rsidRPr="00C003FA">
              <w:rPr>
                <w:sz w:val="14"/>
              </w:rPr>
              <w:t>$      24.8</w:t>
            </w:r>
          </w:p>
        </w:tc>
        <w:tc>
          <w:tcPr>
            <w:tcW w:w="761" w:type="dxa"/>
            <w:vAlign w:val="bottom"/>
          </w:tcPr>
          <w:p w:rsidR="00A4689B" w:rsidRPr="00C003FA" w:rsidRDefault="00A4689B" w:rsidP="00A4689B">
            <w:pPr>
              <w:tabs>
                <w:tab w:val="decimal" w:pos="414"/>
              </w:tabs>
              <w:jc w:val="left"/>
              <w:rPr>
                <w:sz w:val="14"/>
              </w:rPr>
            </w:pPr>
            <w:r w:rsidRPr="00C003FA">
              <w:rPr>
                <w:sz w:val="14"/>
              </w:rPr>
              <w:t>$     36.6</w:t>
            </w:r>
          </w:p>
        </w:tc>
        <w:tc>
          <w:tcPr>
            <w:tcW w:w="675" w:type="dxa"/>
            <w:vAlign w:val="bottom"/>
          </w:tcPr>
          <w:p w:rsidR="00A4689B" w:rsidRPr="00C003FA" w:rsidRDefault="00A4689B" w:rsidP="00A4689B">
            <w:pPr>
              <w:tabs>
                <w:tab w:val="decimal" w:pos="187"/>
              </w:tabs>
              <w:ind w:right="-2"/>
              <w:jc w:val="left"/>
              <w:rPr>
                <w:sz w:val="14"/>
              </w:rPr>
            </w:pPr>
            <w:r w:rsidRPr="00C003FA">
              <w:rPr>
                <w:sz w:val="14"/>
              </w:rPr>
              <w:t>47.6%</w:t>
            </w:r>
          </w:p>
        </w:tc>
      </w:tr>
      <w:tr w:rsidR="00A4689B" w:rsidRPr="00C003FA" w:rsidTr="00A4689B">
        <w:trPr>
          <w:jc w:val="center"/>
        </w:trPr>
        <w:tc>
          <w:tcPr>
            <w:tcW w:w="2231" w:type="dxa"/>
            <w:vAlign w:val="bottom"/>
          </w:tcPr>
          <w:p w:rsidR="00A4689B" w:rsidRPr="00C003FA" w:rsidRDefault="00A4689B" w:rsidP="00A4689B">
            <w:pPr>
              <w:jc w:val="left"/>
              <w:rPr>
                <w:sz w:val="14"/>
              </w:rPr>
            </w:pPr>
            <w:r w:rsidRPr="00C003FA">
              <w:rPr>
                <w:sz w:val="14"/>
              </w:rPr>
              <w:t>Mining</w:t>
            </w:r>
          </w:p>
        </w:tc>
        <w:tc>
          <w:tcPr>
            <w:tcW w:w="776" w:type="dxa"/>
            <w:vAlign w:val="bottom"/>
          </w:tcPr>
          <w:p w:rsidR="00A4689B" w:rsidRPr="00C003FA" w:rsidRDefault="00A4689B" w:rsidP="00A4689B">
            <w:pPr>
              <w:tabs>
                <w:tab w:val="decimal" w:pos="411"/>
              </w:tabs>
              <w:jc w:val="left"/>
              <w:rPr>
                <w:sz w:val="14"/>
              </w:rPr>
            </w:pPr>
            <w:r w:rsidRPr="00C003FA">
              <w:rPr>
                <w:sz w:val="14"/>
              </w:rPr>
              <w:t>3,743.4</w:t>
            </w:r>
          </w:p>
        </w:tc>
        <w:tc>
          <w:tcPr>
            <w:tcW w:w="678" w:type="dxa"/>
            <w:vAlign w:val="bottom"/>
          </w:tcPr>
          <w:p w:rsidR="00A4689B" w:rsidRPr="00C003FA" w:rsidRDefault="00A4689B" w:rsidP="00A4689B">
            <w:pPr>
              <w:tabs>
                <w:tab w:val="decimal" w:pos="189"/>
              </w:tabs>
              <w:jc w:val="left"/>
              <w:rPr>
                <w:sz w:val="14"/>
              </w:rPr>
            </w:pPr>
            <w:r w:rsidRPr="00C003FA">
              <w:rPr>
                <w:sz w:val="14"/>
              </w:rPr>
              <w:t>-32.8</w:t>
            </w:r>
          </w:p>
        </w:tc>
        <w:tc>
          <w:tcPr>
            <w:tcW w:w="776" w:type="dxa"/>
            <w:vAlign w:val="bottom"/>
          </w:tcPr>
          <w:p w:rsidR="00A4689B" w:rsidRPr="00C003FA" w:rsidRDefault="00A4689B" w:rsidP="00A4689B">
            <w:pPr>
              <w:tabs>
                <w:tab w:val="decimal" w:pos="433"/>
              </w:tabs>
              <w:jc w:val="left"/>
              <w:rPr>
                <w:sz w:val="14"/>
              </w:rPr>
            </w:pPr>
            <w:r w:rsidRPr="00C003FA">
              <w:rPr>
                <w:sz w:val="14"/>
              </w:rPr>
              <w:t>2,485.9</w:t>
            </w:r>
          </w:p>
        </w:tc>
        <w:tc>
          <w:tcPr>
            <w:tcW w:w="676" w:type="dxa"/>
            <w:vAlign w:val="bottom"/>
          </w:tcPr>
          <w:p w:rsidR="00A4689B" w:rsidRPr="00C003FA" w:rsidRDefault="00A4689B" w:rsidP="00A4689B">
            <w:pPr>
              <w:tabs>
                <w:tab w:val="decimal" w:pos="222"/>
              </w:tabs>
              <w:jc w:val="left"/>
              <w:rPr>
                <w:sz w:val="14"/>
              </w:rPr>
            </w:pPr>
            <w:r w:rsidRPr="00C003FA">
              <w:rPr>
                <w:sz w:val="14"/>
              </w:rPr>
              <w:t>-33.6</w:t>
            </w:r>
          </w:p>
        </w:tc>
        <w:tc>
          <w:tcPr>
            <w:tcW w:w="776" w:type="dxa"/>
            <w:vAlign w:val="bottom"/>
          </w:tcPr>
          <w:p w:rsidR="00A4689B" w:rsidRPr="00C003FA" w:rsidRDefault="00A4689B" w:rsidP="00A4689B">
            <w:pPr>
              <w:tabs>
                <w:tab w:val="decimal" w:pos="422"/>
              </w:tabs>
              <w:jc w:val="left"/>
              <w:rPr>
                <w:sz w:val="14"/>
              </w:rPr>
            </w:pPr>
            <w:r w:rsidRPr="00C003FA">
              <w:rPr>
                <w:sz w:val="14"/>
              </w:rPr>
              <w:t>3,665.9</w:t>
            </w:r>
          </w:p>
        </w:tc>
        <w:tc>
          <w:tcPr>
            <w:tcW w:w="675" w:type="dxa"/>
            <w:vAlign w:val="bottom"/>
          </w:tcPr>
          <w:p w:rsidR="00A4689B" w:rsidRPr="00C003FA" w:rsidRDefault="00A4689B" w:rsidP="00A4689B">
            <w:pPr>
              <w:tabs>
                <w:tab w:val="decimal" w:pos="192"/>
              </w:tabs>
              <w:jc w:val="left"/>
              <w:rPr>
                <w:sz w:val="14"/>
              </w:rPr>
            </w:pPr>
            <w:r w:rsidRPr="00C003FA">
              <w:rPr>
                <w:sz w:val="14"/>
              </w:rPr>
              <w:t>47.5</w:t>
            </w:r>
          </w:p>
        </w:tc>
        <w:tc>
          <w:tcPr>
            <w:tcW w:w="776" w:type="dxa"/>
            <w:vAlign w:val="bottom"/>
          </w:tcPr>
          <w:p w:rsidR="00A4689B" w:rsidRPr="00C003FA" w:rsidRDefault="00A4689B" w:rsidP="00A4689B">
            <w:pPr>
              <w:tabs>
                <w:tab w:val="decimal" w:pos="411"/>
              </w:tabs>
              <w:jc w:val="left"/>
              <w:rPr>
                <w:sz w:val="14"/>
              </w:rPr>
            </w:pPr>
            <w:r w:rsidRPr="00C003FA">
              <w:rPr>
                <w:sz w:val="14"/>
              </w:rPr>
              <w:t>4,411.7</w:t>
            </w:r>
          </w:p>
        </w:tc>
        <w:tc>
          <w:tcPr>
            <w:tcW w:w="675" w:type="dxa"/>
            <w:vAlign w:val="bottom"/>
          </w:tcPr>
          <w:p w:rsidR="00A4689B" w:rsidRPr="00C003FA" w:rsidRDefault="00A4689B" w:rsidP="00A4689B">
            <w:pPr>
              <w:tabs>
                <w:tab w:val="decimal" w:pos="189"/>
              </w:tabs>
              <w:jc w:val="left"/>
              <w:rPr>
                <w:sz w:val="14"/>
              </w:rPr>
            </w:pPr>
            <w:r w:rsidRPr="00C003FA">
              <w:rPr>
                <w:sz w:val="14"/>
              </w:rPr>
              <w:t>20.3</w:t>
            </w:r>
          </w:p>
        </w:tc>
        <w:tc>
          <w:tcPr>
            <w:tcW w:w="776" w:type="dxa"/>
            <w:vAlign w:val="bottom"/>
          </w:tcPr>
          <w:p w:rsidR="00A4689B" w:rsidRPr="00C003FA" w:rsidRDefault="00A4689B" w:rsidP="00A4689B">
            <w:pPr>
              <w:tabs>
                <w:tab w:val="decimal" w:pos="411"/>
              </w:tabs>
              <w:jc w:val="left"/>
              <w:rPr>
                <w:sz w:val="14"/>
              </w:rPr>
            </w:pPr>
            <w:r w:rsidRPr="00C003FA">
              <w:rPr>
                <w:sz w:val="14"/>
              </w:rPr>
              <w:t>3,938.3</w:t>
            </w:r>
          </w:p>
        </w:tc>
        <w:tc>
          <w:tcPr>
            <w:tcW w:w="675" w:type="dxa"/>
            <w:vAlign w:val="bottom"/>
          </w:tcPr>
          <w:p w:rsidR="00A4689B" w:rsidRPr="00C003FA" w:rsidRDefault="00A4689B" w:rsidP="00A4689B">
            <w:pPr>
              <w:tabs>
                <w:tab w:val="decimal" w:pos="189"/>
              </w:tabs>
              <w:jc w:val="left"/>
              <w:rPr>
                <w:sz w:val="14"/>
              </w:rPr>
            </w:pPr>
            <w:r w:rsidRPr="00C003FA">
              <w:rPr>
                <w:sz w:val="14"/>
              </w:rPr>
              <w:t>-10.7</w:t>
            </w:r>
          </w:p>
        </w:tc>
        <w:tc>
          <w:tcPr>
            <w:tcW w:w="755" w:type="dxa"/>
            <w:vAlign w:val="bottom"/>
          </w:tcPr>
          <w:p w:rsidR="00A4689B" w:rsidRPr="00C003FA" w:rsidRDefault="00A4689B" w:rsidP="00A4689B">
            <w:pPr>
              <w:tabs>
                <w:tab w:val="decimal" w:pos="418"/>
              </w:tabs>
              <w:jc w:val="left"/>
              <w:rPr>
                <w:sz w:val="14"/>
              </w:rPr>
            </w:pPr>
            <w:r w:rsidRPr="00C003FA">
              <w:rPr>
                <w:sz w:val="14"/>
              </w:rPr>
              <w:t>549.0</w:t>
            </w:r>
          </w:p>
        </w:tc>
        <w:tc>
          <w:tcPr>
            <w:tcW w:w="761" w:type="dxa"/>
            <w:vAlign w:val="bottom"/>
          </w:tcPr>
          <w:p w:rsidR="00A4689B" w:rsidRPr="00C003FA" w:rsidRDefault="00A4689B" w:rsidP="00A4689B">
            <w:pPr>
              <w:tabs>
                <w:tab w:val="decimal" w:pos="414"/>
              </w:tabs>
              <w:jc w:val="left"/>
              <w:rPr>
                <w:sz w:val="14"/>
              </w:rPr>
            </w:pPr>
            <w:r w:rsidRPr="00C003FA">
              <w:rPr>
                <w:sz w:val="14"/>
              </w:rPr>
              <w:t>519.4</w:t>
            </w:r>
          </w:p>
        </w:tc>
        <w:tc>
          <w:tcPr>
            <w:tcW w:w="675" w:type="dxa"/>
            <w:vAlign w:val="bottom"/>
          </w:tcPr>
          <w:p w:rsidR="00A4689B" w:rsidRPr="00C003FA" w:rsidRDefault="00A4689B" w:rsidP="00A4689B">
            <w:pPr>
              <w:tabs>
                <w:tab w:val="decimal" w:pos="187"/>
              </w:tabs>
              <w:ind w:right="-2"/>
              <w:jc w:val="left"/>
              <w:rPr>
                <w:sz w:val="14"/>
              </w:rPr>
            </w:pPr>
            <w:r w:rsidRPr="00C003FA">
              <w:rPr>
                <w:sz w:val="14"/>
              </w:rPr>
              <w:t>-5.4</w:t>
            </w:r>
          </w:p>
        </w:tc>
      </w:tr>
      <w:tr w:rsidR="00A4689B" w:rsidRPr="00C003FA" w:rsidTr="00A4689B">
        <w:trPr>
          <w:jc w:val="center"/>
        </w:trPr>
        <w:tc>
          <w:tcPr>
            <w:tcW w:w="2231" w:type="dxa"/>
            <w:vAlign w:val="bottom"/>
          </w:tcPr>
          <w:p w:rsidR="00A4689B" w:rsidRPr="00C003FA" w:rsidRDefault="00A4689B" w:rsidP="00A4689B">
            <w:pPr>
              <w:jc w:val="left"/>
              <w:rPr>
                <w:sz w:val="14"/>
              </w:rPr>
            </w:pPr>
            <w:r w:rsidRPr="00C003FA">
              <w:rPr>
                <w:sz w:val="14"/>
              </w:rPr>
              <w:t>Utilities</w:t>
            </w:r>
          </w:p>
        </w:tc>
        <w:tc>
          <w:tcPr>
            <w:tcW w:w="776" w:type="dxa"/>
            <w:vAlign w:val="bottom"/>
          </w:tcPr>
          <w:p w:rsidR="00A4689B" w:rsidRPr="00C003FA" w:rsidRDefault="00A4689B" w:rsidP="00A4689B">
            <w:pPr>
              <w:tabs>
                <w:tab w:val="decimal" w:pos="411"/>
              </w:tabs>
              <w:jc w:val="left"/>
              <w:rPr>
                <w:sz w:val="14"/>
              </w:rPr>
            </w:pPr>
            <w:r w:rsidRPr="00C003FA">
              <w:rPr>
                <w:sz w:val="14"/>
              </w:rPr>
              <w:t>7,612.1</w:t>
            </w:r>
          </w:p>
        </w:tc>
        <w:tc>
          <w:tcPr>
            <w:tcW w:w="678" w:type="dxa"/>
            <w:vAlign w:val="bottom"/>
          </w:tcPr>
          <w:p w:rsidR="00A4689B" w:rsidRPr="00C003FA" w:rsidRDefault="00A4689B" w:rsidP="00A4689B">
            <w:pPr>
              <w:tabs>
                <w:tab w:val="decimal" w:pos="189"/>
              </w:tabs>
              <w:jc w:val="left"/>
              <w:rPr>
                <w:sz w:val="14"/>
              </w:rPr>
            </w:pPr>
            <w:r w:rsidRPr="00C003FA">
              <w:rPr>
                <w:sz w:val="14"/>
              </w:rPr>
              <w:t>-4.0</w:t>
            </w:r>
          </w:p>
        </w:tc>
        <w:tc>
          <w:tcPr>
            <w:tcW w:w="776" w:type="dxa"/>
            <w:vAlign w:val="bottom"/>
          </w:tcPr>
          <w:p w:rsidR="00A4689B" w:rsidRPr="00C003FA" w:rsidRDefault="00A4689B" w:rsidP="00A4689B">
            <w:pPr>
              <w:tabs>
                <w:tab w:val="decimal" w:pos="433"/>
              </w:tabs>
              <w:jc w:val="left"/>
              <w:rPr>
                <w:sz w:val="14"/>
              </w:rPr>
            </w:pPr>
            <w:r w:rsidRPr="00C003FA">
              <w:rPr>
                <w:sz w:val="14"/>
              </w:rPr>
              <w:t>7,301.0</w:t>
            </w:r>
          </w:p>
        </w:tc>
        <w:tc>
          <w:tcPr>
            <w:tcW w:w="676" w:type="dxa"/>
            <w:vAlign w:val="bottom"/>
          </w:tcPr>
          <w:p w:rsidR="00A4689B" w:rsidRPr="00C003FA" w:rsidRDefault="00A4689B" w:rsidP="00A4689B">
            <w:pPr>
              <w:tabs>
                <w:tab w:val="decimal" w:pos="222"/>
              </w:tabs>
              <w:jc w:val="left"/>
              <w:rPr>
                <w:sz w:val="14"/>
              </w:rPr>
            </w:pPr>
            <w:r w:rsidRPr="00C003FA">
              <w:rPr>
                <w:sz w:val="14"/>
              </w:rPr>
              <w:t>-4.1</w:t>
            </w:r>
          </w:p>
        </w:tc>
        <w:tc>
          <w:tcPr>
            <w:tcW w:w="776" w:type="dxa"/>
            <w:vAlign w:val="bottom"/>
          </w:tcPr>
          <w:p w:rsidR="00A4689B" w:rsidRPr="00C003FA" w:rsidRDefault="00A4689B" w:rsidP="00A4689B">
            <w:pPr>
              <w:tabs>
                <w:tab w:val="decimal" w:pos="422"/>
              </w:tabs>
              <w:jc w:val="left"/>
              <w:rPr>
                <w:sz w:val="14"/>
              </w:rPr>
            </w:pPr>
            <w:r w:rsidRPr="00C003FA">
              <w:rPr>
                <w:sz w:val="14"/>
              </w:rPr>
              <w:t>7,570.4</w:t>
            </w:r>
          </w:p>
        </w:tc>
        <w:tc>
          <w:tcPr>
            <w:tcW w:w="675" w:type="dxa"/>
            <w:vAlign w:val="bottom"/>
          </w:tcPr>
          <w:p w:rsidR="00A4689B" w:rsidRPr="00C003FA" w:rsidRDefault="00A4689B" w:rsidP="00A4689B">
            <w:pPr>
              <w:tabs>
                <w:tab w:val="decimal" w:pos="192"/>
              </w:tabs>
              <w:jc w:val="left"/>
              <w:rPr>
                <w:sz w:val="14"/>
              </w:rPr>
            </w:pPr>
            <w:r w:rsidRPr="00C003FA">
              <w:rPr>
                <w:sz w:val="14"/>
              </w:rPr>
              <w:t>3.7</w:t>
            </w:r>
          </w:p>
        </w:tc>
        <w:tc>
          <w:tcPr>
            <w:tcW w:w="776" w:type="dxa"/>
            <w:vAlign w:val="bottom"/>
          </w:tcPr>
          <w:p w:rsidR="00A4689B" w:rsidRPr="00C003FA" w:rsidRDefault="00A4689B" w:rsidP="00A4689B">
            <w:pPr>
              <w:tabs>
                <w:tab w:val="decimal" w:pos="411"/>
              </w:tabs>
              <w:jc w:val="left"/>
              <w:rPr>
                <w:sz w:val="14"/>
              </w:rPr>
            </w:pPr>
            <w:r w:rsidRPr="00C003FA">
              <w:rPr>
                <w:sz w:val="14"/>
              </w:rPr>
              <w:t>7,665.8</w:t>
            </w:r>
          </w:p>
        </w:tc>
        <w:tc>
          <w:tcPr>
            <w:tcW w:w="675" w:type="dxa"/>
            <w:vAlign w:val="bottom"/>
          </w:tcPr>
          <w:p w:rsidR="00A4689B" w:rsidRPr="00C003FA" w:rsidRDefault="00A4689B" w:rsidP="00A4689B">
            <w:pPr>
              <w:tabs>
                <w:tab w:val="decimal" w:pos="189"/>
              </w:tabs>
              <w:jc w:val="left"/>
              <w:rPr>
                <w:sz w:val="14"/>
              </w:rPr>
            </w:pPr>
            <w:r w:rsidRPr="00C003FA">
              <w:rPr>
                <w:sz w:val="14"/>
              </w:rPr>
              <w:t>1.3</w:t>
            </w:r>
          </w:p>
        </w:tc>
        <w:tc>
          <w:tcPr>
            <w:tcW w:w="776" w:type="dxa"/>
            <w:vAlign w:val="bottom"/>
          </w:tcPr>
          <w:p w:rsidR="00A4689B" w:rsidRPr="00C003FA" w:rsidRDefault="00A4689B" w:rsidP="00A4689B">
            <w:pPr>
              <w:tabs>
                <w:tab w:val="decimal" w:pos="411"/>
              </w:tabs>
              <w:jc w:val="left"/>
              <w:rPr>
                <w:sz w:val="14"/>
              </w:rPr>
            </w:pPr>
            <w:r w:rsidRPr="00C003FA">
              <w:rPr>
                <w:sz w:val="14"/>
              </w:rPr>
              <w:t>8,031.0</w:t>
            </w:r>
          </w:p>
        </w:tc>
        <w:tc>
          <w:tcPr>
            <w:tcW w:w="675" w:type="dxa"/>
            <w:vAlign w:val="bottom"/>
          </w:tcPr>
          <w:p w:rsidR="00A4689B" w:rsidRPr="00C003FA" w:rsidRDefault="00A4689B" w:rsidP="00A4689B">
            <w:pPr>
              <w:tabs>
                <w:tab w:val="decimal" w:pos="189"/>
              </w:tabs>
              <w:jc w:val="left"/>
              <w:rPr>
                <w:sz w:val="14"/>
              </w:rPr>
            </w:pPr>
            <w:r w:rsidRPr="00C003FA">
              <w:rPr>
                <w:sz w:val="14"/>
              </w:rPr>
              <w:t>4.8</w:t>
            </w:r>
          </w:p>
        </w:tc>
        <w:tc>
          <w:tcPr>
            <w:tcW w:w="755" w:type="dxa"/>
            <w:vAlign w:val="bottom"/>
          </w:tcPr>
          <w:p w:rsidR="00A4689B" w:rsidRPr="00C003FA" w:rsidRDefault="00A4689B" w:rsidP="00A4689B">
            <w:pPr>
              <w:tabs>
                <w:tab w:val="decimal" w:pos="418"/>
              </w:tabs>
              <w:jc w:val="left"/>
              <w:rPr>
                <w:sz w:val="14"/>
              </w:rPr>
            </w:pPr>
            <w:r w:rsidRPr="00C003FA">
              <w:rPr>
                <w:sz w:val="14"/>
              </w:rPr>
              <w:t>1,502.1</w:t>
            </w:r>
          </w:p>
        </w:tc>
        <w:tc>
          <w:tcPr>
            <w:tcW w:w="761" w:type="dxa"/>
            <w:vAlign w:val="bottom"/>
          </w:tcPr>
          <w:p w:rsidR="00A4689B" w:rsidRPr="00C003FA" w:rsidRDefault="00A4689B" w:rsidP="00A4689B">
            <w:pPr>
              <w:tabs>
                <w:tab w:val="decimal" w:pos="414"/>
              </w:tabs>
              <w:jc w:val="left"/>
              <w:rPr>
                <w:sz w:val="14"/>
              </w:rPr>
            </w:pPr>
            <w:r w:rsidRPr="00C003FA">
              <w:rPr>
                <w:sz w:val="14"/>
              </w:rPr>
              <w:t>1,364.0</w:t>
            </w:r>
          </w:p>
        </w:tc>
        <w:tc>
          <w:tcPr>
            <w:tcW w:w="675" w:type="dxa"/>
            <w:vAlign w:val="bottom"/>
          </w:tcPr>
          <w:p w:rsidR="00A4689B" w:rsidRPr="00C003FA" w:rsidRDefault="00A4689B" w:rsidP="00A4689B">
            <w:pPr>
              <w:tabs>
                <w:tab w:val="decimal" w:pos="187"/>
              </w:tabs>
              <w:ind w:right="-2"/>
              <w:jc w:val="left"/>
              <w:rPr>
                <w:sz w:val="14"/>
              </w:rPr>
            </w:pPr>
            <w:r w:rsidRPr="00C003FA">
              <w:rPr>
                <w:sz w:val="14"/>
              </w:rPr>
              <w:t>-9.2</w:t>
            </w:r>
          </w:p>
        </w:tc>
      </w:tr>
      <w:tr w:rsidR="00A4689B" w:rsidRPr="00C003FA" w:rsidTr="00A4689B">
        <w:trPr>
          <w:jc w:val="center"/>
        </w:trPr>
        <w:tc>
          <w:tcPr>
            <w:tcW w:w="2231" w:type="dxa"/>
            <w:vAlign w:val="bottom"/>
          </w:tcPr>
          <w:p w:rsidR="00A4689B" w:rsidRPr="00C003FA" w:rsidRDefault="00A4689B" w:rsidP="00A4689B">
            <w:pPr>
              <w:jc w:val="left"/>
              <w:rPr>
                <w:sz w:val="14"/>
              </w:rPr>
            </w:pPr>
            <w:r w:rsidRPr="00C003FA">
              <w:rPr>
                <w:sz w:val="14"/>
              </w:rPr>
              <w:t>Construction</w:t>
            </w:r>
          </w:p>
        </w:tc>
        <w:tc>
          <w:tcPr>
            <w:tcW w:w="776" w:type="dxa"/>
            <w:vAlign w:val="bottom"/>
          </w:tcPr>
          <w:p w:rsidR="00A4689B" w:rsidRPr="00C003FA" w:rsidRDefault="00A4689B" w:rsidP="00A4689B">
            <w:pPr>
              <w:tabs>
                <w:tab w:val="decimal" w:pos="411"/>
              </w:tabs>
              <w:jc w:val="left"/>
              <w:rPr>
                <w:sz w:val="14"/>
              </w:rPr>
            </w:pPr>
            <w:r w:rsidRPr="00C003FA">
              <w:rPr>
                <w:sz w:val="14"/>
              </w:rPr>
              <w:t>4,685.8</w:t>
            </w:r>
          </w:p>
        </w:tc>
        <w:tc>
          <w:tcPr>
            <w:tcW w:w="678" w:type="dxa"/>
            <w:vAlign w:val="bottom"/>
          </w:tcPr>
          <w:p w:rsidR="00A4689B" w:rsidRPr="00C003FA" w:rsidRDefault="00A4689B" w:rsidP="00A4689B">
            <w:pPr>
              <w:tabs>
                <w:tab w:val="decimal" w:pos="189"/>
              </w:tabs>
              <w:jc w:val="left"/>
              <w:rPr>
                <w:sz w:val="14"/>
              </w:rPr>
            </w:pPr>
            <w:r w:rsidRPr="00C003FA">
              <w:rPr>
                <w:sz w:val="14"/>
              </w:rPr>
              <w:t>12.4</w:t>
            </w:r>
          </w:p>
        </w:tc>
        <w:tc>
          <w:tcPr>
            <w:tcW w:w="776" w:type="dxa"/>
            <w:vAlign w:val="bottom"/>
          </w:tcPr>
          <w:p w:rsidR="00A4689B" w:rsidRPr="00C003FA" w:rsidRDefault="00A4689B" w:rsidP="00A4689B">
            <w:pPr>
              <w:tabs>
                <w:tab w:val="decimal" w:pos="433"/>
              </w:tabs>
              <w:jc w:val="left"/>
              <w:rPr>
                <w:sz w:val="14"/>
              </w:rPr>
            </w:pPr>
            <w:r w:rsidRPr="00C003FA">
              <w:rPr>
                <w:sz w:val="14"/>
              </w:rPr>
              <w:t>4,740.5</w:t>
            </w:r>
          </w:p>
        </w:tc>
        <w:tc>
          <w:tcPr>
            <w:tcW w:w="676" w:type="dxa"/>
            <w:vAlign w:val="bottom"/>
          </w:tcPr>
          <w:p w:rsidR="00A4689B" w:rsidRPr="00C003FA" w:rsidRDefault="00A4689B" w:rsidP="00A4689B">
            <w:pPr>
              <w:tabs>
                <w:tab w:val="decimal" w:pos="222"/>
              </w:tabs>
              <w:jc w:val="left"/>
              <w:rPr>
                <w:sz w:val="14"/>
              </w:rPr>
            </w:pPr>
            <w:r w:rsidRPr="00C003FA">
              <w:rPr>
                <w:sz w:val="14"/>
              </w:rPr>
              <w:t>1.2</w:t>
            </w:r>
          </w:p>
        </w:tc>
        <w:tc>
          <w:tcPr>
            <w:tcW w:w="776" w:type="dxa"/>
            <w:vAlign w:val="bottom"/>
          </w:tcPr>
          <w:p w:rsidR="00A4689B" w:rsidRPr="00C003FA" w:rsidRDefault="00A4689B" w:rsidP="00A4689B">
            <w:pPr>
              <w:tabs>
                <w:tab w:val="decimal" w:pos="422"/>
              </w:tabs>
              <w:jc w:val="left"/>
              <w:rPr>
                <w:sz w:val="14"/>
              </w:rPr>
            </w:pPr>
            <w:r w:rsidRPr="00C003FA">
              <w:rPr>
                <w:sz w:val="14"/>
              </w:rPr>
              <w:t>5,133.6</w:t>
            </w:r>
          </w:p>
        </w:tc>
        <w:tc>
          <w:tcPr>
            <w:tcW w:w="675" w:type="dxa"/>
            <w:vAlign w:val="bottom"/>
          </w:tcPr>
          <w:p w:rsidR="00A4689B" w:rsidRPr="00C003FA" w:rsidRDefault="00A4689B" w:rsidP="00A4689B">
            <w:pPr>
              <w:tabs>
                <w:tab w:val="decimal" w:pos="192"/>
              </w:tabs>
              <w:jc w:val="left"/>
              <w:rPr>
                <w:sz w:val="14"/>
              </w:rPr>
            </w:pPr>
            <w:r w:rsidRPr="00C003FA">
              <w:rPr>
                <w:sz w:val="14"/>
              </w:rPr>
              <w:t>8.3</w:t>
            </w:r>
          </w:p>
        </w:tc>
        <w:tc>
          <w:tcPr>
            <w:tcW w:w="776" w:type="dxa"/>
            <w:vAlign w:val="bottom"/>
          </w:tcPr>
          <w:p w:rsidR="00A4689B" w:rsidRPr="00C003FA" w:rsidRDefault="00A4689B" w:rsidP="00A4689B">
            <w:pPr>
              <w:tabs>
                <w:tab w:val="decimal" w:pos="411"/>
              </w:tabs>
              <w:jc w:val="left"/>
              <w:rPr>
                <w:sz w:val="14"/>
              </w:rPr>
            </w:pPr>
            <w:r w:rsidRPr="00C003FA">
              <w:rPr>
                <w:sz w:val="14"/>
              </w:rPr>
              <w:t>5,758.0</w:t>
            </w:r>
          </w:p>
        </w:tc>
        <w:tc>
          <w:tcPr>
            <w:tcW w:w="675" w:type="dxa"/>
            <w:vAlign w:val="bottom"/>
          </w:tcPr>
          <w:p w:rsidR="00A4689B" w:rsidRPr="00C003FA" w:rsidRDefault="00A4689B" w:rsidP="00A4689B">
            <w:pPr>
              <w:tabs>
                <w:tab w:val="decimal" w:pos="189"/>
              </w:tabs>
              <w:jc w:val="left"/>
              <w:rPr>
                <w:sz w:val="14"/>
              </w:rPr>
            </w:pPr>
            <w:r w:rsidRPr="00C003FA">
              <w:rPr>
                <w:sz w:val="14"/>
              </w:rPr>
              <w:t>12.2</w:t>
            </w:r>
          </w:p>
        </w:tc>
        <w:tc>
          <w:tcPr>
            <w:tcW w:w="776" w:type="dxa"/>
            <w:vAlign w:val="bottom"/>
          </w:tcPr>
          <w:p w:rsidR="00A4689B" w:rsidRPr="00C003FA" w:rsidRDefault="00A4689B" w:rsidP="00A4689B">
            <w:pPr>
              <w:tabs>
                <w:tab w:val="decimal" w:pos="411"/>
              </w:tabs>
              <w:jc w:val="left"/>
              <w:rPr>
                <w:sz w:val="14"/>
              </w:rPr>
            </w:pPr>
            <w:r w:rsidRPr="00C003FA">
              <w:rPr>
                <w:sz w:val="14"/>
              </w:rPr>
              <w:t>6,124.0</w:t>
            </w:r>
          </w:p>
        </w:tc>
        <w:tc>
          <w:tcPr>
            <w:tcW w:w="675" w:type="dxa"/>
            <w:vAlign w:val="bottom"/>
          </w:tcPr>
          <w:p w:rsidR="00A4689B" w:rsidRPr="00C003FA" w:rsidRDefault="00A4689B" w:rsidP="00A4689B">
            <w:pPr>
              <w:tabs>
                <w:tab w:val="decimal" w:pos="189"/>
              </w:tabs>
              <w:jc w:val="left"/>
              <w:rPr>
                <w:sz w:val="14"/>
              </w:rPr>
            </w:pPr>
            <w:r w:rsidRPr="00C003FA">
              <w:rPr>
                <w:sz w:val="14"/>
              </w:rPr>
              <w:t>6.4</w:t>
            </w:r>
          </w:p>
        </w:tc>
        <w:tc>
          <w:tcPr>
            <w:tcW w:w="755" w:type="dxa"/>
            <w:vAlign w:val="bottom"/>
          </w:tcPr>
          <w:p w:rsidR="00A4689B" w:rsidRPr="00C003FA" w:rsidRDefault="00A4689B" w:rsidP="00A4689B">
            <w:pPr>
              <w:tabs>
                <w:tab w:val="decimal" w:pos="418"/>
              </w:tabs>
              <w:jc w:val="left"/>
              <w:rPr>
                <w:sz w:val="14"/>
              </w:rPr>
            </w:pPr>
            <w:r w:rsidRPr="00C003FA">
              <w:rPr>
                <w:sz w:val="14"/>
              </w:rPr>
              <w:t>744.7</w:t>
            </w:r>
          </w:p>
        </w:tc>
        <w:tc>
          <w:tcPr>
            <w:tcW w:w="761" w:type="dxa"/>
            <w:vAlign w:val="bottom"/>
          </w:tcPr>
          <w:p w:rsidR="00A4689B" w:rsidRPr="00C003FA" w:rsidRDefault="00A4689B" w:rsidP="00A4689B">
            <w:pPr>
              <w:tabs>
                <w:tab w:val="decimal" w:pos="414"/>
              </w:tabs>
              <w:jc w:val="left"/>
              <w:rPr>
                <w:sz w:val="14"/>
              </w:rPr>
            </w:pPr>
            <w:r w:rsidRPr="00C003FA">
              <w:rPr>
                <w:sz w:val="14"/>
              </w:rPr>
              <w:t>804.4</w:t>
            </w:r>
          </w:p>
        </w:tc>
        <w:tc>
          <w:tcPr>
            <w:tcW w:w="675" w:type="dxa"/>
            <w:vAlign w:val="bottom"/>
          </w:tcPr>
          <w:p w:rsidR="00A4689B" w:rsidRPr="00C003FA" w:rsidRDefault="00A4689B" w:rsidP="00A4689B">
            <w:pPr>
              <w:tabs>
                <w:tab w:val="decimal" w:pos="187"/>
              </w:tabs>
              <w:ind w:right="-2"/>
              <w:jc w:val="left"/>
              <w:rPr>
                <w:sz w:val="14"/>
              </w:rPr>
            </w:pPr>
            <w:r w:rsidRPr="00C003FA">
              <w:rPr>
                <w:sz w:val="14"/>
              </w:rPr>
              <w:t>8.0</w:t>
            </w:r>
          </w:p>
        </w:tc>
      </w:tr>
      <w:tr w:rsidR="00A4689B" w:rsidRPr="00C003FA" w:rsidTr="00A4689B">
        <w:trPr>
          <w:jc w:val="center"/>
        </w:trPr>
        <w:tc>
          <w:tcPr>
            <w:tcW w:w="2231" w:type="dxa"/>
            <w:vAlign w:val="bottom"/>
          </w:tcPr>
          <w:p w:rsidR="00A4689B" w:rsidRPr="00C003FA" w:rsidRDefault="00A4689B" w:rsidP="00A4689B">
            <w:pPr>
              <w:jc w:val="left"/>
              <w:rPr>
                <w:sz w:val="14"/>
              </w:rPr>
            </w:pPr>
            <w:r w:rsidRPr="00C003FA">
              <w:rPr>
                <w:sz w:val="14"/>
              </w:rPr>
              <w:t>Manufacturing</w:t>
            </w:r>
          </w:p>
        </w:tc>
        <w:tc>
          <w:tcPr>
            <w:tcW w:w="776" w:type="dxa"/>
            <w:vAlign w:val="bottom"/>
          </w:tcPr>
          <w:p w:rsidR="00A4689B" w:rsidRPr="00C003FA" w:rsidRDefault="00A4689B" w:rsidP="00A4689B">
            <w:pPr>
              <w:tabs>
                <w:tab w:val="decimal" w:pos="411"/>
              </w:tabs>
              <w:jc w:val="left"/>
              <w:rPr>
                <w:sz w:val="14"/>
              </w:rPr>
            </w:pPr>
            <w:r w:rsidRPr="00C003FA">
              <w:rPr>
                <w:sz w:val="14"/>
              </w:rPr>
              <w:t>15,864.8</w:t>
            </w:r>
          </w:p>
        </w:tc>
        <w:tc>
          <w:tcPr>
            <w:tcW w:w="678" w:type="dxa"/>
            <w:vAlign w:val="bottom"/>
          </w:tcPr>
          <w:p w:rsidR="00A4689B" w:rsidRPr="00C003FA" w:rsidRDefault="00A4689B" w:rsidP="00A4689B">
            <w:pPr>
              <w:tabs>
                <w:tab w:val="decimal" w:pos="189"/>
              </w:tabs>
              <w:jc w:val="left"/>
              <w:rPr>
                <w:sz w:val="14"/>
              </w:rPr>
            </w:pPr>
            <w:r w:rsidRPr="00C003FA">
              <w:rPr>
                <w:sz w:val="14"/>
              </w:rPr>
              <w:t>-19.8</w:t>
            </w:r>
          </w:p>
        </w:tc>
        <w:tc>
          <w:tcPr>
            <w:tcW w:w="776" w:type="dxa"/>
            <w:vAlign w:val="bottom"/>
          </w:tcPr>
          <w:p w:rsidR="00A4689B" w:rsidRPr="00C003FA" w:rsidRDefault="00A4689B" w:rsidP="00A4689B">
            <w:pPr>
              <w:tabs>
                <w:tab w:val="decimal" w:pos="433"/>
              </w:tabs>
              <w:jc w:val="left"/>
              <w:rPr>
                <w:sz w:val="14"/>
              </w:rPr>
            </w:pPr>
            <w:r w:rsidRPr="00C003FA">
              <w:rPr>
                <w:sz w:val="14"/>
              </w:rPr>
              <w:t>14,679.1</w:t>
            </w:r>
          </w:p>
        </w:tc>
        <w:tc>
          <w:tcPr>
            <w:tcW w:w="676" w:type="dxa"/>
            <w:vAlign w:val="bottom"/>
          </w:tcPr>
          <w:p w:rsidR="00A4689B" w:rsidRPr="00C003FA" w:rsidRDefault="00A4689B" w:rsidP="00A4689B">
            <w:pPr>
              <w:tabs>
                <w:tab w:val="decimal" w:pos="222"/>
              </w:tabs>
              <w:jc w:val="left"/>
              <w:rPr>
                <w:sz w:val="14"/>
              </w:rPr>
            </w:pPr>
            <w:r w:rsidRPr="00C003FA">
              <w:rPr>
                <w:sz w:val="14"/>
              </w:rPr>
              <w:t>-7.5</w:t>
            </w:r>
          </w:p>
        </w:tc>
        <w:tc>
          <w:tcPr>
            <w:tcW w:w="776" w:type="dxa"/>
            <w:vAlign w:val="bottom"/>
          </w:tcPr>
          <w:p w:rsidR="00A4689B" w:rsidRPr="00C003FA" w:rsidRDefault="00A4689B" w:rsidP="00A4689B">
            <w:pPr>
              <w:tabs>
                <w:tab w:val="decimal" w:pos="422"/>
              </w:tabs>
              <w:jc w:val="left"/>
              <w:rPr>
                <w:sz w:val="14"/>
              </w:rPr>
            </w:pPr>
            <w:r w:rsidRPr="00C003FA">
              <w:rPr>
                <w:sz w:val="14"/>
              </w:rPr>
              <w:t>16,217.9</w:t>
            </w:r>
          </w:p>
        </w:tc>
        <w:tc>
          <w:tcPr>
            <w:tcW w:w="675" w:type="dxa"/>
            <w:vAlign w:val="bottom"/>
          </w:tcPr>
          <w:p w:rsidR="00A4689B" w:rsidRPr="00C003FA" w:rsidRDefault="00A4689B" w:rsidP="00A4689B">
            <w:pPr>
              <w:tabs>
                <w:tab w:val="decimal" w:pos="192"/>
              </w:tabs>
              <w:jc w:val="left"/>
              <w:rPr>
                <w:sz w:val="14"/>
              </w:rPr>
            </w:pPr>
            <w:r w:rsidRPr="00C003FA">
              <w:rPr>
                <w:sz w:val="14"/>
              </w:rPr>
              <w:t>10.5</w:t>
            </w:r>
          </w:p>
        </w:tc>
        <w:tc>
          <w:tcPr>
            <w:tcW w:w="776" w:type="dxa"/>
            <w:vAlign w:val="bottom"/>
          </w:tcPr>
          <w:p w:rsidR="00A4689B" w:rsidRPr="00C003FA" w:rsidRDefault="00A4689B" w:rsidP="00A4689B">
            <w:pPr>
              <w:tabs>
                <w:tab w:val="decimal" w:pos="411"/>
              </w:tabs>
              <w:jc w:val="left"/>
              <w:rPr>
                <w:sz w:val="14"/>
              </w:rPr>
            </w:pPr>
            <w:r w:rsidRPr="00C003FA">
              <w:rPr>
                <w:sz w:val="14"/>
              </w:rPr>
              <w:t>17,360.8</w:t>
            </w:r>
          </w:p>
        </w:tc>
        <w:tc>
          <w:tcPr>
            <w:tcW w:w="675" w:type="dxa"/>
            <w:vAlign w:val="bottom"/>
          </w:tcPr>
          <w:p w:rsidR="00A4689B" w:rsidRPr="00C003FA" w:rsidRDefault="00A4689B" w:rsidP="00A4689B">
            <w:pPr>
              <w:tabs>
                <w:tab w:val="decimal" w:pos="189"/>
              </w:tabs>
              <w:jc w:val="left"/>
              <w:rPr>
                <w:sz w:val="14"/>
              </w:rPr>
            </w:pPr>
            <w:r w:rsidRPr="00C003FA">
              <w:rPr>
                <w:sz w:val="14"/>
              </w:rPr>
              <w:t>7.0</w:t>
            </w:r>
          </w:p>
        </w:tc>
        <w:tc>
          <w:tcPr>
            <w:tcW w:w="776" w:type="dxa"/>
            <w:vAlign w:val="bottom"/>
          </w:tcPr>
          <w:p w:rsidR="00A4689B" w:rsidRPr="00C003FA" w:rsidRDefault="00A4689B" w:rsidP="00A4689B">
            <w:pPr>
              <w:tabs>
                <w:tab w:val="decimal" w:pos="411"/>
              </w:tabs>
              <w:jc w:val="left"/>
              <w:rPr>
                <w:sz w:val="14"/>
              </w:rPr>
            </w:pPr>
            <w:r w:rsidRPr="00C003FA">
              <w:rPr>
                <w:sz w:val="14"/>
              </w:rPr>
              <w:t>15,992.7</w:t>
            </w:r>
          </w:p>
        </w:tc>
        <w:tc>
          <w:tcPr>
            <w:tcW w:w="675" w:type="dxa"/>
            <w:vAlign w:val="bottom"/>
          </w:tcPr>
          <w:p w:rsidR="00A4689B" w:rsidRPr="00C003FA" w:rsidRDefault="00A4689B" w:rsidP="00A4689B">
            <w:pPr>
              <w:tabs>
                <w:tab w:val="decimal" w:pos="189"/>
              </w:tabs>
              <w:jc w:val="left"/>
              <w:rPr>
                <w:sz w:val="14"/>
              </w:rPr>
            </w:pPr>
            <w:r w:rsidRPr="00C003FA">
              <w:rPr>
                <w:sz w:val="14"/>
              </w:rPr>
              <w:t>-7.9</w:t>
            </w:r>
          </w:p>
        </w:tc>
        <w:tc>
          <w:tcPr>
            <w:tcW w:w="755" w:type="dxa"/>
            <w:vAlign w:val="bottom"/>
          </w:tcPr>
          <w:p w:rsidR="00A4689B" w:rsidRPr="00C003FA" w:rsidRDefault="00A4689B" w:rsidP="00A4689B">
            <w:pPr>
              <w:tabs>
                <w:tab w:val="decimal" w:pos="418"/>
              </w:tabs>
              <w:jc w:val="left"/>
              <w:rPr>
                <w:sz w:val="14"/>
              </w:rPr>
            </w:pPr>
            <w:r w:rsidRPr="00C003FA">
              <w:rPr>
                <w:sz w:val="14"/>
              </w:rPr>
              <w:t>2,134.7</w:t>
            </w:r>
          </w:p>
        </w:tc>
        <w:tc>
          <w:tcPr>
            <w:tcW w:w="761" w:type="dxa"/>
            <w:vAlign w:val="bottom"/>
          </w:tcPr>
          <w:p w:rsidR="00A4689B" w:rsidRPr="00C003FA" w:rsidRDefault="00A4689B" w:rsidP="00A4689B">
            <w:pPr>
              <w:tabs>
                <w:tab w:val="decimal" w:pos="414"/>
              </w:tabs>
              <w:jc w:val="left"/>
              <w:rPr>
                <w:sz w:val="14"/>
              </w:rPr>
            </w:pPr>
            <w:r w:rsidRPr="00C003FA">
              <w:rPr>
                <w:sz w:val="14"/>
              </w:rPr>
              <w:t>2,313.0</w:t>
            </w:r>
          </w:p>
        </w:tc>
        <w:tc>
          <w:tcPr>
            <w:tcW w:w="675" w:type="dxa"/>
            <w:vAlign w:val="bottom"/>
          </w:tcPr>
          <w:p w:rsidR="00A4689B" w:rsidRPr="00C003FA" w:rsidRDefault="00A4689B" w:rsidP="00A4689B">
            <w:pPr>
              <w:tabs>
                <w:tab w:val="decimal" w:pos="187"/>
              </w:tabs>
              <w:ind w:right="-2"/>
              <w:jc w:val="left"/>
              <w:rPr>
                <w:sz w:val="14"/>
              </w:rPr>
            </w:pPr>
            <w:r w:rsidRPr="00C003FA">
              <w:rPr>
                <w:sz w:val="14"/>
              </w:rPr>
              <w:t>8.4</w:t>
            </w:r>
          </w:p>
        </w:tc>
      </w:tr>
      <w:tr w:rsidR="00A4689B" w:rsidRPr="00C003FA" w:rsidTr="00A4689B">
        <w:trPr>
          <w:jc w:val="center"/>
        </w:trPr>
        <w:tc>
          <w:tcPr>
            <w:tcW w:w="2231" w:type="dxa"/>
            <w:vAlign w:val="bottom"/>
          </w:tcPr>
          <w:p w:rsidR="00A4689B" w:rsidRPr="00C003FA" w:rsidRDefault="00A4689B" w:rsidP="00A4689B">
            <w:pPr>
              <w:jc w:val="left"/>
              <w:rPr>
                <w:sz w:val="14"/>
              </w:rPr>
            </w:pPr>
            <w:r w:rsidRPr="00C003FA">
              <w:rPr>
                <w:sz w:val="14"/>
              </w:rPr>
              <w:t>Wholesale Trade</w:t>
            </w:r>
          </w:p>
        </w:tc>
        <w:tc>
          <w:tcPr>
            <w:tcW w:w="776" w:type="dxa"/>
            <w:vAlign w:val="bottom"/>
          </w:tcPr>
          <w:p w:rsidR="00A4689B" w:rsidRPr="00C003FA" w:rsidRDefault="00A4689B" w:rsidP="00A4689B">
            <w:pPr>
              <w:tabs>
                <w:tab w:val="decimal" w:pos="411"/>
              </w:tabs>
              <w:jc w:val="left"/>
              <w:rPr>
                <w:sz w:val="14"/>
              </w:rPr>
            </w:pPr>
            <w:r w:rsidRPr="00C003FA">
              <w:rPr>
                <w:sz w:val="14"/>
              </w:rPr>
              <w:t>14,427.2</w:t>
            </w:r>
          </w:p>
        </w:tc>
        <w:tc>
          <w:tcPr>
            <w:tcW w:w="678" w:type="dxa"/>
            <w:vAlign w:val="bottom"/>
          </w:tcPr>
          <w:p w:rsidR="00A4689B" w:rsidRPr="00C003FA" w:rsidRDefault="00A4689B" w:rsidP="00A4689B">
            <w:pPr>
              <w:tabs>
                <w:tab w:val="decimal" w:pos="189"/>
              </w:tabs>
              <w:jc w:val="left"/>
              <w:rPr>
                <w:sz w:val="14"/>
              </w:rPr>
            </w:pPr>
            <w:r w:rsidRPr="00C003FA">
              <w:rPr>
                <w:sz w:val="14"/>
              </w:rPr>
              <w:t>-4.8</w:t>
            </w:r>
          </w:p>
        </w:tc>
        <w:tc>
          <w:tcPr>
            <w:tcW w:w="776" w:type="dxa"/>
            <w:vAlign w:val="bottom"/>
          </w:tcPr>
          <w:p w:rsidR="00A4689B" w:rsidRPr="00C003FA" w:rsidRDefault="00A4689B" w:rsidP="00A4689B">
            <w:pPr>
              <w:tabs>
                <w:tab w:val="decimal" w:pos="433"/>
              </w:tabs>
              <w:jc w:val="left"/>
              <w:rPr>
                <w:sz w:val="14"/>
              </w:rPr>
            </w:pPr>
            <w:r w:rsidRPr="00C003FA">
              <w:rPr>
                <w:sz w:val="14"/>
              </w:rPr>
              <w:t>14,874.5</w:t>
            </w:r>
          </w:p>
        </w:tc>
        <w:tc>
          <w:tcPr>
            <w:tcW w:w="676" w:type="dxa"/>
            <w:vAlign w:val="bottom"/>
          </w:tcPr>
          <w:p w:rsidR="00A4689B" w:rsidRPr="00C003FA" w:rsidRDefault="00A4689B" w:rsidP="00A4689B">
            <w:pPr>
              <w:tabs>
                <w:tab w:val="decimal" w:pos="222"/>
              </w:tabs>
              <w:jc w:val="left"/>
              <w:rPr>
                <w:sz w:val="14"/>
              </w:rPr>
            </w:pPr>
            <w:r w:rsidRPr="00C003FA">
              <w:rPr>
                <w:sz w:val="14"/>
              </w:rPr>
              <w:t>3.1</w:t>
            </w:r>
          </w:p>
        </w:tc>
        <w:tc>
          <w:tcPr>
            <w:tcW w:w="776" w:type="dxa"/>
            <w:vAlign w:val="bottom"/>
          </w:tcPr>
          <w:p w:rsidR="00A4689B" w:rsidRPr="00C003FA" w:rsidRDefault="00A4689B" w:rsidP="00A4689B">
            <w:pPr>
              <w:tabs>
                <w:tab w:val="decimal" w:pos="422"/>
              </w:tabs>
              <w:jc w:val="left"/>
              <w:rPr>
                <w:sz w:val="14"/>
              </w:rPr>
            </w:pPr>
            <w:r w:rsidRPr="00C003FA">
              <w:rPr>
                <w:sz w:val="14"/>
              </w:rPr>
              <w:t>14,530.3</w:t>
            </w:r>
          </w:p>
        </w:tc>
        <w:tc>
          <w:tcPr>
            <w:tcW w:w="675" w:type="dxa"/>
            <w:vAlign w:val="bottom"/>
          </w:tcPr>
          <w:p w:rsidR="00A4689B" w:rsidRPr="00C003FA" w:rsidRDefault="00A4689B" w:rsidP="00A4689B">
            <w:pPr>
              <w:tabs>
                <w:tab w:val="decimal" w:pos="192"/>
              </w:tabs>
              <w:jc w:val="left"/>
              <w:rPr>
                <w:sz w:val="14"/>
              </w:rPr>
            </w:pPr>
            <w:r w:rsidRPr="00C003FA">
              <w:rPr>
                <w:sz w:val="14"/>
              </w:rPr>
              <w:t>-2.3</w:t>
            </w:r>
          </w:p>
        </w:tc>
        <w:tc>
          <w:tcPr>
            <w:tcW w:w="776" w:type="dxa"/>
            <w:vAlign w:val="bottom"/>
          </w:tcPr>
          <w:p w:rsidR="00A4689B" w:rsidRPr="00C003FA" w:rsidRDefault="00A4689B" w:rsidP="00A4689B">
            <w:pPr>
              <w:tabs>
                <w:tab w:val="decimal" w:pos="411"/>
              </w:tabs>
              <w:jc w:val="left"/>
              <w:rPr>
                <w:sz w:val="14"/>
              </w:rPr>
            </w:pPr>
            <w:r w:rsidRPr="00C003FA">
              <w:rPr>
                <w:sz w:val="14"/>
              </w:rPr>
              <w:t>15,407.4</w:t>
            </w:r>
          </w:p>
        </w:tc>
        <w:tc>
          <w:tcPr>
            <w:tcW w:w="675" w:type="dxa"/>
            <w:vAlign w:val="bottom"/>
          </w:tcPr>
          <w:p w:rsidR="00A4689B" w:rsidRPr="00C003FA" w:rsidRDefault="00A4689B" w:rsidP="00A4689B">
            <w:pPr>
              <w:tabs>
                <w:tab w:val="decimal" w:pos="189"/>
              </w:tabs>
              <w:jc w:val="left"/>
              <w:rPr>
                <w:sz w:val="14"/>
              </w:rPr>
            </w:pPr>
            <w:r w:rsidRPr="00C003FA">
              <w:rPr>
                <w:sz w:val="14"/>
              </w:rPr>
              <w:t>6.0</w:t>
            </w:r>
          </w:p>
        </w:tc>
        <w:tc>
          <w:tcPr>
            <w:tcW w:w="776" w:type="dxa"/>
            <w:vAlign w:val="bottom"/>
          </w:tcPr>
          <w:p w:rsidR="00A4689B" w:rsidRPr="00C003FA" w:rsidRDefault="00A4689B" w:rsidP="00A4689B">
            <w:pPr>
              <w:tabs>
                <w:tab w:val="decimal" w:pos="411"/>
              </w:tabs>
              <w:jc w:val="left"/>
              <w:rPr>
                <w:sz w:val="14"/>
              </w:rPr>
            </w:pPr>
            <w:r w:rsidRPr="00C003FA">
              <w:rPr>
                <w:sz w:val="14"/>
              </w:rPr>
              <w:t>18,109.6</w:t>
            </w:r>
          </w:p>
        </w:tc>
        <w:tc>
          <w:tcPr>
            <w:tcW w:w="675" w:type="dxa"/>
            <w:vAlign w:val="bottom"/>
          </w:tcPr>
          <w:p w:rsidR="00A4689B" w:rsidRPr="00C003FA" w:rsidRDefault="00A4689B" w:rsidP="00A4689B">
            <w:pPr>
              <w:tabs>
                <w:tab w:val="decimal" w:pos="189"/>
              </w:tabs>
              <w:jc w:val="left"/>
              <w:rPr>
                <w:sz w:val="14"/>
              </w:rPr>
            </w:pPr>
            <w:r w:rsidRPr="00C003FA">
              <w:rPr>
                <w:sz w:val="14"/>
              </w:rPr>
              <w:t>17.5</w:t>
            </w:r>
          </w:p>
        </w:tc>
        <w:tc>
          <w:tcPr>
            <w:tcW w:w="755" w:type="dxa"/>
            <w:vAlign w:val="bottom"/>
          </w:tcPr>
          <w:p w:rsidR="00A4689B" w:rsidRPr="00C003FA" w:rsidRDefault="00A4689B" w:rsidP="00A4689B">
            <w:pPr>
              <w:tabs>
                <w:tab w:val="decimal" w:pos="418"/>
              </w:tabs>
              <w:jc w:val="left"/>
              <w:rPr>
                <w:sz w:val="14"/>
              </w:rPr>
            </w:pPr>
            <w:r w:rsidRPr="00C003FA">
              <w:rPr>
                <w:sz w:val="14"/>
              </w:rPr>
              <w:t>2,153.3</w:t>
            </w:r>
          </w:p>
        </w:tc>
        <w:tc>
          <w:tcPr>
            <w:tcW w:w="761" w:type="dxa"/>
            <w:vAlign w:val="bottom"/>
          </w:tcPr>
          <w:p w:rsidR="00A4689B" w:rsidRPr="00C003FA" w:rsidRDefault="00A4689B" w:rsidP="00A4689B">
            <w:pPr>
              <w:tabs>
                <w:tab w:val="decimal" w:pos="414"/>
              </w:tabs>
              <w:jc w:val="left"/>
              <w:rPr>
                <w:sz w:val="14"/>
              </w:rPr>
            </w:pPr>
            <w:r w:rsidRPr="00C003FA">
              <w:rPr>
                <w:sz w:val="14"/>
              </w:rPr>
              <w:t>2,708.3</w:t>
            </w:r>
          </w:p>
        </w:tc>
        <w:tc>
          <w:tcPr>
            <w:tcW w:w="675" w:type="dxa"/>
            <w:vAlign w:val="bottom"/>
          </w:tcPr>
          <w:p w:rsidR="00A4689B" w:rsidRPr="00C003FA" w:rsidRDefault="00A4689B" w:rsidP="00A4689B">
            <w:pPr>
              <w:tabs>
                <w:tab w:val="decimal" w:pos="187"/>
              </w:tabs>
              <w:ind w:right="-2"/>
              <w:jc w:val="left"/>
              <w:rPr>
                <w:sz w:val="14"/>
              </w:rPr>
            </w:pPr>
            <w:r w:rsidRPr="00C003FA">
              <w:rPr>
                <w:sz w:val="14"/>
              </w:rPr>
              <w:t>25.8</w:t>
            </w:r>
          </w:p>
        </w:tc>
      </w:tr>
      <w:tr w:rsidR="00A4689B" w:rsidRPr="00C003FA" w:rsidTr="00A4689B">
        <w:trPr>
          <w:jc w:val="center"/>
        </w:trPr>
        <w:tc>
          <w:tcPr>
            <w:tcW w:w="2231" w:type="dxa"/>
            <w:vAlign w:val="bottom"/>
          </w:tcPr>
          <w:p w:rsidR="00A4689B" w:rsidRPr="00C003FA" w:rsidRDefault="00A4689B" w:rsidP="00A4689B">
            <w:pPr>
              <w:jc w:val="left"/>
              <w:rPr>
                <w:sz w:val="14"/>
              </w:rPr>
            </w:pPr>
          </w:p>
        </w:tc>
        <w:tc>
          <w:tcPr>
            <w:tcW w:w="776" w:type="dxa"/>
            <w:vAlign w:val="bottom"/>
          </w:tcPr>
          <w:p w:rsidR="00A4689B" w:rsidRPr="00C003FA" w:rsidRDefault="00A4689B" w:rsidP="00A4689B">
            <w:pPr>
              <w:tabs>
                <w:tab w:val="decimal" w:pos="411"/>
              </w:tabs>
              <w:jc w:val="left"/>
              <w:rPr>
                <w:sz w:val="14"/>
              </w:rPr>
            </w:pPr>
          </w:p>
        </w:tc>
        <w:tc>
          <w:tcPr>
            <w:tcW w:w="678" w:type="dxa"/>
            <w:vAlign w:val="bottom"/>
          </w:tcPr>
          <w:p w:rsidR="00A4689B" w:rsidRPr="00C003FA" w:rsidRDefault="00A4689B" w:rsidP="00A4689B">
            <w:pPr>
              <w:tabs>
                <w:tab w:val="decimal" w:pos="189"/>
              </w:tabs>
              <w:jc w:val="left"/>
              <w:rPr>
                <w:sz w:val="14"/>
              </w:rPr>
            </w:pPr>
          </w:p>
        </w:tc>
        <w:tc>
          <w:tcPr>
            <w:tcW w:w="776" w:type="dxa"/>
            <w:vAlign w:val="bottom"/>
          </w:tcPr>
          <w:p w:rsidR="00A4689B" w:rsidRPr="00C003FA" w:rsidRDefault="00A4689B" w:rsidP="00A4689B">
            <w:pPr>
              <w:tabs>
                <w:tab w:val="decimal" w:pos="433"/>
              </w:tabs>
              <w:jc w:val="left"/>
              <w:rPr>
                <w:sz w:val="14"/>
              </w:rPr>
            </w:pPr>
          </w:p>
        </w:tc>
        <w:tc>
          <w:tcPr>
            <w:tcW w:w="676" w:type="dxa"/>
            <w:vAlign w:val="bottom"/>
          </w:tcPr>
          <w:p w:rsidR="00A4689B" w:rsidRPr="00C003FA" w:rsidRDefault="00A4689B" w:rsidP="00A4689B">
            <w:pPr>
              <w:tabs>
                <w:tab w:val="decimal" w:pos="222"/>
              </w:tabs>
              <w:jc w:val="left"/>
              <w:rPr>
                <w:sz w:val="14"/>
              </w:rPr>
            </w:pPr>
          </w:p>
        </w:tc>
        <w:tc>
          <w:tcPr>
            <w:tcW w:w="776" w:type="dxa"/>
            <w:vAlign w:val="bottom"/>
          </w:tcPr>
          <w:p w:rsidR="00A4689B" w:rsidRPr="00C003FA" w:rsidRDefault="00A4689B" w:rsidP="00A4689B">
            <w:pPr>
              <w:tabs>
                <w:tab w:val="decimal" w:pos="422"/>
              </w:tabs>
              <w:jc w:val="left"/>
              <w:rPr>
                <w:sz w:val="14"/>
              </w:rPr>
            </w:pPr>
          </w:p>
        </w:tc>
        <w:tc>
          <w:tcPr>
            <w:tcW w:w="675" w:type="dxa"/>
            <w:vAlign w:val="bottom"/>
          </w:tcPr>
          <w:p w:rsidR="00A4689B" w:rsidRPr="00C003FA" w:rsidRDefault="00A4689B" w:rsidP="00A4689B">
            <w:pPr>
              <w:tabs>
                <w:tab w:val="decimal" w:pos="192"/>
              </w:tabs>
              <w:jc w:val="left"/>
              <w:rPr>
                <w:sz w:val="14"/>
              </w:rPr>
            </w:pPr>
          </w:p>
        </w:tc>
        <w:tc>
          <w:tcPr>
            <w:tcW w:w="776" w:type="dxa"/>
            <w:vAlign w:val="bottom"/>
          </w:tcPr>
          <w:p w:rsidR="00A4689B" w:rsidRPr="00C003FA" w:rsidRDefault="00A4689B" w:rsidP="00A4689B">
            <w:pPr>
              <w:tabs>
                <w:tab w:val="decimal" w:pos="411"/>
              </w:tabs>
              <w:jc w:val="left"/>
              <w:rPr>
                <w:sz w:val="14"/>
              </w:rPr>
            </w:pPr>
          </w:p>
        </w:tc>
        <w:tc>
          <w:tcPr>
            <w:tcW w:w="675" w:type="dxa"/>
            <w:vAlign w:val="bottom"/>
          </w:tcPr>
          <w:p w:rsidR="00A4689B" w:rsidRPr="00C003FA" w:rsidRDefault="00A4689B" w:rsidP="00A4689B">
            <w:pPr>
              <w:tabs>
                <w:tab w:val="decimal" w:pos="189"/>
              </w:tabs>
              <w:jc w:val="left"/>
              <w:rPr>
                <w:sz w:val="14"/>
              </w:rPr>
            </w:pPr>
          </w:p>
        </w:tc>
        <w:tc>
          <w:tcPr>
            <w:tcW w:w="776" w:type="dxa"/>
            <w:vAlign w:val="bottom"/>
          </w:tcPr>
          <w:p w:rsidR="00A4689B" w:rsidRPr="00C003FA" w:rsidRDefault="00A4689B" w:rsidP="00A4689B">
            <w:pPr>
              <w:tabs>
                <w:tab w:val="decimal" w:pos="411"/>
              </w:tabs>
              <w:jc w:val="left"/>
              <w:rPr>
                <w:sz w:val="14"/>
              </w:rPr>
            </w:pPr>
          </w:p>
        </w:tc>
        <w:tc>
          <w:tcPr>
            <w:tcW w:w="675" w:type="dxa"/>
            <w:vAlign w:val="bottom"/>
          </w:tcPr>
          <w:p w:rsidR="00A4689B" w:rsidRPr="00C003FA" w:rsidRDefault="00A4689B" w:rsidP="00A4689B">
            <w:pPr>
              <w:tabs>
                <w:tab w:val="decimal" w:pos="189"/>
              </w:tabs>
              <w:jc w:val="left"/>
              <w:rPr>
                <w:sz w:val="14"/>
              </w:rPr>
            </w:pPr>
          </w:p>
        </w:tc>
        <w:tc>
          <w:tcPr>
            <w:tcW w:w="755" w:type="dxa"/>
            <w:vAlign w:val="bottom"/>
          </w:tcPr>
          <w:p w:rsidR="00A4689B" w:rsidRPr="00C003FA" w:rsidRDefault="00A4689B" w:rsidP="00A4689B">
            <w:pPr>
              <w:tabs>
                <w:tab w:val="decimal" w:pos="418"/>
              </w:tabs>
              <w:jc w:val="left"/>
              <w:rPr>
                <w:sz w:val="14"/>
              </w:rPr>
            </w:pPr>
          </w:p>
        </w:tc>
        <w:tc>
          <w:tcPr>
            <w:tcW w:w="761" w:type="dxa"/>
            <w:vAlign w:val="bottom"/>
          </w:tcPr>
          <w:p w:rsidR="00A4689B" w:rsidRPr="00C003FA" w:rsidRDefault="00A4689B" w:rsidP="00A4689B">
            <w:pPr>
              <w:tabs>
                <w:tab w:val="decimal" w:pos="414"/>
              </w:tabs>
              <w:jc w:val="left"/>
              <w:rPr>
                <w:sz w:val="14"/>
              </w:rPr>
            </w:pPr>
          </w:p>
        </w:tc>
        <w:tc>
          <w:tcPr>
            <w:tcW w:w="675" w:type="dxa"/>
            <w:vAlign w:val="bottom"/>
          </w:tcPr>
          <w:p w:rsidR="00A4689B" w:rsidRPr="00C003FA" w:rsidRDefault="00A4689B" w:rsidP="00A4689B">
            <w:pPr>
              <w:tabs>
                <w:tab w:val="decimal" w:pos="187"/>
              </w:tabs>
              <w:ind w:right="-2"/>
              <w:jc w:val="left"/>
              <w:rPr>
                <w:sz w:val="14"/>
              </w:rPr>
            </w:pPr>
          </w:p>
        </w:tc>
      </w:tr>
      <w:tr w:rsidR="00A4689B" w:rsidRPr="00C003FA" w:rsidTr="00A4689B">
        <w:trPr>
          <w:jc w:val="center"/>
        </w:trPr>
        <w:tc>
          <w:tcPr>
            <w:tcW w:w="2231" w:type="dxa"/>
            <w:vAlign w:val="bottom"/>
          </w:tcPr>
          <w:p w:rsidR="00A4689B" w:rsidRPr="00C003FA" w:rsidRDefault="00A4689B" w:rsidP="00A4689B">
            <w:pPr>
              <w:jc w:val="left"/>
              <w:rPr>
                <w:sz w:val="14"/>
              </w:rPr>
            </w:pPr>
            <w:r w:rsidRPr="00C003FA">
              <w:rPr>
                <w:sz w:val="14"/>
              </w:rPr>
              <w:t>Retail Trade:</w:t>
            </w:r>
          </w:p>
        </w:tc>
        <w:tc>
          <w:tcPr>
            <w:tcW w:w="776" w:type="dxa"/>
            <w:vAlign w:val="bottom"/>
          </w:tcPr>
          <w:p w:rsidR="00A4689B" w:rsidRPr="00C003FA" w:rsidRDefault="00A4689B" w:rsidP="00A4689B">
            <w:pPr>
              <w:tabs>
                <w:tab w:val="decimal" w:pos="411"/>
              </w:tabs>
              <w:jc w:val="left"/>
              <w:rPr>
                <w:sz w:val="14"/>
              </w:rPr>
            </w:pPr>
          </w:p>
        </w:tc>
        <w:tc>
          <w:tcPr>
            <w:tcW w:w="678" w:type="dxa"/>
            <w:vAlign w:val="bottom"/>
          </w:tcPr>
          <w:p w:rsidR="00A4689B" w:rsidRPr="00C003FA" w:rsidRDefault="00A4689B" w:rsidP="00A4689B">
            <w:pPr>
              <w:tabs>
                <w:tab w:val="decimal" w:pos="189"/>
              </w:tabs>
              <w:jc w:val="left"/>
              <w:rPr>
                <w:sz w:val="14"/>
              </w:rPr>
            </w:pPr>
          </w:p>
        </w:tc>
        <w:tc>
          <w:tcPr>
            <w:tcW w:w="776" w:type="dxa"/>
            <w:vAlign w:val="bottom"/>
          </w:tcPr>
          <w:p w:rsidR="00A4689B" w:rsidRPr="00C003FA" w:rsidRDefault="00A4689B" w:rsidP="00A4689B">
            <w:pPr>
              <w:tabs>
                <w:tab w:val="decimal" w:pos="433"/>
              </w:tabs>
              <w:jc w:val="left"/>
              <w:rPr>
                <w:sz w:val="14"/>
              </w:rPr>
            </w:pPr>
          </w:p>
        </w:tc>
        <w:tc>
          <w:tcPr>
            <w:tcW w:w="676" w:type="dxa"/>
            <w:vAlign w:val="bottom"/>
          </w:tcPr>
          <w:p w:rsidR="00A4689B" w:rsidRPr="00C003FA" w:rsidRDefault="00A4689B" w:rsidP="00A4689B">
            <w:pPr>
              <w:tabs>
                <w:tab w:val="decimal" w:pos="222"/>
              </w:tabs>
              <w:jc w:val="left"/>
              <w:rPr>
                <w:sz w:val="14"/>
              </w:rPr>
            </w:pPr>
          </w:p>
        </w:tc>
        <w:tc>
          <w:tcPr>
            <w:tcW w:w="776" w:type="dxa"/>
            <w:vAlign w:val="bottom"/>
          </w:tcPr>
          <w:p w:rsidR="00A4689B" w:rsidRPr="00C003FA" w:rsidRDefault="00A4689B" w:rsidP="00A4689B">
            <w:pPr>
              <w:tabs>
                <w:tab w:val="decimal" w:pos="422"/>
              </w:tabs>
              <w:jc w:val="left"/>
              <w:rPr>
                <w:sz w:val="14"/>
              </w:rPr>
            </w:pPr>
          </w:p>
        </w:tc>
        <w:tc>
          <w:tcPr>
            <w:tcW w:w="675" w:type="dxa"/>
            <w:vAlign w:val="bottom"/>
          </w:tcPr>
          <w:p w:rsidR="00A4689B" w:rsidRPr="00C003FA" w:rsidRDefault="00A4689B" w:rsidP="00A4689B">
            <w:pPr>
              <w:tabs>
                <w:tab w:val="decimal" w:pos="192"/>
              </w:tabs>
              <w:jc w:val="left"/>
              <w:rPr>
                <w:sz w:val="14"/>
              </w:rPr>
            </w:pPr>
          </w:p>
        </w:tc>
        <w:tc>
          <w:tcPr>
            <w:tcW w:w="776" w:type="dxa"/>
            <w:vAlign w:val="bottom"/>
          </w:tcPr>
          <w:p w:rsidR="00A4689B" w:rsidRPr="00C003FA" w:rsidRDefault="00A4689B" w:rsidP="00A4689B">
            <w:pPr>
              <w:tabs>
                <w:tab w:val="decimal" w:pos="411"/>
              </w:tabs>
              <w:jc w:val="left"/>
              <w:rPr>
                <w:sz w:val="14"/>
              </w:rPr>
            </w:pPr>
          </w:p>
        </w:tc>
        <w:tc>
          <w:tcPr>
            <w:tcW w:w="675" w:type="dxa"/>
            <w:vAlign w:val="bottom"/>
          </w:tcPr>
          <w:p w:rsidR="00A4689B" w:rsidRPr="00C003FA" w:rsidRDefault="00A4689B" w:rsidP="00A4689B">
            <w:pPr>
              <w:tabs>
                <w:tab w:val="decimal" w:pos="189"/>
              </w:tabs>
              <w:jc w:val="left"/>
              <w:rPr>
                <w:sz w:val="14"/>
              </w:rPr>
            </w:pPr>
          </w:p>
        </w:tc>
        <w:tc>
          <w:tcPr>
            <w:tcW w:w="776" w:type="dxa"/>
            <w:vAlign w:val="bottom"/>
          </w:tcPr>
          <w:p w:rsidR="00A4689B" w:rsidRPr="00C003FA" w:rsidRDefault="00A4689B" w:rsidP="00A4689B">
            <w:pPr>
              <w:tabs>
                <w:tab w:val="decimal" w:pos="411"/>
              </w:tabs>
              <w:jc w:val="left"/>
              <w:rPr>
                <w:sz w:val="14"/>
              </w:rPr>
            </w:pPr>
          </w:p>
        </w:tc>
        <w:tc>
          <w:tcPr>
            <w:tcW w:w="675" w:type="dxa"/>
            <w:vAlign w:val="bottom"/>
          </w:tcPr>
          <w:p w:rsidR="00A4689B" w:rsidRPr="00C003FA" w:rsidRDefault="00A4689B" w:rsidP="00A4689B">
            <w:pPr>
              <w:tabs>
                <w:tab w:val="decimal" w:pos="189"/>
              </w:tabs>
              <w:jc w:val="left"/>
              <w:rPr>
                <w:sz w:val="14"/>
              </w:rPr>
            </w:pPr>
          </w:p>
        </w:tc>
        <w:tc>
          <w:tcPr>
            <w:tcW w:w="755" w:type="dxa"/>
            <w:vAlign w:val="bottom"/>
          </w:tcPr>
          <w:p w:rsidR="00A4689B" w:rsidRPr="00C003FA" w:rsidRDefault="00A4689B" w:rsidP="00A4689B">
            <w:pPr>
              <w:tabs>
                <w:tab w:val="decimal" w:pos="418"/>
              </w:tabs>
              <w:jc w:val="left"/>
              <w:rPr>
                <w:sz w:val="14"/>
              </w:rPr>
            </w:pPr>
          </w:p>
        </w:tc>
        <w:tc>
          <w:tcPr>
            <w:tcW w:w="761" w:type="dxa"/>
            <w:vAlign w:val="bottom"/>
          </w:tcPr>
          <w:p w:rsidR="00A4689B" w:rsidRPr="00C003FA" w:rsidRDefault="00A4689B" w:rsidP="00A4689B">
            <w:pPr>
              <w:tabs>
                <w:tab w:val="decimal" w:pos="414"/>
              </w:tabs>
              <w:jc w:val="left"/>
              <w:rPr>
                <w:sz w:val="14"/>
              </w:rPr>
            </w:pPr>
          </w:p>
        </w:tc>
        <w:tc>
          <w:tcPr>
            <w:tcW w:w="675" w:type="dxa"/>
            <w:vAlign w:val="bottom"/>
          </w:tcPr>
          <w:p w:rsidR="00A4689B" w:rsidRPr="00C003FA" w:rsidRDefault="00A4689B" w:rsidP="00A4689B">
            <w:pPr>
              <w:tabs>
                <w:tab w:val="decimal" w:pos="187"/>
              </w:tabs>
              <w:ind w:right="-2"/>
              <w:jc w:val="left"/>
              <w:rPr>
                <w:sz w:val="14"/>
              </w:rPr>
            </w:pPr>
          </w:p>
        </w:tc>
      </w:tr>
      <w:tr w:rsidR="00A4689B" w:rsidRPr="00C003FA" w:rsidTr="00A4689B">
        <w:trPr>
          <w:jc w:val="center"/>
        </w:trPr>
        <w:tc>
          <w:tcPr>
            <w:tcW w:w="2231" w:type="dxa"/>
            <w:vAlign w:val="bottom"/>
          </w:tcPr>
          <w:p w:rsidR="00A4689B" w:rsidRPr="00C003FA" w:rsidRDefault="00A4689B" w:rsidP="00A4689B">
            <w:pPr>
              <w:ind w:left="224" w:hanging="90"/>
              <w:jc w:val="left"/>
              <w:rPr>
                <w:sz w:val="14"/>
              </w:rPr>
            </w:pPr>
            <w:r w:rsidRPr="00C003FA">
              <w:rPr>
                <w:sz w:val="14"/>
              </w:rPr>
              <w:t>Motor Vehicle and Auto Parts</w:t>
            </w:r>
          </w:p>
        </w:tc>
        <w:tc>
          <w:tcPr>
            <w:tcW w:w="776" w:type="dxa"/>
            <w:vAlign w:val="bottom"/>
          </w:tcPr>
          <w:p w:rsidR="00A4689B" w:rsidRPr="00C003FA" w:rsidRDefault="00A4689B" w:rsidP="00A4689B">
            <w:pPr>
              <w:tabs>
                <w:tab w:val="decimal" w:pos="411"/>
              </w:tabs>
              <w:jc w:val="left"/>
              <w:rPr>
                <w:sz w:val="14"/>
              </w:rPr>
            </w:pPr>
            <w:r w:rsidRPr="00C003FA">
              <w:rPr>
                <w:sz w:val="14"/>
              </w:rPr>
              <w:t>18,995.4</w:t>
            </w:r>
          </w:p>
        </w:tc>
        <w:tc>
          <w:tcPr>
            <w:tcW w:w="678" w:type="dxa"/>
            <w:vAlign w:val="bottom"/>
          </w:tcPr>
          <w:p w:rsidR="00A4689B" w:rsidRPr="00C003FA" w:rsidRDefault="00A4689B" w:rsidP="00A4689B">
            <w:pPr>
              <w:tabs>
                <w:tab w:val="decimal" w:pos="189"/>
              </w:tabs>
              <w:jc w:val="left"/>
              <w:rPr>
                <w:sz w:val="14"/>
              </w:rPr>
            </w:pPr>
            <w:r w:rsidRPr="00C003FA">
              <w:rPr>
                <w:sz w:val="14"/>
              </w:rPr>
              <w:t>8.9</w:t>
            </w:r>
          </w:p>
        </w:tc>
        <w:tc>
          <w:tcPr>
            <w:tcW w:w="776" w:type="dxa"/>
            <w:vAlign w:val="bottom"/>
          </w:tcPr>
          <w:p w:rsidR="00A4689B" w:rsidRPr="00C003FA" w:rsidRDefault="00A4689B" w:rsidP="00A4689B">
            <w:pPr>
              <w:tabs>
                <w:tab w:val="decimal" w:pos="433"/>
              </w:tabs>
              <w:jc w:val="left"/>
              <w:rPr>
                <w:sz w:val="14"/>
              </w:rPr>
            </w:pPr>
            <w:r w:rsidRPr="00C003FA">
              <w:rPr>
                <w:sz w:val="14"/>
              </w:rPr>
              <w:t>19,692.9</w:t>
            </w:r>
          </w:p>
        </w:tc>
        <w:tc>
          <w:tcPr>
            <w:tcW w:w="676" w:type="dxa"/>
            <w:vAlign w:val="bottom"/>
          </w:tcPr>
          <w:p w:rsidR="00A4689B" w:rsidRPr="00C003FA" w:rsidRDefault="00A4689B" w:rsidP="00A4689B">
            <w:pPr>
              <w:tabs>
                <w:tab w:val="decimal" w:pos="222"/>
              </w:tabs>
              <w:jc w:val="left"/>
              <w:rPr>
                <w:sz w:val="14"/>
              </w:rPr>
            </w:pPr>
            <w:r w:rsidRPr="00C003FA">
              <w:rPr>
                <w:sz w:val="14"/>
              </w:rPr>
              <w:t>3.7</w:t>
            </w:r>
          </w:p>
        </w:tc>
        <w:tc>
          <w:tcPr>
            <w:tcW w:w="776" w:type="dxa"/>
            <w:vAlign w:val="bottom"/>
          </w:tcPr>
          <w:p w:rsidR="00A4689B" w:rsidRPr="00C003FA" w:rsidRDefault="00A4689B" w:rsidP="00A4689B">
            <w:pPr>
              <w:tabs>
                <w:tab w:val="decimal" w:pos="422"/>
              </w:tabs>
              <w:jc w:val="left"/>
              <w:rPr>
                <w:sz w:val="14"/>
              </w:rPr>
            </w:pPr>
            <w:r w:rsidRPr="00C003FA">
              <w:rPr>
                <w:sz w:val="14"/>
              </w:rPr>
              <w:t>20,614.6</w:t>
            </w:r>
          </w:p>
        </w:tc>
        <w:tc>
          <w:tcPr>
            <w:tcW w:w="675" w:type="dxa"/>
            <w:vAlign w:val="bottom"/>
          </w:tcPr>
          <w:p w:rsidR="00A4689B" w:rsidRPr="00C003FA" w:rsidRDefault="00A4689B" w:rsidP="00A4689B">
            <w:pPr>
              <w:tabs>
                <w:tab w:val="decimal" w:pos="192"/>
              </w:tabs>
              <w:jc w:val="left"/>
              <w:rPr>
                <w:sz w:val="14"/>
              </w:rPr>
            </w:pPr>
            <w:r w:rsidRPr="00C003FA">
              <w:rPr>
                <w:sz w:val="14"/>
              </w:rPr>
              <w:t>4.7</w:t>
            </w:r>
          </w:p>
        </w:tc>
        <w:tc>
          <w:tcPr>
            <w:tcW w:w="776" w:type="dxa"/>
            <w:vAlign w:val="bottom"/>
          </w:tcPr>
          <w:p w:rsidR="00A4689B" w:rsidRPr="00C003FA" w:rsidRDefault="00A4689B" w:rsidP="00A4689B">
            <w:pPr>
              <w:tabs>
                <w:tab w:val="decimal" w:pos="411"/>
              </w:tabs>
              <w:jc w:val="left"/>
              <w:rPr>
                <w:sz w:val="14"/>
              </w:rPr>
            </w:pPr>
            <w:r w:rsidRPr="00C003FA">
              <w:rPr>
                <w:sz w:val="14"/>
              </w:rPr>
              <w:t>21,190.4</w:t>
            </w:r>
          </w:p>
        </w:tc>
        <w:tc>
          <w:tcPr>
            <w:tcW w:w="675" w:type="dxa"/>
            <w:vAlign w:val="bottom"/>
          </w:tcPr>
          <w:p w:rsidR="00A4689B" w:rsidRPr="00C003FA" w:rsidRDefault="00A4689B" w:rsidP="00A4689B">
            <w:pPr>
              <w:tabs>
                <w:tab w:val="decimal" w:pos="189"/>
              </w:tabs>
              <w:jc w:val="left"/>
              <w:rPr>
                <w:sz w:val="14"/>
              </w:rPr>
            </w:pPr>
            <w:r w:rsidRPr="00C003FA">
              <w:rPr>
                <w:sz w:val="14"/>
              </w:rPr>
              <w:t>2.8</w:t>
            </w:r>
          </w:p>
        </w:tc>
        <w:tc>
          <w:tcPr>
            <w:tcW w:w="776" w:type="dxa"/>
            <w:vAlign w:val="bottom"/>
          </w:tcPr>
          <w:p w:rsidR="00A4689B" w:rsidRPr="00C003FA" w:rsidRDefault="00A4689B" w:rsidP="00A4689B">
            <w:pPr>
              <w:tabs>
                <w:tab w:val="decimal" w:pos="411"/>
              </w:tabs>
              <w:jc w:val="left"/>
              <w:rPr>
                <w:sz w:val="14"/>
              </w:rPr>
            </w:pPr>
            <w:r w:rsidRPr="00C003FA">
              <w:rPr>
                <w:sz w:val="14"/>
              </w:rPr>
              <w:t>21,986.4</w:t>
            </w:r>
          </w:p>
        </w:tc>
        <w:tc>
          <w:tcPr>
            <w:tcW w:w="675" w:type="dxa"/>
            <w:vAlign w:val="bottom"/>
          </w:tcPr>
          <w:p w:rsidR="00A4689B" w:rsidRPr="00C003FA" w:rsidRDefault="00A4689B" w:rsidP="00A4689B">
            <w:pPr>
              <w:tabs>
                <w:tab w:val="decimal" w:pos="189"/>
              </w:tabs>
              <w:jc w:val="left"/>
              <w:rPr>
                <w:sz w:val="14"/>
              </w:rPr>
            </w:pPr>
            <w:r w:rsidRPr="00C003FA">
              <w:rPr>
                <w:sz w:val="14"/>
              </w:rPr>
              <w:t>3.8</w:t>
            </w:r>
          </w:p>
        </w:tc>
        <w:tc>
          <w:tcPr>
            <w:tcW w:w="755" w:type="dxa"/>
            <w:vAlign w:val="bottom"/>
          </w:tcPr>
          <w:p w:rsidR="00A4689B" w:rsidRPr="00C003FA" w:rsidRDefault="00A4689B" w:rsidP="00A4689B">
            <w:pPr>
              <w:tabs>
                <w:tab w:val="decimal" w:pos="418"/>
              </w:tabs>
              <w:jc w:val="left"/>
              <w:rPr>
                <w:sz w:val="14"/>
              </w:rPr>
            </w:pPr>
            <w:r w:rsidRPr="00C003FA">
              <w:rPr>
                <w:sz w:val="14"/>
              </w:rPr>
              <w:t>3,000.0</w:t>
            </w:r>
          </w:p>
        </w:tc>
        <w:tc>
          <w:tcPr>
            <w:tcW w:w="761" w:type="dxa"/>
            <w:vAlign w:val="bottom"/>
          </w:tcPr>
          <w:p w:rsidR="00A4689B" w:rsidRPr="00C003FA" w:rsidRDefault="00A4689B" w:rsidP="00A4689B">
            <w:pPr>
              <w:tabs>
                <w:tab w:val="decimal" w:pos="414"/>
              </w:tabs>
              <w:jc w:val="left"/>
              <w:rPr>
                <w:sz w:val="14"/>
              </w:rPr>
            </w:pPr>
            <w:r w:rsidRPr="00C003FA">
              <w:rPr>
                <w:sz w:val="14"/>
              </w:rPr>
              <w:t>3,383.5</w:t>
            </w:r>
          </w:p>
        </w:tc>
        <w:tc>
          <w:tcPr>
            <w:tcW w:w="675" w:type="dxa"/>
            <w:vAlign w:val="bottom"/>
          </w:tcPr>
          <w:p w:rsidR="00A4689B" w:rsidRPr="00C003FA" w:rsidRDefault="00A4689B" w:rsidP="00A4689B">
            <w:pPr>
              <w:tabs>
                <w:tab w:val="decimal" w:pos="187"/>
              </w:tabs>
              <w:ind w:right="-2"/>
              <w:jc w:val="left"/>
              <w:rPr>
                <w:sz w:val="14"/>
              </w:rPr>
            </w:pPr>
            <w:r w:rsidRPr="00C003FA">
              <w:rPr>
                <w:sz w:val="14"/>
              </w:rPr>
              <w:t>12.8</w:t>
            </w:r>
          </w:p>
        </w:tc>
      </w:tr>
      <w:tr w:rsidR="00A4689B" w:rsidRPr="00C003FA" w:rsidTr="00A4689B">
        <w:trPr>
          <w:jc w:val="center"/>
        </w:trPr>
        <w:tc>
          <w:tcPr>
            <w:tcW w:w="2231" w:type="dxa"/>
            <w:vAlign w:val="bottom"/>
          </w:tcPr>
          <w:p w:rsidR="00A4689B" w:rsidRPr="00C003FA" w:rsidRDefault="00A4689B" w:rsidP="00A4689B">
            <w:pPr>
              <w:ind w:left="224" w:hanging="90"/>
              <w:jc w:val="left"/>
              <w:rPr>
                <w:sz w:val="14"/>
              </w:rPr>
            </w:pPr>
            <w:r w:rsidRPr="00C003FA">
              <w:rPr>
                <w:sz w:val="14"/>
              </w:rPr>
              <w:t>Furniture and Furnishings</w:t>
            </w:r>
          </w:p>
        </w:tc>
        <w:tc>
          <w:tcPr>
            <w:tcW w:w="776" w:type="dxa"/>
            <w:vAlign w:val="bottom"/>
          </w:tcPr>
          <w:p w:rsidR="00A4689B" w:rsidRPr="00C003FA" w:rsidRDefault="00A4689B" w:rsidP="00A4689B">
            <w:pPr>
              <w:tabs>
                <w:tab w:val="decimal" w:pos="411"/>
              </w:tabs>
              <w:jc w:val="left"/>
              <w:rPr>
                <w:sz w:val="14"/>
              </w:rPr>
            </w:pPr>
            <w:r w:rsidRPr="00C003FA">
              <w:rPr>
                <w:sz w:val="14"/>
              </w:rPr>
              <w:t>2,868.8</w:t>
            </w:r>
          </w:p>
        </w:tc>
        <w:tc>
          <w:tcPr>
            <w:tcW w:w="678" w:type="dxa"/>
            <w:vAlign w:val="bottom"/>
          </w:tcPr>
          <w:p w:rsidR="00A4689B" w:rsidRPr="00C003FA" w:rsidRDefault="00A4689B" w:rsidP="00A4689B">
            <w:pPr>
              <w:tabs>
                <w:tab w:val="decimal" w:pos="189"/>
              </w:tabs>
              <w:jc w:val="left"/>
              <w:rPr>
                <w:sz w:val="14"/>
              </w:rPr>
            </w:pPr>
            <w:r w:rsidRPr="00C003FA">
              <w:rPr>
                <w:sz w:val="14"/>
              </w:rPr>
              <w:t>8.1</w:t>
            </w:r>
          </w:p>
        </w:tc>
        <w:tc>
          <w:tcPr>
            <w:tcW w:w="776" w:type="dxa"/>
            <w:vAlign w:val="bottom"/>
          </w:tcPr>
          <w:p w:rsidR="00A4689B" w:rsidRPr="00C003FA" w:rsidRDefault="00A4689B" w:rsidP="00A4689B">
            <w:pPr>
              <w:tabs>
                <w:tab w:val="decimal" w:pos="433"/>
              </w:tabs>
              <w:jc w:val="left"/>
              <w:rPr>
                <w:sz w:val="14"/>
              </w:rPr>
            </w:pPr>
            <w:r w:rsidRPr="00C003FA">
              <w:rPr>
                <w:sz w:val="14"/>
              </w:rPr>
              <w:t>3,019.6</w:t>
            </w:r>
          </w:p>
        </w:tc>
        <w:tc>
          <w:tcPr>
            <w:tcW w:w="676" w:type="dxa"/>
            <w:vAlign w:val="bottom"/>
          </w:tcPr>
          <w:p w:rsidR="00A4689B" w:rsidRPr="00C003FA" w:rsidRDefault="00A4689B" w:rsidP="00A4689B">
            <w:pPr>
              <w:tabs>
                <w:tab w:val="decimal" w:pos="222"/>
              </w:tabs>
              <w:jc w:val="left"/>
              <w:rPr>
                <w:sz w:val="14"/>
              </w:rPr>
            </w:pPr>
            <w:r w:rsidRPr="00C003FA">
              <w:rPr>
                <w:sz w:val="14"/>
              </w:rPr>
              <w:t>5.3</w:t>
            </w:r>
          </w:p>
        </w:tc>
        <w:tc>
          <w:tcPr>
            <w:tcW w:w="776" w:type="dxa"/>
            <w:vAlign w:val="bottom"/>
          </w:tcPr>
          <w:p w:rsidR="00A4689B" w:rsidRPr="00C003FA" w:rsidRDefault="00A4689B" w:rsidP="00A4689B">
            <w:pPr>
              <w:tabs>
                <w:tab w:val="decimal" w:pos="422"/>
              </w:tabs>
              <w:jc w:val="left"/>
              <w:rPr>
                <w:sz w:val="14"/>
              </w:rPr>
            </w:pPr>
            <w:r w:rsidRPr="00C003FA">
              <w:rPr>
                <w:sz w:val="14"/>
              </w:rPr>
              <w:t>3,126.0</w:t>
            </w:r>
          </w:p>
        </w:tc>
        <w:tc>
          <w:tcPr>
            <w:tcW w:w="675" w:type="dxa"/>
            <w:vAlign w:val="bottom"/>
          </w:tcPr>
          <w:p w:rsidR="00A4689B" w:rsidRPr="00C003FA" w:rsidRDefault="00A4689B" w:rsidP="00A4689B">
            <w:pPr>
              <w:tabs>
                <w:tab w:val="decimal" w:pos="192"/>
              </w:tabs>
              <w:jc w:val="left"/>
              <w:rPr>
                <w:sz w:val="14"/>
              </w:rPr>
            </w:pPr>
            <w:r w:rsidRPr="00C003FA">
              <w:rPr>
                <w:sz w:val="14"/>
              </w:rPr>
              <w:t>3.5</w:t>
            </w:r>
          </w:p>
        </w:tc>
        <w:tc>
          <w:tcPr>
            <w:tcW w:w="776" w:type="dxa"/>
            <w:vAlign w:val="bottom"/>
          </w:tcPr>
          <w:p w:rsidR="00A4689B" w:rsidRPr="00C003FA" w:rsidRDefault="00A4689B" w:rsidP="00A4689B">
            <w:pPr>
              <w:tabs>
                <w:tab w:val="decimal" w:pos="411"/>
              </w:tabs>
              <w:jc w:val="left"/>
              <w:rPr>
                <w:sz w:val="14"/>
              </w:rPr>
            </w:pPr>
            <w:r w:rsidRPr="00C003FA">
              <w:rPr>
                <w:sz w:val="14"/>
              </w:rPr>
              <w:t>3,265.9</w:t>
            </w:r>
          </w:p>
        </w:tc>
        <w:tc>
          <w:tcPr>
            <w:tcW w:w="675" w:type="dxa"/>
            <w:vAlign w:val="bottom"/>
          </w:tcPr>
          <w:p w:rsidR="00A4689B" w:rsidRPr="00C003FA" w:rsidRDefault="00A4689B" w:rsidP="00A4689B">
            <w:pPr>
              <w:tabs>
                <w:tab w:val="decimal" w:pos="189"/>
              </w:tabs>
              <w:jc w:val="left"/>
              <w:rPr>
                <w:sz w:val="14"/>
              </w:rPr>
            </w:pPr>
            <w:r w:rsidRPr="00C003FA">
              <w:rPr>
                <w:sz w:val="14"/>
              </w:rPr>
              <w:t>4.5</w:t>
            </w:r>
          </w:p>
        </w:tc>
        <w:tc>
          <w:tcPr>
            <w:tcW w:w="776" w:type="dxa"/>
            <w:vAlign w:val="bottom"/>
          </w:tcPr>
          <w:p w:rsidR="00A4689B" w:rsidRPr="00C003FA" w:rsidRDefault="00A4689B" w:rsidP="00A4689B">
            <w:pPr>
              <w:tabs>
                <w:tab w:val="decimal" w:pos="411"/>
              </w:tabs>
              <w:jc w:val="left"/>
              <w:rPr>
                <w:sz w:val="14"/>
              </w:rPr>
            </w:pPr>
            <w:r w:rsidRPr="00C003FA">
              <w:rPr>
                <w:sz w:val="14"/>
              </w:rPr>
              <w:t>3,371.4</w:t>
            </w:r>
          </w:p>
        </w:tc>
        <w:tc>
          <w:tcPr>
            <w:tcW w:w="675" w:type="dxa"/>
            <w:vAlign w:val="bottom"/>
          </w:tcPr>
          <w:p w:rsidR="00A4689B" w:rsidRPr="00C003FA" w:rsidRDefault="00A4689B" w:rsidP="00A4689B">
            <w:pPr>
              <w:tabs>
                <w:tab w:val="decimal" w:pos="189"/>
              </w:tabs>
              <w:jc w:val="left"/>
              <w:rPr>
                <w:sz w:val="14"/>
              </w:rPr>
            </w:pPr>
            <w:r w:rsidRPr="00C003FA">
              <w:rPr>
                <w:sz w:val="14"/>
              </w:rPr>
              <w:t>3.2</w:t>
            </w:r>
          </w:p>
        </w:tc>
        <w:tc>
          <w:tcPr>
            <w:tcW w:w="755" w:type="dxa"/>
            <w:vAlign w:val="bottom"/>
          </w:tcPr>
          <w:p w:rsidR="00A4689B" w:rsidRPr="00C003FA" w:rsidRDefault="00A4689B" w:rsidP="00A4689B">
            <w:pPr>
              <w:tabs>
                <w:tab w:val="decimal" w:pos="418"/>
              </w:tabs>
              <w:jc w:val="left"/>
              <w:rPr>
                <w:sz w:val="14"/>
              </w:rPr>
            </w:pPr>
            <w:r w:rsidRPr="00C003FA">
              <w:rPr>
                <w:sz w:val="14"/>
              </w:rPr>
              <w:t>469.3</w:t>
            </w:r>
          </w:p>
        </w:tc>
        <w:tc>
          <w:tcPr>
            <w:tcW w:w="761" w:type="dxa"/>
            <w:vAlign w:val="bottom"/>
          </w:tcPr>
          <w:p w:rsidR="00A4689B" w:rsidRPr="00C003FA" w:rsidRDefault="00A4689B" w:rsidP="00A4689B">
            <w:pPr>
              <w:tabs>
                <w:tab w:val="decimal" w:pos="414"/>
              </w:tabs>
              <w:jc w:val="left"/>
              <w:rPr>
                <w:sz w:val="14"/>
              </w:rPr>
            </w:pPr>
            <w:r w:rsidRPr="00C003FA">
              <w:rPr>
                <w:sz w:val="14"/>
              </w:rPr>
              <w:t>494.2</w:t>
            </w:r>
          </w:p>
        </w:tc>
        <w:tc>
          <w:tcPr>
            <w:tcW w:w="675" w:type="dxa"/>
            <w:vAlign w:val="bottom"/>
          </w:tcPr>
          <w:p w:rsidR="00A4689B" w:rsidRPr="00C003FA" w:rsidRDefault="00A4689B" w:rsidP="00A4689B">
            <w:pPr>
              <w:tabs>
                <w:tab w:val="decimal" w:pos="187"/>
              </w:tabs>
              <w:ind w:right="-2"/>
              <w:jc w:val="left"/>
              <w:rPr>
                <w:sz w:val="14"/>
              </w:rPr>
            </w:pPr>
            <w:r w:rsidRPr="00C003FA">
              <w:rPr>
                <w:sz w:val="14"/>
              </w:rPr>
              <w:t>5.3</w:t>
            </w:r>
          </w:p>
        </w:tc>
      </w:tr>
      <w:tr w:rsidR="00A4689B" w:rsidRPr="00C003FA" w:rsidTr="00A4689B">
        <w:trPr>
          <w:jc w:val="center"/>
        </w:trPr>
        <w:tc>
          <w:tcPr>
            <w:tcW w:w="2231" w:type="dxa"/>
            <w:vAlign w:val="bottom"/>
          </w:tcPr>
          <w:p w:rsidR="00A4689B" w:rsidRPr="00C003FA" w:rsidRDefault="00A4689B" w:rsidP="00A4689B">
            <w:pPr>
              <w:ind w:left="224" w:hanging="90"/>
              <w:jc w:val="left"/>
              <w:rPr>
                <w:sz w:val="14"/>
              </w:rPr>
            </w:pPr>
            <w:r w:rsidRPr="00C003FA">
              <w:rPr>
                <w:sz w:val="14"/>
              </w:rPr>
              <w:t>Electronics and Appliances</w:t>
            </w:r>
          </w:p>
        </w:tc>
        <w:tc>
          <w:tcPr>
            <w:tcW w:w="776" w:type="dxa"/>
            <w:vAlign w:val="bottom"/>
          </w:tcPr>
          <w:p w:rsidR="00A4689B" w:rsidRPr="00C003FA" w:rsidRDefault="00A4689B" w:rsidP="00A4689B">
            <w:pPr>
              <w:tabs>
                <w:tab w:val="decimal" w:pos="411"/>
              </w:tabs>
              <w:jc w:val="left"/>
              <w:rPr>
                <w:sz w:val="14"/>
              </w:rPr>
            </w:pPr>
            <w:r w:rsidRPr="00C003FA">
              <w:rPr>
                <w:sz w:val="14"/>
              </w:rPr>
              <w:t>2,387.6</w:t>
            </w:r>
          </w:p>
        </w:tc>
        <w:tc>
          <w:tcPr>
            <w:tcW w:w="678" w:type="dxa"/>
            <w:vAlign w:val="bottom"/>
          </w:tcPr>
          <w:p w:rsidR="00A4689B" w:rsidRPr="00C003FA" w:rsidRDefault="00A4689B" w:rsidP="00A4689B">
            <w:pPr>
              <w:tabs>
                <w:tab w:val="decimal" w:pos="189"/>
              </w:tabs>
              <w:jc w:val="left"/>
              <w:rPr>
                <w:sz w:val="14"/>
              </w:rPr>
            </w:pPr>
            <w:r w:rsidRPr="00C003FA">
              <w:rPr>
                <w:sz w:val="14"/>
              </w:rPr>
              <w:t>5.7</w:t>
            </w:r>
          </w:p>
        </w:tc>
        <w:tc>
          <w:tcPr>
            <w:tcW w:w="776" w:type="dxa"/>
            <w:vAlign w:val="bottom"/>
          </w:tcPr>
          <w:p w:rsidR="00A4689B" w:rsidRPr="00C003FA" w:rsidRDefault="00A4689B" w:rsidP="00A4689B">
            <w:pPr>
              <w:tabs>
                <w:tab w:val="decimal" w:pos="433"/>
              </w:tabs>
              <w:jc w:val="left"/>
              <w:rPr>
                <w:sz w:val="14"/>
              </w:rPr>
            </w:pPr>
            <w:r w:rsidRPr="00C003FA">
              <w:rPr>
                <w:sz w:val="14"/>
              </w:rPr>
              <w:t>2,534.3</w:t>
            </w:r>
          </w:p>
        </w:tc>
        <w:tc>
          <w:tcPr>
            <w:tcW w:w="676" w:type="dxa"/>
            <w:vAlign w:val="bottom"/>
          </w:tcPr>
          <w:p w:rsidR="00A4689B" w:rsidRPr="00C003FA" w:rsidRDefault="00A4689B" w:rsidP="00A4689B">
            <w:pPr>
              <w:tabs>
                <w:tab w:val="decimal" w:pos="222"/>
              </w:tabs>
              <w:jc w:val="left"/>
              <w:rPr>
                <w:sz w:val="14"/>
              </w:rPr>
            </w:pPr>
            <w:r w:rsidRPr="00C003FA">
              <w:rPr>
                <w:sz w:val="14"/>
              </w:rPr>
              <w:t>6.1</w:t>
            </w:r>
          </w:p>
        </w:tc>
        <w:tc>
          <w:tcPr>
            <w:tcW w:w="776" w:type="dxa"/>
            <w:vAlign w:val="bottom"/>
          </w:tcPr>
          <w:p w:rsidR="00A4689B" w:rsidRPr="00C003FA" w:rsidRDefault="00A4689B" w:rsidP="00A4689B">
            <w:pPr>
              <w:tabs>
                <w:tab w:val="decimal" w:pos="422"/>
              </w:tabs>
              <w:jc w:val="left"/>
              <w:rPr>
                <w:sz w:val="14"/>
              </w:rPr>
            </w:pPr>
            <w:r w:rsidRPr="00C003FA">
              <w:rPr>
                <w:sz w:val="14"/>
              </w:rPr>
              <w:t>2,617.2</w:t>
            </w:r>
          </w:p>
        </w:tc>
        <w:tc>
          <w:tcPr>
            <w:tcW w:w="675" w:type="dxa"/>
            <w:vAlign w:val="bottom"/>
          </w:tcPr>
          <w:p w:rsidR="00A4689B" w:rsidRPr="00C003FA" w:rsidRDefault="00A4689B" w:rsidP="00A4689B">
            <w:pPr>
              <w:tabs>
                <w:tab w:val="decimal" w:pos="192"/>
              </w:tabs>
              <w:jc w:val="left"/>
              <w:rPr>
                <w:sz w:val="14"/>
              </w:rPr>
            </w:pPr>
            <w:r w:rsidRPr="00C003FA">
              <w:rPr>
                <w:sz w:val="14"/>
              </w:rPr>
              <w:t>3.3</w:t>
            </w:r>
          </w:p>
        </w:tc>
        <w:tc>
          <w:tcPr>
            <w:tcW w:w="776" w:type="dxa"/>
            <w:vAlign w:val="bottom"/>
          </w:tcPr>
          <w:p w:rsidR="00A4689B" w:rsidRPr="00C003FA" w:rsidRDefault="00A4689B" w:rsidP="00A4689B">
            <w:pPr>
              <w:tabs>
                <w:tab w:val="decimal" w:pos="411"/>
              </w:tabs>
              <w:jc w:val="left"/>
              <w:rPr>
                <w:sz w:val="14"/>
              </w:rPr>
            </w:pPr>
            <w:r w:rsidRPr="00C003FA">
              <w:rPr>
                <w:sz w:val="14"/>
              </w:rPr>
              <w:t>2,830.3</w:t>
            </w:r>
          </w:p>
        </w:tc>
        <w:tc>
          <w:tcPr>
            <w:tcW w:w="675" w:type="dxa"/>
            <w:vAlign w:val="bottom"/>
          </w:tcPr>
          <w:p w:rsidR="00A4689B" w:rsidRPr="00C003FA" w:rsidRDefault="00A4689B" w:rsidP="00A4689B">
            <w:pPr>
              <w:tabs>
                <w:tab w:val="decimal" w:pos="189"/>
              </w:tabs>
              <w:jc w:val="left"/>
              <w:rPr>
                <w:sz w:val="14"/>
              </w:rPr>
            </w:pPr>
            <w:r w:rsidRPr="00C003FA">
              <w:rPr>
                <w:sz w:val="14"/>
              </w:rPr>
              <w:t>8.1</w:t>
            </w:r>
          </w:p>
        </w:tc>
        <w:tc>
          <w:tcPr>
            <w:tcW w:w="776" w:type="dxa"/>
            <w:vAlign w:val="bottom"/>
          </w:tcPr>
          <w:p w:rsidR="00A4689B" w:rsidRPr="00C003FA" w:rsidRDefault="00A4689B" w:rsidP="00A4689B">
            <w:pPr>
              <w:tabs>
                <w:tab w:val="decimal" w:pos="411"/>
              </w:tabs>
              <w:jc w:val="left"/>
              <w:rPr>
                <w:sz w:val="14"/>
              </w:rPr>
            </w:pPr>
            <w:r w:rsidRPr="00C003FA">
              <w:rPr>
                <w:sz w:val="14"/>
              </w:rPr>
              <w:t>2,956.9</w:t>
            </w:r>
          </w:p>
        </w:tc>
        <w:tc>
          <w:tcPr>
            <w:tcW w:w="675" w:type="dxa"/>
            <w:vAlign w:val="bottom"/>
          </w:tcPr>
          <w:p w:rsidR="00A4689B" w:rsidRPr="00C003FA" w:rsidRDefault="00A4689B" w:rsidP="00A4689B">
            <w:pPr>
              <w:tabs>
                <w:tab w:val="decimal" w:pos="189"/>
              </w:tabs>
              <w:jc w:val="left"/>
              <w:rPr>
                <w:sz w:val="14"/>
              </w:rPr>
            </w:pPr>
            <w:r w:rsidRPr="00C003FA">
              <w:rPr>
                <w:sz w:val="14"/>
              </w:rPr>
              <w:t>4.5</w:t>
            </w:r>
          </w:p>
        </w:tc>
        <w:tc>
          <w:tcPr>
            <w:tcW w:w="755" w:type="dxa"/>
            <w:vAlign w:val="bottom"/>
          </w:tcPr>
          <w:p w:rsidR="00A4689B" w:rsidRPr="00C003FA" w:rsidRDefault="00A4689B" w:rsidP="00A4689B">
            <w:pPr>
              <w:tabs>
                <w:tab w:val="decimal" w:pos="418"/>
              </w:tabs>
              <w:jc w:val="left"/>
              <w:rPr>
                <w:sz w:val="14"/>
              </w:rPr>
            </w:pPr>
            <w:r w:rsidRPr="00C003FA">
              <w:rPr>
                <w:sz w:val="14"/>
              </w:rPr>
              <w:t>412.9</w:t>
            </w:r>
          </w:p>
        </w:tc>
        <w:tc>
          <w:tcPr>
            <w:tcW w:w="761" w:type="dxa"/>
            <w:vAlign w:val="bottom"/>
          </w:tcPr>
          <w:p w:rsidR="00A4689B" w:rsidRPr="00C003FA" w:rsidRDefault="00A4689B" w:rsidP="00A4689B">
            <w:pPr>
              <w:tabs>
                <w:tab w:val="decimal" w:pos="414"/>
              </w:tabs>
              <w:jc w:val="left"/>
              <w:rPr>
                <w:sz w:val="14"/>
              </w:rPr>
            </w:pPr>
            <w:r w:rsidRPr="00C003FA">
              <w:rPr>
                <w:sz w:val="14"/>
              </w:rPr>
              <w:t>436.6</w:t>
            </w:r>
          </w:p>
        </w:tc>
        <w:tc>
          <w:tcPr>
            <w:tcW w:w="675" w:type="dxa"/>
            <w:vAlign w:val="bottom"/>
          </w:tcPr>
          <w:p w:rsidR="00A4689B" w:rsidRPr="00C003FA" w:rsidRDefault="00A4689B" w:rsidP="00A4689B">
            <w:pPr>
              <w:tabs>
                <w:tab w:val="decimal" w:pos="187"/>
              </w:tabs>
              <w:ind w:right="-2"/>
              <w:jc w:val="left"/>
              <w:rPr>
                <w:sz w:val="14"/>
              </w:rPr>
            </w:pPr>
            <w:r w:rsidRPr="00C003FA">
              <w:rPr>
                <w:sz w:val="14"/>
              </w:rPr>
              <w:t>5.7</w:t>
            </w:r>
          </w:p>
        </w:tc>
      </w:tr>
      <w:tr w:rsidR="00A4689B" w:rsidRPr="00C003FA" w:rsidTr="00A4689B">
        <w:trPr>
          <w:jc w:val="center"/>
        </w:trPr>
        <w:tc>
          <w:tcPr>
            <w:tcW w:w="2231" w:type="dxa"/>
            <w:vAlign w:val="bottom"/>
          </w:tcPr>
          <w:p w:rsidR="00A4689B" w:rsidRPr="00C003FA" w:rsidRDefault="00A4689B" w:rsidP="00A4689B">
            <w:pPr>
              <w:ind w:left="224" w:hanging="90"/>
              <w:jc w:val="left"/>
              <w:rPr>
                <w:sz w:val="14"/>
              </w:rPr>
            </w:pPr>
            <w:r w:rsidRPr="00C003FA">
              <w:rPr>
                <w:sz w:val="14"/>
              </w:rPr>
              <w:t>Bolding Materials/Nurseries</w:t>
            </w:r>
          </w:p>
        </w:tc>
        <w:tc>
          <w:tcPr>
            <w:tcW w:w="776" w:type="dxa"/>
            <w:vAlign w:val="bottom"/>
          </w:tcPr>
          <w:p w:rsidR="00A4689B" w:rsidRPr="00C003FA" w:rsidRDefault="00A4689B" w:rsidP="00A4689B">
            <w:pPr>
              <w:tabs>
                <w:tab w:val="decimal" w:pos="411"/>
              </w:tabs>
              <w:jc w:val="left"/>
              <w:rPr>
                <w:sz w:val="14"/>
              </w:rPr>
            </w:pPr>
            <w:r w:rsidRPr="00C003FA">
              <w:rPr>
                <w:sz w:val="14"/>
              </w:rPr>
              <w:t>6,373.2</w:t>
            </w:r>
          </w:p>
        </w:tc>
        <w:tc>
          <w:tcPr>
            <w:tcW w:w="678" w:type="dxa"/>
            <w:vAlign w:val="bottom"/>
          </w:tcPr>
          <w:p w:rsidR="00A4689B" w:rsidRPr="00C003FA" w:rsidRDefault="00A4689B" w:rsidP="00A4689B">
            <w:pPr>
              <w:tabs>
                <w:tab w:val="decimal" w:pos="189"/>
              </w:tabs>
              <w:jc w:val="left"/>
              <w:rPr>
                <w:sz w:val="14"/>
              </w:rPr>
            </w:pPr>
            <w:r w:rsidRPr="00C003FA">
              <w:rPr>
                <w:sz w:val="14"/>
              </w:rPr>
              <w:t>7.5</w:t>
            </w:r>
          </w:p>
        </w:tc>
        <w:tc>
          <w:tcPr>
            <w:tcW w:w="776" w:type="dxa"/>
            <w:vAlign w:val="bottom"/>
          </w:tcPr>
          <w:p w:rsidR="00A4689B" w:rsidRPr="00C003FA" w:rsidRDefault="00A4689B" w:rsidP="00A4689B">
            <w:pPr>
              <w:tabs>
                <w:tab w:val="decimal" w:pos="433"/>
              </w:tabs>
              <w:jc w:val="left"/>
              <w:rPr>
                <w:sz w:val="14"/>
              </w:rPr>
            </w:pPr>
            <w:r w:rsidRPr="00C003FA">
              <w:rPr>
                <w:sz w:val="14"/>
              </w:rPr>
              <w:t>6,800.1</w:t>
            </w:r>
          </w:p>
        </w:tc>
        <w:tc>
          <w:tcPr>
            <w:tcW w:w="676" w:type="dxa"/>
            <w:vAlign w:val="bottom"/>
          </w:tcPr>
          <w:p w:rsidR="00A4689B" w:rsidRPr="00C003FA" w:rsidRDefault="00A4689B" w:rsidP="00A4689B">
            <w:pPr>
              <w:tabs>
                <w:tab w:val="decimal" w:pos="222"/>
              </w:tabs>
              <w:jc w:val="left"/>
              <w:rPr>
                <w:sz w:val="14"/>
              </w:rPr>
            </w:pPr>
            <w:r w:rsidRPr="00C003FA">
              <w:rPr>
                <w:sz w:val="14"/>
              </w:rPr>
              <w:t>6.7</w:t>
            </w:r>
          </w:p>
        </w:tc>
        <w:tc>
          <w:tcPr>
            <w:tcW w:w="776" w:type="dxa"/>
            <w:vAlign w:val="bottom"/>
          </w:tcPr>
          <w:p w:rsidR="00A4689B" w:rsidRPr="00C003FA" w:rsidRDefault="00A4689B" w:rsidP="00A4689B">
            <w:pPr>
              <w:tabs>
                <w:tab w:val="decimal" w:pos="422"/>
              </w:tabs>
              <w:jc w:val="left"/>
              <w:rPr>
                <w:sz w:val="14"/>
              </w:rPr>
            </w:pPr>
            <w:r w:rsidRPr="00C003FA">
              <w:rPr>
                <w:sz w:val="14"/>
              </w:rPr>
              <w:t>7,283.2</w:t>
            </w:r>
          </w:p>
        </w:tc>
        <w:tc>
          <w:tcPr>
            <w:tcW w:w="675" w:type="dxa"/>
            <w:vAlign w:val="bottom"/>
          </w:tcPr>
          <w:p w:rsidR="00A4689B" w:rsidRPr="00C003FA" w:rsidRDefault="00A4689B" w:rsidP="00A4689B">
            <w:pPr>
              <w:tabs>
                <w:tab w:val="decimal" w:pos="192"/>
              </w:tabs>
              <w:jc w:val="left"/>
              <w:rPr>
                <w:sz w:val="14"/>
              </w:rPr>
            </w:pPr>
            <w:r w:rsidRPr="00C003FA">
              <w:rPr>
                <w:sz w:val="14"/>
              </w:rPr>
              <w:t>7.1</w:t>
            </w:r>
          </w:p>
        </w:tc>
        <w:tc>
          <w:tcPr>
            <w:tcW w:w="776" w:type="dxa"/>
            <w:vAlign w:val="bottom"/>
          </w:tcPr>
          <w:p w:rsidR="00A4689B" w:rsidRPr="00C003FA" w:rsidRDefault="00A4689B" w:rsidP="00A4689B">
            <w:pPr>
              <w:tabs>
                <w:tab w:val="decimal" w:pos="411"/>
              </w:tabs>
              <w:jc w:val="left"/>
              <w:rPr>
                <w:sz w:val="14"/>
              </w:rPr>
            </w:pPr>
            <w:r w:rsidRPr="00C003FA">
              <w:rPr>
                <w:sz w:val="14"/>
              </w:rPr>
              <w:t>7,465.8</w:t>
            </w:r>
          </w:p>
        </w:tc>
        <w:tc>
          <w:tcPr>
            <w:tcW w:w="675" w:type="dxa"/>
            <w:vAlign w:val="bottom"/>
          </w:tcPr>
          <w:p w:rsidR="00A4689B" w:rsidRPr="00C003FA" w:rsidRDefault="00A4689B" w:rsidP="00A4689B">
            <w:pPr>
              <w:tabs>
                <w:tab w:val="decimal" w:pos="189"/>
              </w:tabs>
              <w:jc w:val="left"/>
              <w:rPr>
                <w:sz w:val="14"/>
              </w:rPr>
            </w:pPr>
            <w:r w:rsidRPr="00C003FA">
              <w:rPr>
                <w:sz w:val="14"/>
              </w:rPr>
              <w:t>2.5</w:t>
            </w:r>
          </w:p>
        </w:tc>
        <w:tc>
          <w:tcPr>
            <w:tcW w:w="776" w:type="dxa"/>
            <w:vAlign w:val="bottom"/>
          </w:tcPr>
          <w:p w:rsidR="00A4689B" w:rsidRPr="00C003FA" w:rsidRDefault="00A4689B" w:rsidP="00A4689B">
            <w:pPr>
              <w:tabs>
                <w:tab w:val="decimal" w:pos="411"/>
              </w:tabs>
              <w:jc w:val="left"/>
              <w:rPr>
                <w:sz w:val="14"/>
              </w:rPr>
            </w:pPr>
            <w:r w:rsidRPr="00C003FA">
              <w:rPr>
                <w:sz w:val="14"/>
              </w:rPr>
              <w:t>7,413.9</w:t>
            </w:r>
          </w:p>
        </w:tc>
        <w:tc>
          <w:tcPr>
            <w:tcW w:w="675" w:type="dxa"/>
            <w:vAlign w:val="bottom"/>
          </w:tcPr>
          <w:p w:rsidR="00A4689B" w:rsidRPr="00C003FA" w:rsidRDefault="00A4689B" w:rsidP="00A4689B">
            <w:pPr>
              <w:tabs>
                <w:tab w:val="decimal" w:pos="189"/>
              </w:tabs>
              <w:jc w:val="left"/>
              <w:rPr>
                <w:sz w:val="14"/>
              </w:rPr>
            </w:pPr>
            <w:r w:rsidRPr="00C003FA">
              <w:rPr>
                <w:sz w:val="14"/>
              </w:rPr>
              <w:t>-0.7</w:t>
            </w:r>
          </w:p>
        </w:tc>
        <w:tc>
          <w:tcPr>
            <w:tcW w:w="755" w:type="dxa"/>
            <w:vAlign w:val="bottom"/>
          </w:tcPr>
          <w:p w:rsidR="00A4689B" w:rsidRPr="00C003FA" w:rsidRDefault="00A4689B" w:rsidP="00A4689B">
            <w:pPr>
              <w:tabs>
                <w:tab w:val="decimal" w:pos="418"/>
              </w:tabs>
              <w:jc w:val="left"/>
              <w:rPr>
                <w:sz w:val="14"/>
              </w:rPr>
            </w:pPr>
            <w:r w:rsidRPr="00C003FA">
              <w:rPr>
                <w:sz w:val="14"/>
              </w:rPr>
              <w:t>941.3</w:t>
            </w:r>
          </w:p>
        </w:tc>
        <w:tc>
          <w:tcPr>
            <w:tcW w:w="761" w:type="dxa"/>
            <w:vAlign w:val="bottom"/>
          </w:tcPr>
          <w:p w:rsidR="00A4689B" w:rsidRPr="00C003FA" w:rsidRDefault="00A4689B" w:rsidP="00A4689B">
            <w:pPr>
              <w:tabs>
                <w:tab w:val="decimal" w:pos="414"/>
              </w:tabs>
              <w:jc w:val="left"/>
              <w:rPr>
                <w:sz w:val="14"/>
              </w:rPr>
            </w:pPr>
            <w:r w:rsidRPr="00C003FA">
              <w:rPr>
                <w:sz w:val="14"/>
              </w:rPr>
              <w:t>1,017.0</w:t>
            </w:r>
          </w:p>
        </w:tc>
        <w:tc>
          <w:tcPr>
            <w:tcW w:w="675" w:type="dxa"/>
            <w:vAlign w:val="bottom"/>
          </w:tcPr>
          <w:p w:rsidR="00A4689B" w:rsidRPr="00C003FA" w:rsidRDefault="00A4689B" w:rsidP="00A4689B">
            <w:pPr>
              <w:tabs>
                <w:tab w:val="decimal" w:pos="187"/>
              </w:tabs>
              <w:ind w:right="-2"/>
              <w:jc w:val="left"/>
              <w:rPr>
                <w:sz w:val="14"/>
              </w:rPr>
            </w:pPr>
            <w:r w:rsidRPr="00C003FA">
              <w:rPr>
                <w:sz w:val="14"/>
              </w:rPr>
              <w:t>8.0</w:t>
            </w:r>
          </w:p>
        </w:tc>
      </w:tr>
      <w:tr w:rsidR="00A4689B" w:rsidRPr="00C003FA" w:rsidTr="00A4689B">
        <w:trPr>
          <w:jc w:val="center"/>
        </w:trPr>
        <w:tc>
          <w:tcPr>
            <w:tcW w:w="2231" w:type="dxa"/>
            <w:vAlign w:val="bottom"/>
          </w:tcPr>
          <w:p w:rsidR="00A4689B" w:rsidRPr="00C003FA" w:rsidRDefault="00A4689B" w:rsidP="00A4689B">
            <w:pPr>
              <w:ind w:left="224" w:hanging="90"/>
              <w:jc w:val="left"/>
              <w:rPr>
                <w:sz w:val="14"/>
              </w:rPr>
            </w:pPr>
            <w:r w:rsidRPr="00C003FA">
              <w:rPr>
                <w:sz w:val="14"/>
              </w:rPr>
              <w:t>Food/Beverage Stores</w:t>
            </w:r>
          </w:p>
        </w:tc>
        <w:tc>
          <w:tcPr>
            <w:tcW w:w="776" w:type="dxa"/>
            <w:vAlign w:val="bottom"/>
          </w:tcPr>
          <w:p w:rsidR="00A4689B" w:rsidRPr="00C003FA" w:rsidRDefault="00A4689B" w:rsidP="00A4689B">
            <w:pPr>
              <w:tabs>
                <w:tab w:val="decimal" w:pos="411"/>
              </w:tabs>
              <w:jc w:val="left"/>
              <w:rPr>
                <w:sz w:val="14"/>
              </w:rPr>
            </w:pPr>
            <w:r w:rsidRPr="00C003FA">
              <w:rPr>
                <w:sz w:val="14"/>
              </w:rPr>
              <w:t>16,619.2</w:t>
            </w:r>
          </w:p>
        </w:tc>
        <w:tc>
          <w:tcPr>
            <w:tcW w:w="678" w:type="dxa"/>
            <w:vAlign w:val="bottom"/>
          </w:tcPr>
          <w:p w:rsidR="00A4689B" w:rsidRPr="00C003FA" w:rsidRDefault="00A4689B" w:rsidP="00A4689B">
            <w:pPr>
              <w:tabs>
                <w:tab w:val="decimal" w:pos="189"/>
              </w:tabs>
              <w:jc w:val="left"/>
              <w:rPr>
                <w:sz w:val="14"/>
              </w:rPr>
            </w:pPr>
            <w:r w:rsidRPr="00C003FA">
              <w:rPr>
                <w:sz w:val="14"/>
              </w:rPr>
              <w:t>4.1</w:t>
            </w:r>
          </w:p>
        </w:tc>
        <w:tc>
          <w:tcPr>
            <w:tcW w:w="776" w:type="dxa"/>
            <w:vAlign w:val="bottom"/>
          </w:tcPr>
          <w:p w:rsidR="00A4689B" w:rsidRPr="00C003FA" w:rsidRDefault="00A4689B" w:rsidP="00A4689B">
            <w:pPr>
              <w:tabs>
                <w:tab w:val="decimal" w:pos="433"/>
              </w:tabs>
              <w:jc w:val="left"/>
              <w:rPr>
                <w:sz w:val="14"/>
              </w:rPr>
            </w:pPr>
            <w:r w:rsidRPr="00C003FA">
              <w:rPr>
                <w:sz w:val="14"/>
              </w:rPr>
              <w:t>16,798.7</w:t>
            </w:r>
          </w:p>
        </w:tc>
        <w:tc>
          <w:tcPr>
            <w:tcW w:w="676" w:type="dxa"/>
            <w:vAlign w:val="bottom"/>
          </w:tcPr>
          <w:p w:rsidR="00A4689B" w:rsidRPr="00C003FA" w:rsidRDefault="00A4689B" w:rsidP="00A4689B">
            <w:pPr>
              <w:tabs>
                <w:tab w:val="decimal" w:pos="222"/>
              </w:tabs>
              <w:jc w:val="left"/>
              <w:rPr>
                <w:sz w:val="14"/>
              </w:rPr>
            </w:pPr>
            <w:r w:rsidRPr="00C003FA">
              <w:rPr>
                <w:sz w:val="14"/>
              </w:rPr>
              <w:t>1.1</w:t>
            </w:r>
          </w:p>
        </w:tc>
        <w:tc>
          <w:tcPr>
            <w:tcW w:w="776" w:type="dxa"/>
            <w:vAlign w:val="bottom"/>
          </w:tcPr>
          <w:p w:rsidR="00A4689B" w:rsidRPr="00C003FA" w:rsidRDefault="00A4689B" w:rsidP="00A4689B">
            <w:pPr>
              <w:tabs>
                <w:tab w:val="decimal" w:pos="422"/>
              </w:tabs>
              <w:jc w:val="left"/>
              <w:rPr>
                <w:sz w:val="14"/>
              </w:rPr>
            </w:pPr>
            <w:r w:rsidRPr="00C003FA">
              <w:rPr>
                <w:sz w:val="14"/>
              </w:rPr>
              <w:t>17,655.4</w:t>
            </w:r>
          </w:p>
        </w:tc>
        <w:tc>
          <w:tcPr>
            <w:tcW w:w="675" w:type="dxa"/>
            <w:vAlign w:val="bottom"/>
          </w:tcPr>
          <w:p w:rsidR="00A4689B" w:rsidRPr="00C003FA" w:rsidRDefault="00A4689B" w:rsidP="00A4689B">
            <w:pPr>
              <w:tabs>
                <w:tab w:val="decimal" w:pos="192"/>
              </w:tabs>
              <w:jc w:val="left"/>
              <w:rPr>
                <w:sz w:val="14"/>
              </w:rPr>
            </w:pPr>
            <w:r w:rsidRPr="00C003FA">
              <w:rPr>
                <w:sz w:val="14"/>
              </w:rPr>
              <w:t>5.1</w:t>
            </w:r>
          </w:p>
        </w:tc>
        <w:tc>
          <w:tcPr>
            <w:tcW w:w="776" w:type="dxa"/>
            <w:vAlign w:val="bottom"/>
          </w:tcPr>
          <w:p w:rsidR="00A4689B" w:rsidRPr="00C003FA" w:rsidRDefault="00A4689B" w:rsidP="00A4689B">
            <w:pPr>
              <w:tabs>
                <w:tab w:val="decimal" w:pos="411"/>
              </w:tabs>
              <w:jc w:val="left"/>
              <w:rPr>
                <w:sz w:val="14"/>
              </w:rPr>
            </w:pPr>
            <w:r w:rsidRPr="00C003FA">
              <w:rPr>
                <w:sz w:val="14"/>
              </w:rPr>
              <w:t>18,794.5</w:t>
            </w:r>
          </w:p>
        </w:tc>
        <w:tc>
          <w:tcPr>
            <w:tcW w:w="675" w:type="dxa"/>
            <w:vAlign w:val="bottom"/>
          </w:tcPr>
          <w:p w:rsidR="00A4689B" w:rsidRPr="00C003FA" w:rsidRDefault="00A4689B" w:rsidP="00A4689B">
            <w:pPr>
              <w:tabs>
                <w:tab w:val="decimal" w:pos="189"/>
              </w:tabs>
              <w:jc w:val="left"/>
              <w:rPr>
                <w:sz w:val="14"/>
              </w:rPr>
            </w:pPr>
            <w:r w:rsidRPr="00C003FA">
              <w:rPr>
                <w:sz w:val="14"/>
              </w:rPr>
              <w:t>6.5</w:t>
            </w:r>
          </w:p>
        </w:tc>
        <w:tc>
          <w:tcPr>
            <w:tcW w:w="776" w:type="dxa"/>
            <w:vAlign w:val="bottom"/>
          </w:tcPr>
          <w:p w:rsidR="00A4689B" w:rsidRPr="00C003FA" w:rsidRDefault="00A4689B" w:rsidP="00A4689B">
            <w:pPr>
              <w:tabs>
                <w:tab w:val="decimal" w:pos="411"/>
              </w:tabs>
              <w:jc w:val="left"/>
              <w:rPr>
                <w:sz w:val="14"/>
              </w:rPr>
            </w:pPr>
            <w:r w:rsidRPr="00C003FA">
              <w:rPr>
                <w:sz w:val="14"/>
              </w:rPr>
              <w:t>18,927.9</w:t>
            </w:r>
          </w:p>
        </w:tc>
        <w:tc>
          <w:tcPr>
            <w:tcW w:w="675" w:type="dxa"/>
            <w:vAlign w:val="bottom"/>
          </w:tcPr>
          <w:p w:rsidR="00A4689B" w:rsidRPr="00C003FA" w:rsidRDefault="00A4689B" w:rsidP="00A4689B">
            <w:pPr>
              <w:tabs>
                <w:tab w:val="decimal" w:pos="189"/>
              </w:tabs>
              <w:jc w:val="left"/>
              <w:rPr>
                <w:sz w:val="14"/>
              </w:rPr>
            </w:pPr>
            <w:r w:rsidRPr="00C003FA">
              <w:rPr>
                <w:sz w:val="14"/>
              </w:rPr>
              <w:t>0.7</w:t>
            </w:r>
          </w:p>
        </w:tc>
        <w:tc>
          <w:tcPr>
            <w:tcW w:w="755" w:type="dxa"/>
            <w:vAlign w:val="bottom"/>
          </w:tcPr>
          <w:p w:rsidR="00A4689B" w:rsidRPr="00C003FA" w:rsidRDefault="00A4689B" w:rsidP="00A4689B">
            <w:pPr>
              <w:tabs>
                <w:tab w:val="decimal" w:pos="418"/>
              </w:tabs>
              <w:jc w:val="left"/>
              <w:rPr>
                <w:sz w:val="14"/>
              </w:rPr>
            </w:pPr>
            <w:r w:rsidRPr="00C003FA">
              <w:rPr>
                <w:sz w:val="14"/>
              </w:rPr>
              <w:t>2,122.2</w:t>
            </w:r>
          </w:p>
        </w:tc>
        <w:tc>
          <w:tcPr>
            <w:tcW w:w="761" w:type="dxa"/>
            <w:vAlign w:val="bottom"/>
          </w:tcPr>
          <w:p w:rsidR="00A4689B" w:rsidRPr="00C003FA" w:rsidRDefault="00A4689B" w:rsidP="00A4689B">
            <w:pPr>
              <w:tabs>
                <w:tab w:val="decimal" w:pos="414"/>
              </w:tabs>
              <w:jc w:val="left"/>
              <w:rPr>
                <w:sz w:val="14"/>
              </w:rPr>
            </w:pPr>
            <w:r w:rsidRPr="00C003FA">
              <w:rPr>
                <w:sz w:val="14"/>
              </w:rPr>
              <w:t>2,962.4</w:t>
            </w:r>
          </w:p>
        </w:tc>
        <w:tc>
          <w:tcPr>
            <w:tcW w:w="675" w:type="dxa"/>
            <w:vAlign w:val="bottom"/>
          </w:tcPr>
          <w:p w:rsidR="00A4689B" w:rsidRPr="00C003FA" w:rsidRDefault="00A4689B" w:rsidP="00A4689B">
            <w:pPr>
              <w:tabs>
                <w:tab w:val="decimal" w:pos="187"/>
              </w:tabs>
              <w:ind w:right="-2"/>
              <w:jc w:val="left"/>
              <w:rPr>
                <w:sz w:val="14"/>
              </w:rPr>
            </w:pPr>
            <w:r w:rsidRPr="00C003FA">
              <w:rPr>
                <w:sz w:val="14"/>
              </w:rPr>
              <w:t>39.6</w:t>
            </w:r>
          </w:p>
        </w:tc>
      </w:tr>
      <w:tr w:rsidR="00A4689B" w:rsidRPr="00C003FA" w:rsidTr="00A4689B">
        <w:trPr>
          <w:jc w:val="center"/>
        </w:trPr>
        <w:tc>
          <w:tcPr>
            <w:tcW w:w="2231" w:type="dxa"/>
            <w:vAlign w:val="bottom"/>
          </w:tcPr>
          <w:p w:rsidR="00A4689B" w:rsidRPr="00C003FA" w:rsidRDefault="00A4689B" w:rsidP="00A4689B">
            <w:pPr>
              <w:ind w:left="224" w:hanging="90"/>
              <w:jc w:val="left"/>
              <w:rPr>
                <w:sz w:val="14"/>
              </w:rPr>
            </w:pPr>
            <w:r w:rsidRPr="00C003FA">
              <w:rPr>
                <w:sz w:val="14"/>
              </w:rPr>
              <w:t>Health and Personal Care</w:t>
            </w:r>
          </w:p>
        </w:tc>
        <w:tc>
          <w:tcPr>
            <w:tcW w:w="776" w:type="dxa"/>
            <w:vAlign w:val="bottom"/>
          </w:tcPr>
          <w:p w:rsidR="00A4689B" w:rsidRPr="00C003FA" w:rsidRDefault="00A4689B" w:rsidP="00A4689B">
            <w:pPr>
              <w:tabs>
                <w:tab w:val="decimal" w:pos="411"/>
              </w:tabs>
              <w:jc w:val="left"/>
              <w:rPr>
                <w:sz w:val="14"/>
              </w:rPr>
            </w:pPr>
            <w:r w:rsidRPr="00C003FA">
              <w:rPr>
                <w:sz w:val="14"/>
              </w:rPr>
              <w:t>4,384.1</w:t>
            </w:r>
          </w:p>
        </w:tc>
        <w:tc>
          <w:tcPr>
            <w:tcW w:w="678" w:type="dxa"/>
            <w:vAlign w:val="bottom"/>
          </w:tcPr>
          <w:p w:rsidR="00A4689B" w:rsidRPr="00C003FA" w:rsidRDefault="00A4689B" w:rsidP="00A4689B">
            <w:pPr>
              <w:tabs>
                <w:tab w:val="decimal" w:pos="189"/>
              </w:tabs>
              <w:jc w:val="left"/>
              <w:rPr>
                <w:sz w:val="14"/>
              </w:rPr>
            </w:pPr>
            <w:r w:rsidRPr="00C003FA">
              <w:rPr>
                <w:sz w:val="14"/>
              </w:rPr>
              <w:t>17.5</w:t>
            </w:r>
          </w:p>
        </w:tc>
        <w:tc>
          <w:tcPr>
            <w:tcW w:w="776" w:type="dxa"/>
            <w:vAlign w:val="bottom"/>
          </w:tcPr>
          <w:p w:rsidR="00A4689B" w:rsidRPr="00C003FA" w:rsidRDefault="00A4689B" w:rsidP="00A4689B">
            <w:pPr>
              <w:tabs>
                <w:tab w:val="decimal" w:pos="433"/>
              </w:tabs>
              <w:jc w:val="left"/>
              <w:rPr>
                <w:sz w:val="14"/>
              </w:rPr>
            </w:pPr>
            <w:r w:rsidRPr="00C003FA">
              <w:rPr>
                <w:sz w:val="14"/>
              </w:rPr>
              <w:t>5,064.2</w:t>
            </w:r>
          </w:p>
        </w:tc>
        <w:tc>
          <w:tcPr>
            <w:tcW w:w="676" w:type="dxa"/>
            <w:vAlign w:val="bottom"/>
          </w:tcPr>
          <w:p w:rsidR="00A4689B" w:rsidRPr="00C003FA" w:rsidRDefault="00A4689B" w:rsidP="00A4689B">
            <w:pPr>
              <w:tabs>
                <w:tab w:val="decimal" w:pos="222"/>
              </w:tabs>
              <w:jc w:val="left"/>
              <w:rPr>
                <w:sz w:val="14"/>
              </w:rPr>
            </w:pPr>
            <w:r w:rsidRPr="00C003FA">
              <w:rPr>
                <w:sz w:val="14"/>
              </w:rPr>
              <w:t>15.5</w:t>
            </w:r>
          </w:p>
        </w:tc>
        <w:tc>
          <w:tcPr>
            <w:tcW w:w="776" w:type="dxa"/>
            <w:vAlign w:val="bottom"/>
          </w:tcPr>
          <w:p w:rsidR="00A4689B" w:rsidRPr="00C003FA" w:rsidRDefault="00A4689B" w:rsidP="00A4689B">
            <w:pPr>
              <w:tabs>
                <w:tab w:val="decimal" w:pos="422"/>
              </w:tabs>
              <w:jc w:val="left"/>
              <w:rPr>
                <w:sz w:val="14"/>
              </w:rPr>
            </w:pPr>
            <w:r w:rsidRPr="00C003FA">
              <w:rPr>
                <w:sz w:val="14"/>
              </w:rPr>
              <w:t>5,355.2</w:t>
            </w:r>
          </w:p>
        </w:tc>
        <w:tc>
          <w:tcPr>
            <w:tcW w:w="675" w:type="dxa"/>
            <w:vAlign w:val="bottom"/>
          </w:tcPr>
          <w:p w:rsidR="00A4689B" w:rsidRPr="00C003FA" w:rsidRDefault="00A4689B" w:rsidP="00A4689B">
            <w:pPr>
              <w:tabs>
                <w:tab w:val="decimal" w:pos="192"/>
              </w:tabs>
              <w:jc w:val="left"/>
              <w:rPr>
                <w:sz w:val="14"/>
              </w:rPr>
            </w:pPr>
            <w:r w:rsidRPr="00C003FA">
              <w:rPr>
                <w:sz w:val="14"/>
              </w:rPr>
              <w:t>5.7</w:t>
            </w:r>
          </w:p>
        </w:tc>
        <w:tc>
          <w:tcPr>
            <w:tcW w:w="776" w:type="dxa"/>
            <w:vAlign w:val="bottom"/>
          </w:tcPr>
          <w:p w:rsidR="00A4689B" w:rsidRPr="00C003FA" w:rsidRDefault="00A4689B" w:rsidP="00A4689B">
            <w:pPr>
              <w:tabs>
                <w:tab w:val="decimal" w:pos="411"/>
              </w:tabs>
              <w:jc w:val="left"/>
              <w:rPr>
                <w:sz w:val="14"/>
              </w:rPr>
            </w:pPr>
            <w:r w:rsidRPr="00C003FA">
              <w:rPr>
                <w:sz w:val="14"/>
              </w:rPr>
              <w:t>5,672.5</w:t>
            </w:r>
          </w:p>
        </w:tc>
        <w:tc>
          <w:tcPr>
            <w:tcW w:w="675" w:type="dxa"/>
            <w:vAlign w:val="bottom"/>
          </w:tcPr>
          <w:p w:rsidR="00A4689B" w:rsidRPr="00C003FA" w:rsidRDefault="00A4689B" w:rsidP="00A4689B">
            <w:pPr>
              <w:tabs>
                <w:tab w:val="decimal" w:pos="189"/>
              </w:tabs>
              <w:jc w:val="left"/>
              <w:rPr>
                <w:sz w:val="14"/>
              </w:rPr>
            </w:pPr>
            <w:r w:rsidRPr="00C003FA">
              <w:rPr>
                <w:sz w:val="14"/>
              </w:rPr>
              <w:t>5.9</w:t>
            </w:r>
          </w:p>
        </w:tc>
        <w:tc>
          <w:tcPr>
            <w:tcW w:w="776" w:type="dxa"/>
            <w:vAlign w:val="bottom"/>
          </w:tcPr>
          <w:p w:rsidR="00A4689B" w:rsidRPr="00C003FA" w:rsidRDefault="00A4689B" w:rsidP="00A4689B">
            <w:pPr>
              <w:tabs>
                <w:tab w:val="decimal" w:pos="411"/>
              </w:tabs>
              <w:jc w:val="left"/>
              <w:rPr>
                <w:sz w:val="14"/>
              </w:rPr>
            </w:pPr>
            <w:r w:rsidRPr="00C003FA">
              <w:rPr>
                <w:sz w:val="14"/>
              </w:rPr>
              <w:t>6,015.3</w:t>
            </w:r>
          </w:p>
        </w:tc>
        <w:tc>
          <w:tcPr>
            <w:tcW w:w="675" w:type="dxa"/>
            <w:vAlign w:val="bottom"/>
          </w:tcPr>
          <w:p w:rsidR="00A4689B" w:rsidRPr="00C003FA" w:rsidRDefault="00A4689B" w:rsidP="00A4689B">
            <w:pPr>
              <w:tabs>
                <w:tab w:val="decimal" w:pos="189"/>
              </w:tabs>
              <w:jc w:val="left"/>
              <w:rPr>
                <w:sz w:val="14"/>
              </w:rPr>
            </w:pPr>
            <w:r w:rsidRPr="00C003FA">
              <w:rPr>
                <w:sz w:val="14"/>
              </w:rPr>
              <w:t>6.0</w:t>
            </w:r>
          </w:p>
        </w:tc>
        <w:tc>
          <w:tcPr>
            <w:tcW w:w="755" w:type="dxa"/>
            <w:vAlign w:val="bottom"/>
          </w:tcPr>
          <w:p w:rsidR="00A4689B" w:rsidRPr="00C003FA" w:rsidRDefault="00A4689B" w:rsidP="00A4689B">
            <w:pPr>
              <w:tabs>
                <w:tab w:val="decimal" w:pos="418"/>
              </w:tabs>
              <w:jc w:val="left"/>
              <w:rPr>
                <w:sz w:val="14"/>
              </w:rPr>
            </w:pPr>
            <w:r w:rsidRPr="00C003FA">
              <w:rPr>
                <w:sz w:val="14"/>
              </w:rPr>
              <w:t>813.1</w:t>
            </w:r>
          </w:p>
        </w:tc>
        <w:tc>
          <w:tcPr>
            <w:tcW w:w="761" w:type="dxa"/>
            <w:vAlign w:val="bottom"/>
          </w:tcPr>
          <w:p w:rsidR="00A4689B" w:rsidRPr="00C003FA" w:rsidRDefault="00A4689B" w:rsidP="00A4689B">
            <w:pPr>
              <w:tabs>
                <w:tab w:val="decimal" w:pos="414"/>
              </w:tabs>
              <w:jc w:val="left"/>
              <w:rPr>
                <w:sz w:val="14"/>
              </w:rPr>
            </w:pPr>
            <w:r w:rsidRPr="00C003FA">
              <w:rPr>
                <w:sz w:val="14"/>
              </w:rPr>
              <w:t>894.9</w:t>
            </w:r>
          </w:p>
        </w:tc>
        <w:tc>
          <w:tcPr>
            <w:tcW w:w="675" w:type="dxa"/>
            <w:vAlign w:val="bottom"/>
          </w:tcPr>
          <w:p w:rsidR="00A4689B" w:rsidRPr="00C003FA" w:rsidRDefault="00A4689B" w:rsidP="00A4689B">
            <w:pPr>
              <w:tabs>
                <w:tab w:val="decimal" w:pos="187"/>
              </w:tabs>
              <w:ind w:right="-2"/>
              <w:jc w:val="left"/>
              <w:rPr>
                <w:sz w:val="14"/>
              </w:rPr>
            </w:pPr>
            <w:r w:rsidRPr="00C003FA">
              <w:rPr>
                <w:sz w:val="14"/>
              </w:rPr>
              <w:t>10.1</w:t>
            </w:r>
          </w:p>
        </w:tc>
      </w:tr>
      <w:tr w:rsidR="00A4689B" w:rsidRPr="00C003FA" w:rsidTr="00A4689B">
        <w:trPr>
          <w:jc w:val="center"/>
        </w:trPr>
        <w:tc>
          <w:tcPr>
            <w:tcW w:w="2231" w:type="dxa"/>
            <w:vAlign w:val="bottom"/>
          </w:tcPr>
          <w:p w:rsidR="00A4689B" w:rsidRPr="00C003FA" w:rsidRDefault="00A4689B" w:rsidP="00A4689B">
            <w:pPr>
              <w:ind w:left="224" w:hanging="90"/>
              <w:jc w:val="left"/>
              <w:rPr>
                <w:sz w:val="14"/>
              </w:rPr>
            </w:pPr>
            <w:r w:rsidRPr="00C003FA">
              <w:rPr>
                <w:sz w:val="14"/>
              </w:rPr>
              <w:t>Gas Stations</w:t>
            </w:r>
          </w:p>
        </w:tc>
        <w:tc>
          <w:tcPr>
            <w:tcW w:w="776" w:type="dxa"/>
            <w:vAlign w:val="bottom"/>
          </w:tcPr>
          <w:p w:rsidR="00A4689B" w:rsidRPr="00C003FA" w:rsidRDefault="00A4689B" w:rsidP="00A4689B">
            <w:pPr>
              <w:tabs>
                <w:tab w:val="decimal" w:pos="411"/>
              </w:tabs>
              <w:jc w:val="left"/>
              <w:rPr>
                <w:sz w:val="14"/>
              </w:rPr>
            </w:pPr>
            <w:r w:rsidRPr="00C003FA">
              <w:rPr>
                <w:sz w:val="14"/>
              </w:rPr>
              <w:t>4,815.3</w:t>
            </w:r>
          </w:p>
        </w:tc>
        <w:tc>
          <w:tcPr>
            <w:tcW w:w="678" w:type="dxa"/>
            <w:vAlign w:val="bottom"/>
          </w:tcPr>
          <w:p w:rsidR="00A4689B" w:rsidRPr="00C003FA" w:rsidRDefault="00A4689B" w:rsidP="00A4689B">
            <w:pPr>
              <w:tabs>
                <w:tab w:val="decimal" w:pos="189"/>
              </w:tabs>
              <w:jc w:val="left"/>
              <w:rPr>
                <w:sz w:val="14"/>
              </w:rPr>
            </w:pPr>
            <w:r w:rsidRPr="00C003FA">
              <w:rPr>
                <w:sz w:val="14"/>
              </w:rPr>
              <w:t>-15.6</w:t>
            </w:r>
          </w:p>
        </w:tc>
        <w:tc>
          <w:tcPr>
            <w:tcW w:w="776" w:type="dxa"/>
            <w:vAlign w:val="bottom"/>
          </w:tcPr>
          <w:p w:rsidR="00A4689B" w:rsidRPr="00C003FA" w:rsidRDefault="00A4689B" w:rsidP="00A4689B">
            <w:pPr>
              <w:tabs>
                <w:tab w:val="decimal" w:pos="433"/>
              </w:tabs>
              <w:jc w:val="left"/>
              <w:rPr>
                <w:sz w:val="14"/>
              </w:rPr>
            </w:pPr>
            <w:r w:rsidRPr="00C003FA">
              <w:rPr>
                <w:sz w:val="14"/>
              </w:rPr>
              <w:t>4,307.1</w:t>
            </w:r>
          </w:p>
        </w:tc>
        <w:tc>
          <w:tcPr>
            <w:tcW w:w="676" w:type="dxa"/>
            <w:vAlign w:val="bottom"/>
          </w:tcPr>
          <w:p w:rsidR="00A4689B" w:rsidRPr="00C003FA" w:rsidRDefault="00A4689B" w:rsidP="00A4689B">
            <w:pPr>
              <w:tabs>
                <w:tab w:val="decimal" w:pos="222"/>
              </w:tabs>
              <w:jc w:val="left"/>
              <w:rPr>
                <w:sz w:val="14"/>
              </w:rPr>
            </w:pPr>
            <w:r w:rsidRPr="00C003FA">
              <w:rPr>
                <w:sz w:val="14"/>
              </w:rPr>
              <w:t>-10.6</w:t>
            </w:r>
          </w:p>
        </w:tc>
        <w:tc>
          <w:tcPr>
            <w:tcW w:w="776" w:type="dxa"/>
            <w:vAlign w:val="bottom"/>
          </w:tcPr>
          <w:p w:rsidR="00A4689B" w:rsidRPr="00C003FA" w:rsidRDefault="00A4689B" w:rsidP="00A4689B">
            <w:pPr>
              <w:tabs>
                <w:tab w:val="decimal" w:pos="422"/>
              </w:tabs>
              <w:jc w:val="left"/>
              <w:rPr>
                <w:sz w:val="14"/>
              </w:rPr>
            </w:pPr>
            <w:r w:rsidRPr="00C003FA">
              <w:rPr>
                <w:sz w:val="14"/>
              </w:rPr>
              <w:t>4,528.5</w:t>
            </w:r>
          </w:p>
        </w:tc>
        <w:tc>
          <w:tcPr>
            <w:tcW w:w="675" w:type="dxa"/>
            <w:vAlign w:val="bottom"/>
          </w:tcPr>
          <w:p w:rsidR="00A4689B" w:rsidRPr="00C003FA" w:rsidRDefault="00A4689B" w:rsidP="00A4689B">
            <w:pPr>
              <w:tabs>
                <w:tab w:val="decimal" w:pos="192"/>
              </w:tabs>
              <w:jc w:val="left"/>
              <w:rPr>
                <w:sz w:val="14"/>
              </w:rPr>
            </w:pPr>
            <w:r w:rsidRPr="00C003FA">
              <w:rPr>
                <w:sz w:val="14"/>
              </w:rPr>
              <w:t>5.1</w:t>
            </w:r>
          </w:p>
        </w:tc>
        <w:tc>
          <w:tcPr>
            <w:tcW w:w="776" w:type="dxa"/>
            <w:vAlign w:val="bottom"/>
          </w:tcPr>
          <w:p w:rsidR="00A4689B" w:rsidRPr="00C003FA" w:rsidRDefault="00A4689B" w:rsidP="00A4689B">
            <w:pPr>
              <w:tabs>
                <w:tab w:val="decimal" w:pos="411"/>
              </w:tabs>
              <w:jc w:val="left"/>
              <w:rPr>
                <w:sz w:val="14"/>
              </w:rPr>
            </w:pPr>
            <w:r w:rsidRPr="00C003FA">
              <w:rPr>
                <w:sz w:val="14"/>
              </w:rPr>
              <w:t>4,863.8</w:t>
            </w:r>
          </w:p>
        </w:tc>
        <w:tc>
          <w:tcPr>
            <w:tcW w:w="675" w:type="dxa"/>
            <w:vAlign w:val="bottom"/>
          </w:tcPr>
          <w:p w:rsidR="00A4689B" w:rsidRPr="00C003FA" w:rsidRDefault="00A4689B" w:rsidP="00A4689B">
            <w:pPr>
              <w:tabs>
                <w:tab w:val="decimal" w:pos="189"/>
              </w:tabs>
              <w:jc w:val="left"/>
              <w:rPr>
                <w:sz w:val="14"/>
              </w:rPr>
            </w:pPr>
            <w:r w:rsidRPr="00C003FA">
              <w:rPr>
                <w:sz w:val="14"/>
              </w:rPr>
              <w:t>7.4</w:t>
            </w:r>
          </w:p>
        </w:tc>
        <w:tc>
          <w:tcPr>
            <w:tcW w:w="776" w:type="dxa"/>
            <w:vAlign w:val="bottom"/>
          </w:tcPr>
          <w:p w:rsidR="00A4689B" w:rsidRPr="00C003FA" w:rsidRDefault="00A4689B" w:rsidP="00A4689B">
            <w:pPr>
              <w:tabs>
                <w:tab w:val="decimal" w:pos="411"/>
              </w:tabs>
              <w:jc w:val="left"/>
              <w:rPr>
                <w:sz w:val="14"/>
              </w:rPr>
            </w:pPr>
            <w:r w:rsidRPr="00C003FA">
              <w:rPr>
                <w:sz w:val="14"/>
              </w:rPr>
              <w:t>4,556.7</w:t>
            </w:r>
          </w:p>
        </w:tc>
        <w:tc>
          <w:tcPr>
            <w:tcW w:w="675" w:type="dxa"/>
            <w:vAlign w:val="bottom"/>
          </w:tcPr>
          <w:p w:rsidR="00A4689B" w:rsidRPr="00C003FA" w:rsidRDefault="00A4689B" w:rsidP="00A4689B">
            <w:pPr>
              <w:tabs>
                <w:tab w:val="decimal" w:pos="189"/>
              </w:tabs>
              <w:jc w:val="left"/>
              <w:rPr>
                <w:sz w:val="14"/>
              </w:rPr>
            </w:pPr>
            <w:r w:rsidRPr="00C003FA">
              <w:rPr>
                <w:sz w:val="14"/>
              </w:rPr>
              <w:t>-6.3</w:t>
            </w:r>
          </w:p>
        </w:tc>
        <w:tc>
          <w:tcPr>
            <w:tcW w:w="755" w:type="dxa"/>
            <w:vAlign w:val="bottom"/>
          </w:tcPr>
          <w:p w:rsidR="00A4689B" w:rsidRPr="00C003FA" w:rsidRDefault="00A4689B" w:rsidP="00A4689B">
            <w:pPr>
              <w:tabs>
                <w:tab w:val="decimal" w:pos="418"/>
              </w:tabs>
              <w:jc w:val="left"/>
              <w:rPr>
                <w:sz w:val="14"/>
              </w:rPr>
            </w:pPr>
            <w:r w:rsidRPr="00C003FA">
              <w:rPr>
                <w:sz w:val="14"/>
              </w:rPr>
              <w:t>619.2</w:t>
            </w:r>
          </w:p>
        </w:tc>
        <w:tc>
          <w:tcPr>
            <w:tcW w:w="761" w:type="dxa"/>
            <w:vAlign w:val="bottom"/>
          </w:tcPr>
          <w:p w:rsidR="00A4689B" w:rsidRPr="00C003FA" w:rsidRDefault="00A4689B" w:rsidP="00A4689B">
            <w:pPr>
              <w:tabs>
                <w:tab w:val="decimal" w:pos="414"/>
              </w:tabs>
              <w:jc w:val="left"/>
              <w:rPr>
                <w:sz w:val="14"/>
              </w:rPr>
            </w:pPr>
            <w:r w:rsidRPr="00C003FA">
              <w:rPr>
                <w:sz w:val="14"/>
              </w:rPr>
              <w:t>689.2</w:t>
            </w:r>
          </w:p>
        </w:tc>
        <w:tc>
          <w:tcPr>
            <w:tcW w:w="675" w:type="dxa"/>
            <w:vAlign w:val="bottom"/>
          </w:tcPr>
          <w:p w:rsidR="00A4689B" w:rsidRPr="00C003FA" w:rsidRDefault="00A4689B" w:rsidP="00A4689B">
            <w:pPr>
              <w:tabs>
                <w:tab w:val="decimal" w:pos="187"/>
              </w:tabs>
              <w:ind w:right="-2"/>
              <w:jc w:val="left"/>
              <w:rPr>
                <w:sz w:val="14"/>
              </w:rPr>
            </w:pPr>
            <w:r w:rsidRPr="00C003FA">
              <w:rPr>
                <w:sz w:val="14"/>
              </w:rPr>
              <w:t>11.3</w:t>
            </w:r>
          </w:p>
        </w:tc>
      </w:tr>
      <w:tr w:rsidR="00A4689B" w:rsidRPr="00C003FA" w:rsidTr="00A4689B">
        <w:trPr>
          <w:jc w:val="center"/>
        </w:trPr>
        <w:tc>
          <w:tcPr>
            <w:tcW w:w="2231" w:type="dxa"/>
            <w:vAlign w:val="bottom"/>
          </w:tcPr>
          <w:p w:rsidR="00A4689B" w:rsidRPr="00C003FA" w:rsidRDefault="00A4689B" w:rsidP="00A4689B">
            <w:pPr>
              <w:ind w:left="224" w:hanging="90"/>
              <w:jc w:val="left"/>
              <w:rPr>
                <w:sz w:val="14"/>
              </w:rPr>
            </w:pPr>
            <w:r w:rsidRPr="00C003FA">
              <w:rPr>
                <w:sz w:val="14"/>
              </w:rPr>
              <w:t>Clothing and Accessories</w:t>
            </w:r>
          </w:p>
        </w:tc>
        <w:tc>
          <w:tcPr>
            <w:tcW w:w="776" w:type="dxa"/>
            <w:vAlign w:val="bottom"/>
          </w:tcPr>
          <w:p w:rsidR="00A4689B" w:rsidRPr="00C003FA" w:rsidRDefault="00A4689B" w:rsidP="00A4689B">
            <w:pPr>
              <w:tabs>
                <w:tab w:val="decimal" w:pos="411"/>
              </w:tabs>
              <w:jc w:val="left"/>
              <w:rPr>
                <w:sz w:val="14"/>
              </w:rPr>
            </w:pPr>
            <w:r w:rsidRPr="00C003FA">
              <w:rPr>
                <w:sz w:val="14"/>
              </w:rPr>
              <w:t>3,810.6</w:t>
            </w:r>
          </w:p>
        </w:tc>
        <w:tc>
          <w:tcPr>
            <w:tcW w:w="678" w:type="dxa"/>
            <w:vAlign w:val="bottom"/>
          </w:tcPr>
          <w:p w:rsidR="00A4689B" w:rsidRPr="00C003FA" w:rsidRDefault="00A4689B" w:rsidP="00A4689B">
            <w:pPr>
              <w:tabs>
                <w:tab w:val="decimal" w:pos="189"/>
              </w:tabs>
              <w:jc w:val="left"/>
              <w:rPr>
                <w:sz w:val="14"/>
              </w:rPr>
            </w:pPr>
            <w:r w:rsidRPr="00C003FA">
              <w:rPr>
                <w:sz w:val="14"/>
              </w:rPr>
              <w:t>2.0</w:t>
            </w:r>
          </w:p>
        </w:tc>
        <w:tc>
          <w:tcPr>
            <w:tcW w:w="776" w:type="dxa"/>
            <w:vAlign w:val="bottom"/>
          </w:tcPr>
          <w:p w:rsidR="00A4689B" w:rsidRPr="00C003FA" w:rsidRDefault="00A4689B" w:rsidP="00A4689B">
            <w:pPr>
              <w:tabs>
                <w:tab w:val="decimal" w:pos="433"/>
              </w:tabs>
              <w:jc w:val="left"/>
              <w:rPr>
                <w:sz w:val="14"/>
              </w:rPr>
            </w:pPr>
            <w:r w:rsidRPr="00C003FA">
              <w:rPr>
                <w:sz w:val="14"/>
              </w:rPr>
              <w:t>3,843.5</w:t>
            </w:r>
          </w:p>
        </w:tc>
        <w:tc>
          <w:tcPr>
            <w:tcW w:w="676" w:type="dxa"/>
            <w:vAlign w:val="bottom"/>
          </w:tcPr>
          <w:p w:rsidR="00A4689B" w:rsidRPr="00C003FA" w:rsidRDefault="00A4689B" w:rsidP="00A4689B">
            <w:pPr>
              <w:tabs>
                <w:tab w:val="decimal" w:pos="222"/>
              </w:tabs>
              <w:jc w:val="left"/>
              <w:rPr>
                <w:sz w:val="14"/>
              </w:rPr>
            </w:pPr>
            <w:r w:rsidRPr="00C003FA">
              <w:rPr>
                <w:sz w:val="14"/>
              </w:rPr>
              <w:t>0.9</w:t>
            </w:r>
          </w:p>
        </w:tc>
        <w:tc>
          <w:tcPr>
            <w:tcW w:w="776" w:type="dxa"/>
            <w:vAlign w:val="bottom"/>
          </w:tcPr>
          <w:p w:rsidR="00A4689B" w:rsidRPr="00C003FA" w:rsidRDefault="00A4689B" w:rsidP="00A4689B">
            <w:pPr>
              <w:tabs>
                <w:tab w:val="decimal" w:pos="422"/>
              </w:tabs>
              <w:jc w:val="left"/>
              <w:rPr>
                <w:sz w:val="14"/>
              </w:rPr>
            </w:pPr>
            <w:r w:rsidRPr="00C003FA">
              <w:rPr>
                <w:sz w:val="14"/>
              </w:rPr>
              <w:t>3,848.5</w:t>
            </w:r>
          </w:p>
        </w:tc>
        <w:tc>
          <w:tcPr>
            <w:tcW w:w="675" w:type="dxa"/>
            <w:vAlign w:val="bottom"/>
          </w:tcPr>
          <w:p w:rsidR="00A4689B" w:rsidRPr="00C003FA" w:rsidRDefault="00A4689B" w:rsidP="00A4689B">
            <w:pPr>
              <w:tabs>
                <w:tab w:val="decimal" w:pos="192"/>
              </w:tabs>
              <w:jc w:val="left"/>
              <w:rPr>
                <w:sz w:val="14"/>
              </w:rPr>
            </w:pPr>
            <w:r w:rsidRPr="00C003FA">
              <w:rPr>
                <w:sz w:val="14"/>
              </w:rPr>
              <w:t>0.1</w:t>
            </w:r>
          </w:p>
        </w:tc>
        <w:tc>
          <w:tcPr>
            <w:tcW w:w="776" w:type="dxa"/>
            <w:vAlign w:val="bottom"/>
          </w:tcPr>
          <w:p w:rsidR="00A4689B" w:rsidRPr="00C003FA" w:rsidRDefault="00A4689B" w:rsidP="00A4689B">
            <w:pPr>
              <w:tabs>
                <w:tab w:val="decimal" w:pos="411"/>
              </w:tabs>
              <w:jc w:val="left"/>
              <w:rPr>
                <w:sz w:val="14"/>
              </w:rPr>
            </w:pPr>
            <w:r w:rsidRPr="00C003FA">
              <w:rPr>
                <w:sz w:val="14"/>
              </w:rPr>
              <w:t>3,999.7</w:t>
            </w:r>
          </w:p>
        </w:tc>
        <w:tc>
          <w:tcPr>
            <w:tcW w:w="675" w:type="dxa"/>
            <w:vAlign w:val="bottom"/>
          </w:tcPr>
          <w:p w:rsidR="00A4689B" w:rsidRPr="00C003FA" w:rsidRDefault="00A4689B" w:rsidP="00A4689B">
            <w:pPr>
              <w:tabs>
                <w:tab w:val="decimal" w:pos="189"/>
              </w:tabs>
              <w:jc w:val="left"/>
              <w:rPr>
                <w:sz w:val="14"/>
              </w:rPr>
            </w:pPr>
            <w:r w:rsidRPr="00C003FA">
              <w:rPr>
                <w:sz w:val="14"/>
              </w:rPr>
              <w:t>3.9</w:t>
            </w:r>
          </w:p>
        </w:tc>
        <w:tc>
          <w:tcPr>
            <w:tcW w:w="776" w:type="dxa"/>
            <w:vAlign w:val="bottom"/>
          </w:tcPr>
          <w:p w:rsidR="00A4689B" w:rsidRPr="00C003FA" w:rsidRDefault="00A4689B" w:rsidP="00A4689B">
            <w:pPr>
              <w:tabs>
                <w:tab w:val="decimal" w:pos="411"/>
              </w:tabs>
              <w:jc w:val="left"/>
              <w:rPr>
                <w:sz w:val="14"/>
              </w:rPr>
            </w:pPr>
            <w:r w:rsidRPr="00C003FA">
              <w:rPr>
                <w:sz w:val="14"/>
              </w:rPr>
              <w:t>4,413.8</w:t>
            </w:r>
          </w:p>
        </w:tc>
        <w:tc>
          <w:tcPr>
            <w:tcW w:w="675" w:type="dxa"/>
            <w:vAlign w:val="bottom"/>
          </w:tcPr>
          <w:p w:rsidR="00A4689B" w:rsidRPr="00C003FA" w:rsidRDefault="00A4689B" w:rsidP="00A4689B">
            <w:pPr>
              <w:tabs>
                <w:tab w:val="decimal" w:pos="189"/>
              </w:tabs>
              <w:jc w:val="left"/>
              <w:rPr>
                <w:sz w:val="14"/>
              </w:rPr>
            </w:pPr>
            <w:r w:rsidRPr="00C003FA">
              <w:rPr>
                <w:sz w:val="14"/>
              </w:rPr>
              <w:t>10.4</w:t>
            </w:r>
          </w:p>
        </w:tc>
        <w:tc>
          <w:tcPr>
            <w:tcW w:w="755" w:type="dxa"/>
            <w:vAlign w:val="bottom"/>
          </w:tcPr>
          <w:p w:rsidR="00A4689B" w:rsidRPr="00C003FA" w:rsidRDefault="00A4689B" w:rsidP="00A4689B">
            <w:pPr>
              <w:tabs>
                <w:tab w:val="decimal" w:pos="418"/>
              </w:tabs>
              <w:jc w:val="left"/>
              <w:rPr>
                <w:sz w:val="14"/>
              </w:rPr>
            </w:pPr>
            <w:r w:rsidRPr="00C003FA">
              <w:rPr>
                <w:sz w:val="14"/>
              </w:rPr>
              <w:t>513.6</w:t>
            </w:r>
          </w:p>
        </w:tc>
        <w:tc>
          <w:tcPr>
            <w:tcW w:w="761" w:type="dxa"/>
            <w:vAlign w:val="bottom"/>
          </w:tcPr>
          <w:p w:rsidR="00A4689B" w:rsidRPr="00C003FA" w:rsidRDefault="00A4689B" w:rsidP="00A4689B">
            <w:pPr>
              <w:tabs>
                <w:tab w:val="decimal" w:pos="414"/>
              </w:tabs>
              <w:jc w:val="left"/>
              <w:rPr>
                <w:sz w:val="14"/>
              </w:rPr>
            </w:pPr>
            <w:r w:rsidRPr="00C003FA">
              <w:rPr>
                <w:sz w:val="14"/>
              </w:rPr>
              <w:t>582.0</w:t>
            </w:r>
          </w:p>
        </w:tc>
        <w:tc>
          <w:tcPr>
            <w:tcW w:w="675" w:type="dxa"/>
            <w:vAlign w:val="bottom"/>
          </w:tcPr>
          <w:p w:rsidR="00A4689B" w:rsidRPr="00C003FA" w:rsidRDefault="00A4689B" w:rsidP="00A4689B">
            <w:pPr>
              <w:tabs>
                <w:tab w:val="decimal" w:pos="187"/>
              </w:tabs>
              <w:ind w:right="-2"/>
              <w:jc w:val="left"/>
              <w:rPr>
                <w:sz w:val="14"/>
              </w:rPr>
            </w:pPr>
            <w:r w:rsidRPr="00C003FA">
              <w:rPr>
                <w:sz w:val="14"/>
              </w:rPr>
              <w:t>13.3</w:t>
            </w:r>
          </w:p>
        </w:tc>
      </w:tr>
      <w:tr w:rsidR="00A4689B" w:rsidRPr="00C003FA" w:rsidTr="00A4689B">
        <w:trPr>
          <w:jc w:val="center"/>
        </w:trPr>
        <w:tc>
          <w:tcPr>
            <w:tcW w:w="2231" w:type="dxa"/>
            <w:vAlign w:val="bottom"/>
          </w:tcPr>
          <w:p w:rsidR="00A4689B" w:rsidRPr="00C003FA" w:rsidRDefault="00A4689B" w:rsidP="00A4689B">
            <w:pPr>
              <w:ind w:left="224" w:hanging="90"/>
              <w:jc w:val="left"/>
              <w:rPr>
                <w:sz w:val="14"/>
              </w:rPr>
            </w:pPr>
            <w:r w:rsidRPr="00C003FA">
              <w:rPr>
                <w:sz w:val="14"/>
              </w:rPr>
              <w:t>Sporting/Hobby/Books/Music</w:t>
            </w:r>
          </w:p>
        </w:tc>
        <w:tc>
          <w:tcPr>
            <w:tcW w:w="776" w:type="dxa"/>
            <w:vAlign w:val="bottom"/>
          </w:tcPr>
          <w:p w:rsidR="00A4689B" w:rsidRPr="00C003FA" w:rsidRDefault="00A4689B" w:rsidP="00A4689B">
            <w:pPr>
              <w:tabs>
                <w:tab w:val="decimal" w:pos="411"/>
              </w:tabs>
              <w:jc w:val="left"/>
              <w:rPr>
                <w:sz w:val="14"/>
              </w:rPr>
            </w:pPr>
            <w:r w:rsidRPr="00C003FA">
              <w:rPr>
                <w:sz w:val="14"/>
              </w:rPr>
              <w:t>3,009.1</w:t>
            </w:r>
          </w:p>
        </w:tc>
        <w:tc>
          <w:tcPr>
            <w:tcW w:w="678" w:type="dxa"/>
            <w:vAlign w:val="bottom"/>
          </w:tcPr>
          <w:p w:rsidR="00A4689B" w:rsidRPr="00C003FA" w:rsidRDefault="00A4689B" w:rsidP="00A4689B">
            <w:pPr>
              <w:tabs>
                <w:tab w:val="decimal" w:pos="189"/>
              </w:tabs>
              <w:jc w:val="left"/>
              <w:rPr>
                <w:sz w:val="14"/>
              </w:rPr>
            </w:pPr>
            <w:r w:rsidRPr="00C003FA">
              <w:rPr>
                <w:sz w:val="14"/>
              </w:rPr>
              <w:t>3.0</w:t>
            </w:r>
          </w:p>
        </w:tc>
        <w:tc>
          <w:tcPr>
            <w:tcW w:w="776" w:type="dxa"/>
            <w:vAlign w:val="bottom"/>
          </w:tcPr>
          <w:p w:rsidR="00A4689B" w:rsidRPr="00C003FA" w:rsidRDefault="00A4689B" w:rsidP="00A4689B">
            <w:pPr>
              <w:tabs>
                <w:tab w:val="decimal" w:pos="433"/>
              </w:tabs>
              <w:jc w:val="left"/>
              <w:rPr>
                <w:sz w:val="14"/>
              </w:rPr>
            </w:pPr>
            <w:r w:rsidRPr="00C003FA">
              <w:rPr>
                <w:sz w:val="14"/>
              </w:rPr>
              <w:t>3,021.7</w:t>
            </w:r>
          </w:p>
        </w:tc>
        <w:tc>
          <w:tcPr>
            <w:tcW w:w="676" w:type="dxa"/>
            <w:vAlign w:val="bottom"/>
          </w:tcPr>
          <w:p w:rsidR="00A4689B" w:rsidRPr="00C003FA" w:rsidRDefault="00A4689B" w:rsidP="00A4689B">
            <w:pPr>
              <w:tabs>
                <w:tab w:val="decimal" w:pos="222"/>
              </w:tabs>
              <w:jc w:val="left"/>
              <w:rPr>
                <w:sz w:val="14"/>
              </w:rPr>
            </w:pPr>
            <w:r w:rsidRPr="00C003FA">
              <w:rPr>
                <w:sz w:val="14"/>
              </w:rPr>
              <w:t>0.4</w:t>
            </w:r>
          </w:p>
        </w:tc>
        <w:tc>
          <w:tcPr>
            <w:tcW w:w="776" w:type="dxa"/>
            <w:vAlign w:val="bottom"/>
          </w:tcPr>
          <w:p w:rsidR="00A4689B" w:rsidRPr="00C003FA" w:rsidRDefault="00A4689B" w:rsidP="00A4689B">
            <w:pPr>
              <w:tabs>
                <w:tab w:val="decimal" w:pos="422"/>
              </w:tabs>
              <w:jc w:val="left"/>
              <w:rPr>
                <w:sz w:val="14"/>
              </w:rPr>
            </w:pPr>
            <w:r w:rsidRPr="00C003FA">
              <w:rPr>
                <w:sz w:val="14"/>
              </w:rPr>
              <w:t>2,879.5</w:t>
            </w:r>
          </w:p>
        </w:tc>
        <w:tc>
          <w:tcPr>
            <w:tcW w:w="675" w:type="dxa"/>
            <w:vAlign w:val="bottom"/>
          </w:tcPr>
          <w:p w:rsidR="00A4689B" w:rsidRPr="00C003FA" w:rsidRDefault="00A4689B" w:rsidP="00A4689B">
            <w:pPr>
              <w:tabs>
                <w:tab w:val="decimal" w:pos="192"/>
              </w:tabs>
              <w:jc w:val="left"/>
              <w:rPr>
                <w:sz w:val="14"/>
              </w:rPr>
            </w:pPr>
            <w:r w:rsidRPr="00C003FA">
              <w:rPr>
                <w:sz w:val="14"/>
              </w:rPr>
              <w:t>-4.7</w:t>
            </w:r>
          </w:p>
        </w:tc>
        <w:tc>
          <w:tcPr>
            <w:tcW w:w="776" w:type="dxa"/>
            <w:vAlign w:val="bottom"/>
          </w:tcPr>
          <w:p w:rsidR="00A4689B" w:rsidRPr="00C003FA" w:rsidRDefault="00A4689B" w:rsidP="00A4689B">
            <w:pPr>
              <w:tabs>
                <w:tab w:val="decimal" w:pos="411"/>
              </w:tabs>
              <w:jc w:val="left"/>
              <w:rPr>
                <w:sz w:val="14"/>
              </w:rPr>
            </w:pPr>
            <w:r w:rsidRPr="00C003FA">
              <w:rPr>
                <w:sz w:val="14"/>
              </w:rPr>
              <w:t>2,960.5</w:t>
            </w:r>
          </w:p>
        </w:tc>
        <w:tc>
          <w:tcPr>
            <w:tcW w:w="675" w:type="dxa"/>
            <w:vAlign w:val="bottom"/>
          </w:tcPr>
          <w:p w:rsidR="00A4689B" w:rsidRPr="00C003FA" w:rsidRDefault="00A4689B" w:rsidP="00A4689B">
            <w:pPr>
              <w:tabs>
                <w:tab w:val="decimal" w:pos="189"/>
              </w:tabs>
              <w:jc w:val="left"/>
              <w:rPr>
                <w:sz w:val="14"/>
              </w:rPr>
            </w:pPr>
            <w:r w:rsidRPr="00C003FA">
              <w:rPr>
                <w:sz w:val="14"/>
              </w:rPr>
              <w:t>2.8</w:t>
            </w:r>
          </w:p>
        </w:tc>
        <w:tc>
          <w:tcPr>
            <w:tcW w:w="776" w:type="dxa"/>
            <w:vAlign w:val="bottom"/>
          </w:tcPr>
          <w:p w:rsidR="00A4689B" w:rsidRPr="00C003FA" w:rsidRDefault="00A4689B" w:rsidP="00A4689B">
            <w:pPr>
              <w:tabs>
                <w:tab w:val="decimal" w:pos="411"/>
              </w:tabs>
              <w:jc w:val="left"/>
              <w:rPr>
                <w:sz w:val="14"/>
              </w:rPr>
            </w:pPr>
            <w:r w:rsidRPr="00C003FA">
              <w:rPr>
                <w:sz w:val="14"/>
              </w:rPr>
              <w:t>3,075.7</w:t>
            </w:r>
          </w:p>
        </w:tc>
        <w:tc>
          <w:tcPr>
            <w:tcW w:w="675" w:type="dxa"/>
            <w:vAlign w:val="bottom"/>
          </w:tcPr>
          <w:p w:rsidR="00A4689B" w:rsidRPr="00C003FA" w:rsidRDefault="00A4689B" w:rsidP="00A4689B">
            <w:pPr>
              <w:tabs>
                <w:tab w:val="decimal" w:pos="189"/>
              </w:tabs>
              <w:jc w:val="left"/>
              <w:rPr>
                <w:sz w:val="14"/>
              </w:rPr>
            </w:pPr>
            <w:r w:rsidRPr="00C003FA">
              <w:rPr>
                <w:sz w:val="14"/>
              </w:rPr>
              <w:t>3.9</w:t>
            </w:r>
          </w:p>
        </w:tc>
        <w:tc>
          <w:tcPr>
            <w:tcW w:w="755" w:type="dxa"/>
            <w:vAlign w:val="bottom"/>
          </w:tcPr>
          <w:p w:rsidR="00A4689B" w:rsidRPr="00C003FA" w:rsidRDefault="00A4689B" w:rsidP="00A4689B">
            <w:pPr>
              <w:tabs>
                <w:tab w:val="decimal" w:pos="418"/>
              </w:tabs>
              <w:jc w:val="left"/>
              <w:rPr>
                <w:sz w:val="14"/>
              </w:rPr>
            </w:pPr>
            <w:r w:rsidRPr="00C003FA">
              <w:rPr>
                <w:sz w:val="14"/>
              </w:rPr>
              <w:t>436.3</w:t>
            </w:r>
          </w:p>
        </w:tc>
        <w:tc>
          <w:tcPr>
            <w:tcW w:w="761" w:type="dxa"/>
            <w:vAlign w:val="bottom"/>
          </w:tcPr>
          <w:p w:rsidR="00A4689B" w:rsidRPr="00C003FA" w:rsidRDefault="00A4689B" w:rsidP="00A4689B">
            <w:pPr>
              <w:tabs>
                <w:tab w:val="decimal" w:pos="414"/>
              </w:tabs>
              <w:jc w:val="left"/>
              <w:rPr>
                <w:sz w:val="14"/>
              </w:rPr>
            </w:pPr>
            <w:r w:rsidRPr="00C003FA">
              <w:rPr>
                <w:sz w:val="14"/>
              </w:rPr>
              <w:t>488.5</w:t>
            </w:r>
          </w:p>
        </w:tc>
        <w:tc>
          <w:tcPr>
            <w:tcW w:w="675" w:type="dxa"/>
            <w:vAlign w:val="bottom"/>
          </w:tcPr>
          <w:p w:rsidR="00A4689B" w:rsidRPr="00C003FA" w:rsidRDefault="00A4689B" w:rsidP="00A4689B">
            <w:pPr>
              <w:tabs>
                <w:tab w:val="decimal" w:pos="187"/>
              </w:tabs>
              <w:ind w:right="-2"/>
              <w:jc w:val="left"/>
              <w:rPr>
                <w:sz w:val="14"/>
              </w:rPr>
            </w:pPr>
            <w:r w:rsidRPr="00C003FA">
              <w:rPr>
                <w:sz w:val="14"/>
              </w:rPr>
              <w:t>12.0</w:t>
            </w:r>
          </w:p>
        </w:tc>
      </w:tr>
      <w:tr w:rsidR="00A4689B" w:rsidRPr="00C003FA" w:rsidTr="00A4689B">
        <w:trPr>
          <w:jc w:val="center"/>
        </w:trPr>
        <w:tc>
          <w:tcPr>
            <w:tcW w:w="2231" w:type="dxa"/>
            <w:vAlign w:val="bottom"/>
          </w:tcPr>
          <w:p w:rsidR="00A4689B" w:rsidRPr="00C003FA" w:rsidRDefault="00A4689B" w:rsidP="00A4689B">
            <w:pPr>
              <w:ind w:left="224" w:hanging="90"/>
              <w:jc w:val="left"/>
              <w:rPr>
                <w:sz w:val="14"/>
              </w:rPr>
            </w:pPr>
            <w:r w:rsidRPr="00C003FA">
              <w:rPr>
                <w:sz w:val="14"/>
              </w:rPr>
              <w:t>General Merchandise/Warehouse</w:t>
            </w:r>
          </w:p>
        </w:tc>
        <w:tc>
          <w:tcPr>
            <w:tcW w:w="776" w:type="dxa"/>
            <w:vAlign w:val="bottom"/>
          </w:tcPr>
          <w:p w:rsidR="00A4689B" w:rsidRPr="00C003FA" w:rsidRDefault="00A4689B" w:rsidP="00A4689B">
            <w:pPr>
              <w:tabs>
                <w:tab w:val="decimal" w:pos="411"/>
              </w:tabs>
              <w:jc w:val="left"/>
              <w:rPr>
                <w:sz w:val="14"/>
              </w:rPr>
            </w:pPr>
            <w:r w:rsidRPr="00C003FA">
              <w:rPr>
                <w:sz w:val="14"/>
              </w:rPr>
              <w:t>13,073.8</w:t>
            </w:r>
          </w:p>
        </w:tc>
        <w:tc>
          <w:tcPr>
            <w:tcW w:w="678" w:type="dxa"/>
            <w:vAlign w:val="bottom"/>
          </w:tcPr>
          <w:p w:rsidR="00A4689B" w:rsidRPr="00C003FA" w:rsidRDefault="00A4689B" w:rsidP="00A4689B">
            <w:pPr>
              <w:tabs>
                <w:tab w:val="decimal" w:pos="189"/>
              </w:tabs>
              <w:jc w:val="left"/>
              <w:rPr>
                <w:sz w:val="14"/>
              </w:rPr>
            </w:pPr>
            <w:r w:rsidRPr="00C003FA">
              <w:rPr>
                <w:sz w:val="14"/>
              </w:rPr>
              <w:t>1.7</w:t>
            </w:r>
          </w:p>
        </w:tc>
        <w:tc>
          <w:tcPr>
            <w:tcW w:w="776" w:type="dxa"/>
            <w:vAlign w:val="bottom"/>
          </w:tcPr>
          <w:p w:rsidR="00A4689B" w:rsidRPr="00C003FA" w:rsidRDefault="00A4689B" w:rsidP="00A4689B">
            <w:pPr>
              <w:tabs>
                <w:tab w:val="decimal" w:pos="433"/>
              </w:tabs>
              <w:jc w:val="left"/>
              <w:rPr>
                <w:sz w:val="14"/>
              </w:rPr>
            </w:pPr>
            <w:r w:rsidRPr="00C003FA">
              <w:rPr>
                <w:sz w:val="14"/>
              </w:rPr>
              <w:t>13,152.7</w:t>
            </w:r>
          </w:p>
        </w:tc>
        <w:tc>
          <w:tcPr>
            <w:tcW w:w="676" w:type="dxa"/>
            <w:vAlign w:val="bottom"/>
          </w:tcPr>
          <w:p w:rsidR="00A4689B" w:rsidRPr="00C003FA" w:rsidRDefault="00A4689B" w:rsidP="00A4689B">
            <w:pPr>
              <w:tabs>
                <w:tab w:val="decimal" w:pos="222"/>
              </w:tabs>
              <w:jc w:val="left"/>
              <w:rPr>
                <w:sz w:val="14"/>
              </w:rPr>
            </w:pPr>
            <w:r w:rsidRPr="00C003FA">
              <w:rPr>
                <w:sz w:val="14"/>
              </w:rPr>
              <w:t>0.6</w:t>
            </w:r>
          </w:p>
        </w:tc>
        <w:tc>
          <w:tcPr>
            <w:tcW w:w="776" w:type="dxa"/>
            <w:vAlign w:val="bottom"/>
          </w:tcPr>
          <w:p w:rsidR="00A4689B" w:rsidRPr="00C003FA" w:rsidRDefault="00A4689B" w:rsidP="00A4689B">
            <w:pPr>
              <w:tabs>
                <w:tab w:val="decimal" w:pos="422"/>
              </w:tabs>
              <w:jc w:val="left"/>
              <w:rPr>
                <w:sz w:val="14"/>
              </w:rPr>
            </w:pPr>
            <w:r w:rsidRPr="00C003FA">
              <w:rPr>
                <w:sz w:val="14"/>
              </w:rPr>
              <w:t>13,758.0</w:t>
            </w:r>
          </w:p>
        </w:tc>
        <w:tc>
          <w:tcPr>
            <w:tcW w:w="675" w:type="dxa"/>
            <w:vAlign w:val="bottom"/>
          </w:tcPr>
          <w:p w:rsidR="00A4689B" w:rsidRPr="00C003FA" w:rsidRDefault="00A4689B" w:rsidP="00A4689B">
            <w:pPr>
              <w:tabs>
                <w:tab w:val="decimal" w:pos="192"/>
              </w:tabs>
              <w:jc w:val="left"/>
              <w:rPr>
                <w:sz w:val="14"/>
              </w:rPr>
            </w:pPr>
            <w:r w:rsidRPr="00C003FA">
              <w:rPr>
                <w:sz w:val="14"/>
              </w:rPr>
              <w:t>4.6</w:t>
            </w:r>
          </w:p>
        </w:tc>
        <w:tc>
          <w:tcPr>
            <w:tcW w:w="776" w:type="dxa"/>
            <w:vAlign w:val="bottom"/>
          </w:tcPr>
          <w:p w:rsidR="00A4689B" w:rsidRPr="00C003FA" w:rsidRDefault="00A4689B" w:rsidP="00A4689B">
            <w:pPr>
              <w:tabs>
                <w:tab w:val="decimal" w:pos="411"/>
              </w:tabs>
              <w:jc w:val="left"/>
              <w:rPr>
                <w:sz w:val="14"/>
              </w:rPr>
            </w:pPr>
            <w:r w:rsidRPr="00C003FA">
              <w:rPr>
                <w:sz w:val="14"/>
              </w:rPr>
              <w:t>14,387.6</w:t>
            </w:r>
          </w:p>
        </w:tc>
        <w:tc>
          <w:tcPr>
            <w:tcW w:w="675" w:type="dxa"/>
            <w:vAlign w:val="bottom"/>
          </w:tcPr>
          <w:p w:rsidR="00A4689B" w:rsidRPr="00C003FA" w:rsidRDefault="00A4689B" w:rsidP="00A4689B">
            <w:pPr>
              <w:tabs>
                <w:tab w:val="decimal" w:pos="189"/>
              </w:tabs>
              <w:jc w:val="left"/>
              <w:rPr>
                <w:sz w:val="14"/>
              </w:rPr>
            </w:pPr>
            <w:r w:rsidRPr="00C003FA">
              <w:rPr>
                <w:sz w:val="14"/>
              </w:rPr>
              <w:t>4.6</w:t>
            </w:r>
          </w:p>
        </w:tc>
        <w:tc>
          <w:tcPr>
            <w:tcW w:w="776" w:type="dxa"/>
            <w:vAlign w:val="bottom"/>
          </w:tcPr>
          <w:p w:rsidR="00A4689B" w:rsidRPr="00C003FA" w:rsidRDefault="00A4689B" w:rsidP="00A4689B">
            <w:pPr>
              <w:tabs>
                <w:tab w:val="decimal" w:pos="411"/>
              </w:tabs>
              <w:jc w:val="left"/>
              <w:rPr>
                <w:sz w:val="14"/>
              </w:rPr>
            </w:pPr>
            <w:r w:rsidRPr="00C003FA">
              <w:rPr>
                <w:sz w:val="14"/>
              </w:rPr>
              <w:t>14,788.7</w:t>
            </w:r>
          </w:p>
        </w:tc>
        <w:tc>
          <w:tcPr>
            <w:tcW w:w="675" w:type="dxa"/>
            <w:vAlign w:val="bottom"/>
          </w:tcPr>
          <w:p w:rsidR="00A4689B" w:rsidRPr="00C003FA" w:rsidRDefault="00A4689B" w:rsidP="00A4689B">
            <w:pPr>
              <w:tabs>
                <w:tab w:val="decimal" w:pos="189"/>
              </w:tabs>
              <w:jc w:val="left"/>
              <w:rPr>
                <w:sz w:val="14"/>
              </w:rPr>
            </w:pPr>
            <w:r w:rsidRPr="00C003FA">
              <w:rPr>
                <w:sz w:val="14"/>
              </w:rPr>
              <w:t>2.8</w:t>
            </w:r>
          </w:p>
        </w:tc>
        <w:tc>
          <w:tcPr>
            <w:tcW w:w="755" w:type="dxa"/>
            <w:vAlign w:val="bottom"/>
          </w:tcPr>
          <w:p w:rsidR="00A4689B" w:rsidRPr="00C003FA" w:rsidRDefault="00A4689B" w:rsidP="00A4689B">
            <w:pPr>
              <w:tabs>
                <w:tab w:val="decimal" w:pos="418"/>
              </w:tabs>
              <w:jc w:val="left"/>
              <w:rPr>
                <w:sz w:val="14"/>
              </w:rPr>
            </w:pPr>
            <w:r w:rsidRPr="00C003FA">
              <w:rPr>
                <w:sz w:val="14"/>
              </w:rPr>
              <w:t>1,999.9</w:t>
            </w:r>
          </w:p>
        </w:tc>
        <w:tc>
          <w:tcPr>
            <w:tcW w:w="761" w:type="dxa"/>
            <w:vAlign w:val="bottom"/>
          </w:tcPr>
          <w:p w:rsidR="00A4689B" w:rsidRPr="00C003FA" w:rsidRDefault="00A4689B" w:rsidP="00A4689B">
            <w:pPr>
              <w:tabs>
                <w:tab w:val="decimal" w:pos="414"/>
              </w:tabs>
              <w:jc w:val="left"/>
              <w:rPr>
                <w:sz w:val="14"/>
              </w:rPr>
            </w:pPr>
            <w:r w:rsidRPr="00C003FA">
              <w:rPr>
                <w:sz w:val="14"/>
              </w:rPr>
              <w:t>2,197.2</w:t>
            </w:r>
          </w:p>
        </w:tc>
        <w:tc>
          <w:tcPr>
            <w:tcW w:w="675" w:type="dxa"/>
            <w:vAlign w:val="bottom"/>
          </w:tcPr>
          <w:p w:rsidR="00A4689B" w:rsidRPr="00C003FA" w:rsidRDefault="00A4689B" w:rsidP="00A4689B">
            <w:pPr>
              <w:tabs>
                <w:tab w:val="decimal" w:pos="187"/>
              </w:tabs>
              <w:ind w:right="-2"/>
              <w:jc w:val="left"/>
              <w:rPr>
                <w:sz w:val="14"/>
              </w:rPr>
            </w:pPr>
            <w:r w:rsidRPr="00C003FA">
              <w:rPr>
                <w:sz w:val="14"/>
              </w:rPr>
              <w:t>9.9</w:t>
            </w:r>
          </w:p>
        </w:tc>
      </w:tr>
      <w:tr w:rsidR="00A4689B" w:rsidRPr="00C003FA" w:rsidTr="00A4689B">
        <w:trPr>
          <w:jc w:val="center"/>
        </w:trPr>
        <w:tc>
          <w:tcPr>
            <w:tcW w:w="2231" w:type="dxa"/>
            <w:vAlign w:val="bottom"/>
          </w:tcPr>
          <w:p w:rsidR="00A4689B" w:rsidRPr="00C003FA" w:rsidRDefault="00A4689B" w:rsidP="00A4689B">
            <w:pPr>
              <w:ind w:left="224" w:hanging="90"/>
              <w:jc w:val="left"/>
              <w:rPr>
                <w:sz w:val="14"/>
              </w:rPr>
            </w:pPr>
            <w:r w:rsidRPr="00C003FA">
              <w:rPr>
                <w:sz w:val="14"/>
              </w:rPr>
              <w:t>Misc. Store Retailers</w:t>
            </w:r>
          </w:p>
        </w:tc>
        <w:tc>
          <w:tcPr>
            <w:tcW w:w="776" w:type="dxa"/>
            <w:vAlign w:val="bottom"/>
          </w:tcPr>
          <w:p w:rsidR="00A4689B" w:rsidRPr="00C003FA" w:rsidRDefault="00A4689B" w:rsidP="00A4689B">
            <w:pPr>
              <w:tabs>
                <w:tab w:val="decimal" w:pos="411"/>
              </w:tabs>
              <w:jc w:val="left"/>
              <w:rPr>
                <w:sz w:val="14"/>
              </w:rPr>
            </w:pPr>
            <w:r w:rsidRPr="00C003FA">
              <w:rPr>
                <w:sz w:val="14"/>
              </w:rPr>
              <w:t>5,256.5</w:t>
            </w:r>
          </w:p>
        </w:tc>
        <w:tc>
          <w:tcPr>
            <w:tcW w:w="678" w:type="dxa"/>
            <w:vAlign w:val="bottom"/>
          </w:tcPr>
          <w:p w:rsidR="00A4689B" w:rsidRPr="00C003FA" w:rsidRDefault="00A4689B" w:rsidP="00A4689B">
            <w:pPr>
              <w:tabs>
                <w:tab w:val="decimal" w:pos="189"/>
              </w:tabs>
              <w:jc w:val="left"/>
              <w:rPr>
                <w:sz w:val="14"/>
              </w:rPr>
            </w:pPr>
            <w:r w:rsidRPr="00C003FA">
              <w:rPr>
                <w:sz w:val="14"/>
              </w:rPr>
              <w:t>10.4</w:t>
            </w:r>
          </w:p>
        </w:tc>
        <w:tc>
          <w:tcPr>
            <w:tcW w:w="776" w:type="dxa"/>
            <w:vAlign w:val="bottom"/>
          </w:tcPr>
          <w:p w:rsidR="00A4689B" w:rsidRPr="00C003FA" w:rsidRDefault="00A4689B" w:rsidP="00A4689B">
            <w:pPr>
              <w:tabs>
                <w:tab w:val="decimal" w:pos="433"/>
              </w:tabs>
              <w:jc w:val="left"/>
              <w:rPr>
                <w:sz w:val="14"/>
              </w:rPr>
            </w:pPr>
            <w:r w:rsidRPr="00C003FA">
              <w:rPr>
                <w:sz w:val="14"/>
              </w:rPr>
              <w:t>5,767.0</w:t>
            </w:r>
          </w:p>
        </w:tc>
        <w:tc>
          <w:tcPr>
            <w:tcW w:w="676" w:type="dxa"/>
            <w:vAlign w:val="bottom"/>
          </w:tcPr>
          <w:p w:rsidR="00A4689B" w:rsidRPr="00C003FA" w:rsidRDefault="00A4689B" w:rsidP="00A4689B">
            <w:pPr>
              <w:tabs>
                <w:tab w:val="decimal" w:pos="222"/>
              </w:tabs>
              <w:jc w:val="left"/>
              <w:rPr>
                <w:sz w:val="14"/>
              </w:rPr>
            </w:pPr>
            <w:r w:rsidRPr="00C003FA">
              <w:rPr>
                <w:sz w:val="14"/>
              </w:rPr>
              <w:t>9.7</w:t>
            </w:r>
          </w:p>
        </w:tc>
        <w:tc>
          <w:tcPr>
            <w:tcW w:w="776" w:type="dxa"/>
            <w:vAlign w:val="bottom"/>
          </w:tcPr>
          <w:p w:rsidR="00A4689B" w:rsidRPr="00C003FA" w:rsidRDefault="00A4689B" w:rsidP="00A4689B">
            <w:pPr>
              <w:tabs>
                <w:tab w:val="decimal" w:pos="422"/>
              </w:tabs>
              <w:jc w:val="left"/>
              <w:rPr>
                <w:sz w:val="14"/>
              </w:rPr>
            </w:pPr>
            <w:r w:rsidRPr="00C003FA">
              <w:rPr>
                <w:sz w:val="14"/>
              </w:rPr>
              <w:t>6,529.4</w:t>
            </w:r>
          </w:p>
        </w:tc>
        <w:tc>
          <w:tcPr>
            <w:tcW w:w="675" w:type="dxa"/>
            <w:vAlign w:val="bottom"/>
          </w:tcPr>
          <w:p w:rsidR="00A4689B" w:rsidRPr="00C003FA" w:rsidRDefault="00A4689B" w:rsidP="00A4689B">
            <w:pPr>
              <w:tabs>
                <w:tab w:val="decimal" w:pos="192"/>
              </w:tabs>
              <w:jc w:val="left"/>
              <w:rPr>
                <w:sz w:val="14"/>
              </w:rPr>
            </w:pPr>
            <w:r w:rsidRPr="00C003FA">
              <w:rPr>
                <w:sz w:val="14"/>
              </w:rPr>
              <w:t>13.2</w:t>
            </w:r>
          </w:p>
        </w:tc>
        <w:tc>
          <w:tcPr>
            <w:tcW w:w="776" w:type="dxa"/>
            <w:vAlign w:val="bottom"/>
          </w:tcPr>
          <w:p w:rsidR="00A4689B" w:rsidRPr="00C003FA" w:rsidRDefault="00A4689B" w:rsidP="00A4689B">
            <w:pPr>
              <w:tabs>
                <w:tab w:val="decimal" w:pos="411"/>
              </w:tabs>
              <w:jc w:val="left"/>
              <w:rPr>
                <w:sz w:val="14"/>
              </w:rPr>
            </w:pPr>
            <w:r w:rsidRPr="00C003FA">
              <w:rPr>
                <w:sz w:val="14"/>
              </w:rPr>
              <w:t>6,645.2</w:t>
            </w:r>
          </w:p>
        </w:tc>
        <w:tc>
          <w:tcPr>
            <w:tcW w:w="675" w:type="dxa"/>
            <w:vAlign w:val="bottom"/>
          </w:tcPr>
          <w:p w:rsidR="00A4689B" w:rsidRPr="00C003FA" w:rsidRDefault="00A4689B" w:rsidP="00A4689B">
            <w:pPr>
              <w:tabs>
                <w:tab w:val="decimal" w:pos="189"/>
              </w:tabs>
              <w:jc w:val="left"/>
              <w:rPr>
                <w:sz w:val="14"/>
              </w:rPr>
            </w:pPr>
            <w:r w:rsidRPr="00C003FA">
              <w:rPr>
                <w:sz w:val="14"/>
              </w:rPr>
              <w:t>1.8</w:t>
            </w:r>
          </w:p>
        </w:tc>
        <w:tc>
          <w:tcPr>
            <w:tcW w:w="776" w:type="dxa"/>
            <w:vAlign w:val="bottom"/>
          </w:tcPr>
          <w:p w:rsidR="00A4689B" w:rsidRPr="00C003FA" w:rsidRDefault="00A4689B" w:rsidP="00A4689B">
            <w:pPr>
              <w:tabs>
                <w:tab w:val="decimal" w:pos="411"/>
              </w:tabs>
              <w:jc w:val="left"/>
              <w:rPr>
                <w:sz w:val="14"/>
              </w:rPr>
            </w:pPr>
            <w:r w:rsidRPr="00C003FA">
              <w:rPr>
                <w:sz w:val="14"/>
              </w:rPr>
              <w:t>7,214.1</w:t>
            </w:r>
          </w:p>
        </w:tc>
        <w:tc>
          <w:tcPr>
            <w:tcW w:w="675" w:type="dxa"/>
            <w:vAlign w:val="bottom"/>
          </w:tcPr>
          <w:p w:rsidR="00A4689B" w:rsidRPr="00C003FA" w:rsidRDefault="00A4689B" w:rsidP="00A4689B">
            <w:pPr>
              <w:tabs>
                <w:tab w:val="decimal" w:pos="189"/>
              </w:tabs>
              <w:jc w:val="left"/>
              <w:rPr>
                <w:sz w:val="14"/>
              </w:rPr>
            </w:pPr>
            <w:r w:rsidRPr="00C003FA">
              <w:rPr>
                <w:sz w:val="14"/>
              </w:rPr>
              <w:t>8.6</w:t>
            </w:r>
          </w:p>
        </w:tc>
        <w:tc>
          <w:tcPr>
            <w:tcW w:w="755" w:type="dxa"/>
            <w:vAlign w:val="bottom"/>
          </w:tcPr>
          <w:p w:rsidR="00A4689B" w:rsidRPr="00C003FA" w:rsidRDefault="00A4689B" w:rsidP="00A4689B">
            <w:pPr>
              <w:tabs>
                <w:tab w:val="decimal" w:pos="418"/>
              </w:tabs>
              <w:jc w:val="left"/>
              <w:rPr>
                <w:sz w:val="14"/>
              </w:rPr>
            </w:pPr>
            <w:r w:rsidRPr="00C003FA">
              <w:rPr>
                <w:sz w:val="14"/>
              </w:rPr>
              <w:t>864.0</w:t>
            </w:r>
          </w:p>
        </w:tc>
        <w:tc>
          <w:tcPr>
            <w:tcW w:w="761" w:type="dxa"/>
            <w:vAlign w:val="bottom"/>
          </w:tcPr>
          <w:p w:rsidR="00A4689B" w:rsidRPr="00C003FA" w:rsidRDefault="00A4689B" w:rsidP="00A4689B">
            <w:pPr>
              <w:tabs>
                <w:tab w:val="decimal" w:pos="414"/>
              </w:tabs>
              <w:jc w:val="left"/>
              <w:rPr>
                <w:sz w:val="14"/>
              </w:rPr>
            </w:pPr>
            <w:r w:rsidRPr="00C003FA">
              <w:rPr>
                <w:sz w:val="14"/>
              </w:rPr>
              <w:t>933.1</w:t>
            </w:r>
          </w:p>
        </w:tc>
        <w:tc>
          <w:tcPr>
            <w:tcW w:w="675" w:type="dxa"/>
            <w:vAlign w:val="bottom"/>
          </w:tcPr>
          <w:p w:rsidR="00A4689B" w:rsidRPr="00C003FA" w:rsidRDefault="00A4689B" w:rsidP="00A4689B">
            <w:pPr>
              <w:tabs>
                <w:tab w:val="decimal" w:pos="187"/>
              </w:tabs>
              <w:ind w:right="-2"/>
              <w:jc w:val="left"/>
              <w:rPr>
                <w:sz w:val="14"/>
              </w:rPr>
            </w:pPr>
            <w:r w:rsidRPr="00C003FA">
              <w:rPr>
                <w:sz w:val="14"/>
              </w:rPr>
              <w:t>8.0</w:t>
            </w:r>
          </w:p>
        </w:tc>
      </w:tr>
      <w:tr w:rsidR="00A4689B" w:rsidRPr="00C003FA" w:rsidTr="00A4689B">
        <w:trPr>
          <w:jc w:val="center"/>
        </w:trPr>
        <w:tc>
          <w:tcPr>
            <w:tcW w:w="2231" w:type="dxa"/>
            <w:vAlign w:val="bottom"/>
          </w:tcPr>
          <w:p w:rsidR="00A4689B" w:rsidRPr="00C003FA" w:rsidRDefault="00A4689B" w:rsidP="00A4689B">
            <w:pPr>
              <w:ind w:left="224" w:hanging="90"/>
              <w:jc w:val="left"/>
              <w:rPr>
                <w:sz w:val="14"/>
              </w:rPr>
            </w:pPr>
            <w:r w:rsidRPr="00C003FA">
              <w:rPr>
                <w:sz w:val="14"/>
              </w:rPr>
              <w:t>Non-Store Retailers</w:t>
            </w:r>
          </w:p>
        </w:tc>
        <w:tc>
          <w:tcPr>
            <w:tcW w:w="776" w:type="dxa"/>
            <w:vAlign w:val="bottom"/>
          </w:tcPr>
          <w:p w:rsidR="00A4689B" w:rsidRPr="00C003FA" w:rsidRDefault="00A4689B" w:rsidP="00A4689B">
            <w:pPr>
              <w:tabs>
                <w:tab w:val="decimal" w:pos="411"/>
              </w:tabs>
              <w:jc w:val="left"/>
              <w:rPr>
                <w:sz w:val="14"/>
                <w:u w:val="single"/>
              </w:rPr>
            </w:pPr>
            <w:r w:rsidRPr="00C003FA">
              <w:rPr>
                <w:sz w:val="14"/>
                <w:u w:val="single"/>
              </w:rPr>
              <w:t xml:space="preserve">  1,742.1</w:t>
            </w:r>
          </w:p>
        </w:tc>
        <w:tc>
          <w:tcPr>
            <w:tcW w:w="678" w:type="dxa"/>
            <w:vAlign w:val="bottom"/>
          </w:tcPr>
          <w:p w:rsidR="00A4689B" w:rsidRPr="00C003FA" w:rsidRDefault="00A4689B" w:rsidP="00A4689B">
            <w:pPr>
              <w:tabs>
                <w:tab w:val="decimal" w:pos="189"/>
              </w:tabs>
              <w:jc w:val="left"/>
              <w:rPr>
                <w:sz w:val="14"/>
                <w:u w:val="single"/>
              </w:rPr>
            </w:pPr>
            <w:r w:rsidRPr="00C003FA">
              <w:rPr>
                <w:sz w:val="14"/>
                <w:u w:val="single"/>
              </w:rPr>
              <w:t>2.7</w:t>
            </w:r>
          </w:p>
        </w:tc>
        <w:tc>
          <w:tcPr>
            <w:tcW w:w="776" w:type="dxa"/>
            <w:vAlign w:val="bottom"/>
          </w:tcPr>
          <w:p w:rsidR="00A4689B" w:rsidRPr="00C003FA" w:rsidRDefault="00A4689B" w:rsidP="00A4689B">
            <w:pPr>
              <w:tabs>
                <w:tab w:val="decimal" w:pos="433"/>
              </w:tabs>
              <w:jc w:val="left"/>
              <w:rPr>
                <w:sz w:val="14"/>
                <w:u w:val="single"/>
              </w:rPr>
            </w:pPr>
            <w:r w:rsidRPr="00C003FA">
              <w:rPr>
                <w:sz w:val="14"/>
                <w:u w:val="single"/>
              </w:rPr>
              <w:t>2,286.3</w:t>
            </w:r>
          </w:p>
        </w:tc>
        <w:tc>
          <w:tcPr>
            <w:tcW w:w="676" w:type="dxa"/>
            <w:vAlign w:val="bottom"/>
          </w:tcPr>
          <w:p w:rsidR="00A4689B" w:rsidRPr="00C003FA" w:rsidRDefault="00A4689B" w:rsidP="00A4689B">
            <w:pPr>
              <w:tabs>
                <w:tab w:val="decimal" w:pos="222"/>
              </w:tabs>
              <w:jc w:val="left"/>
              <w:rPr>
                <w:sz w:val="14"/>
                <w:u w:val="single"/>
              </w:rPr>
            </w:pPr>
            <w:r w:rsidRPr="00C003FA">
              <w:rPr>
                <w:sz w:val="14"/>
                <w:u w:val="single"/>
              </w:rPr>
              <w:t>31.2</w:t>
            </w:r>
          </w:p>
        </w:tc>
        <w:tc>
          <w:tcPr>
            <w:tcW w:w="776" w:type="dxa"/>
            <w:vAlign w:val="bottom"/>
          </w:tcPr>
          <w:p w:rsidR="00A4689B" w:rsidRPr="00C003FA" w:rsidRDefault="00A4689B" w:rsidP="00A4689B">
            <w:pPr>
              <w:tabs>
                <w:tab w:val="decimal" w:pos="422"/>
              </w:tabs>
              <w:jc w:val="left"/>
              <w:rPr>
                <w:sz w:val="14"/>
                <w:u w:val="single"/>
              </w:rPr>
            </w:pPr>
            <w:r w:rsidRPr="00C003FA">
              <w:rPr>
                <w:sz w:val="14"/>
                <w:u w:val="single"/>
              </w:rPr>
              <w:t xml:space="preserve">  2,921.3</w:t>
            </w:r>
          </w:p>
        </w:tc>
        <w:tc>
          <w:tcPr>
            <w:tcW w:w="675" w:type="dxa"/>
            <w:vAlign w:val="bottom"/>
          </w:tcPr>
          <w:p w:rsidR="00A4689B" w:rsidRPr="00C003FA" w:rsidRDefault="00A4689B" w:rsidP="00A4689B">
            <w:pPr>
              <w:tabs>
                <w:tab w:val="decimal" w:pos="192"/>
              </w:tabs>
              <w:jc w:val="left"/>
              <w:rPr>
                <w:sz w:val="14"/>
                <w:u w:val="single"/>
              </w:rPr>
            </w:pPr>
            <w:r w:rsidRPr="00C003FA">
              <w:rPr>
                <w:sz w:val="14"/>
                <w:u w:val="single"/>
              </w:rPr>
              <w:t>27.8</w:t>
            </w:r>
          </w:p>
        </w:tc>
        <w:tc>
          <w:tcPr>
            <w:tcW w:w="776" w:type="dxa"/>
            <w:vAlign w:val="bottom"/>
          </w:tcPr>
          <w:p w:rsidR="00A4689B" w:rsidRPr="00C003FA" w:rsidRDefault="00A4689B" w:rsidP="00A4689B">
            <w:pPr>
              <w:tabs>
                <w:tab w:val="decimal" w:pos="411"/>
              </w:tabs>
              <w:jc w:val="left"/>
              <w:rPr>
                <w:sz w:val="14"/>
                <w:u w:val="single"/>
              </w:rPr>
            </w:pPr>
            <w:r w:rsidRPr="00C003FA">
              <w:rPr>
                <w:sz w:val="14"/>
                <w:u w:val="single"/>
              </w:rPr>
              <w:t xml:space="preserve">  3,279.3</w:t>
            </w:r>
          </w:p>
        </w:tc>
        <w:tc>
          <w:tcPr>
            <w:tcW w:w="675" w:type="dxa"/>
            <w:vAlign w:val="bottom"/>
          </w:tcPr>
          <w:p w:rsidR="00A4689B" w:rsidRPr="00C003FA" w:rsidRDefault="00A4689B" w:rsidP="00A4689B">
            <w:pPr>
              <w:tabs>
                <w:tab w:val="decimal" w:pos="189"/>
              </w:tabs>
              <w:jc w:val="left"/>
              <w:rPr>
                <w:sz w:val="14"/>
                <w:u w:val="single"/>
              </w:rPr>
            </w:pPr>
            <w:r w:rsidRPr="00C003FA">
              <w:rPr>
                <w:sz w:val="14"/>
                <w:u w:val="single"/>
              </w:rPr>
              <w:t>12.3</w:t>
            </w:r>
          </w:p>
        </w:tc>
        <w:tc>
          <w:tcPr>
            <w:tcW w:w="776" w:type="dxa"/>
            <w:vAlign w:val="bottom"/>
          </w:tcPr>
          <w:p w:rsidR="00A4689B" w:rsidRPr="00C003FA" w:rsidRDefault="00A4689B" w:rsidP="00A4689B">
            <w:pPr>
              <w:tabs>
                <w:tab w:val="decimal" w:pos="411"/>
              </w:tabs>
              <w:jc w:val="left"/>
              <w:rPr>
                <w:sz w:val="14"/>
                <w:u w:val="single"/>
              </w:rPr>
            </w:pPr>
            <w:r w:rsidRPr="00C003FA">
              <w:rPr>
                <w:sz w:val="14"/>
                <w:u w:val="single"/>
              </w:rPr>
              <w:t xml:space="preserve">   5,054.7</w:t>
            </w:r>
          </w:p>
        </w:tc>
        <w:tc>
          <w:tcPr>
            <w:tcW w:w="675" w:type="dxa"/>
            <w:vAlign w:val="bottom"/>
          </w:tcPr>
          <w:p w:rsidR="00A4689B" w:rsidRPr="00C003FA" w:rsidRDefault="00A4689B" w:rsidP="00A4689B">
            <w:pPr>
              <w:tabs>
                <w:tab w:val="decimal" w:pos="189"/>
              </w:tabs>
              <w:jc w:val="left"/>
              <w:rPr>
                <w:sz w:val="14"/>
                <w:u w:val="single"/>
              </w:rPr>
            </w:pPr>
            <w:r w:rsidRPr="00C003FA">
              <w:rPr>
                <w:sz w:val="14"/>
                <w:u w:val="single"/>
              </w:rPr>
              <w:t>54.1</w:t>
            </w:r>
          </w:p>
        </w:tc>
        <w:tc>
          <w:tcPr>
            <w:tcW w:w="755" w:type="dxa"/>
            <w:vAlign w:val="bottom"/>
          </w:tcPr>
          <w:p w:rsidR="00A4689B" w:rsidRPr="00C003FA" w:rsidRDefault="00A4689B" w:rsidP="00A4689B">
            <w:pPr>
              <w:tabs>
                <w:tab w:val="decimal" w:pos="418"/>
              </w:tabs>
              <w:jc w:val="left"/>
              <w:rPr>
                <w:sz w:val="14"/>
                <w:u w:val="single"/>
              </w:rPr>
            </w:pPr>
            <w:r w:rsidRPr="00C003FA">
              <w:rPr>
                <w:sz w:val="14"/>
                <w:u w:val="single"/>
              </w:rPr>
              <w:t>639.6</w:t>
            </w:r>
          </w:p>
        </w:tc>
        <w:tc>
          <w:tcPr>
            <w:tcW w:w="761" w:type="dxa"/>
            <w:vAlign w:val="bottom"/>
          </w:tcPr>
          <w:p w:rsidR="00A4689B" w:rsidRPr="00C003FA" w:rsidRDefault="00A4689B" w:rsidP="00A4689B">
            <w:pPr>
              <w:tabs>
                <w:tab w:val="decimal" w:pos="414"/>
              </w:tabs>
              <w:jc w:val="left"/>
              <w:rPr>
                <w:sz w:val="14"/>
                <w:u w:val="single"/>
              </w:rPr>
            </w:pPr>
            <w:r w:rsidRPr="00C003FA">
              <w:rPr>
                <w:sz w:val="14"/>
                <w:u w:val="single"/>
              </w:rPr>
              <w:t xml:space="preserve">  1,347.5</w:t>
            </w:r>
          </w:p>
        </w:tc>
        <w:tc>
          <w:tcPr>
            <w:tcW w:w="675" w:type="dxa"/>
            <w:vAlign w:val="bottom"/>
          </w:tcPr>
          <w:p w:rsidR="00A4689B" w:rsidRPr="00C003FA" w:rsidRDefault="00A4689B" w:rsidP="00A4689B">
            <w:pPr>
              <w:tabs>
                <w:tab w:val="decimal" w:pos="187"/>
              </w:tabs>
              <w:ind w:right="-2"/>
              <w:jc w:val="left"/>
              <w:rPr>
                <w:sz w:val="14"/>
                <w:u w:val="single"/>
              </w:rPr>
            </w:pPr>
            <w:r w:rsidRPr="00C003FA">
              <w:rPr>
                <w:sz w:val="14"/>
                <w:u w:val="single"/>
              </w:rPr>
              <w:t>110.7</w:t>
            </w:r>
          </w:p>
        </w:tc>
      </w:tr>
      <w:tr w:rsidR="00A4689B" w:rsidRPr="00C003FA" w:rsidTr="00A4689B">
        <w:trPr>
          <w:jc w:val="center"/>
        </w:trPr>
        <w:tc>
          <w:tcPr>
            <w:tcW w:w="2231" w:type="dxa"/>
            <w:vAlign w:val="bottom"/>
          </w:tcPr>
          <w:p w:rsidR="00A4689B" w:rsidRPr="00C003FA" w:rsidRDefault="00A4689B" w:rsidP="00A4689B">
            <w:pPr>
              <w:ind w:left="314"/>
              <w:jc w:val="left"/>
              <w:rPr>
                <w:sz w:val="14"/>
              </w:rPr>
            </w:pPr>
            <w:r w:rsidRPr="00C003FA">
              <w:rPr>
                <w:sz w:val="14"/>
              </w:rPr>
              <w:t>Total Retail Trade</w:t>
            </w:r>
          </w:p>
        </w:tc>
        <w:tc>
          <w:tcPr>
            <w:tcW w:w="776" w:type="dxa"/>
            <w:vAlign w:val="bottom"/>
          </w:tcPr>
          <w:p w:rsidR="00A4689B" w:rsidRPr="00C003FA" w:rsidRDefault="00A4689B" w:rsidP="00A4689B">
            <w:pPr>
              <w:tabs>
                <w:tab w:val="decimal" w:pos="411"/>
              </w:tabs>
              <w:jc w:val="left"/>
              <w:rPr>
                <w:sz w:val="14"/>
              </w:rPr>
            </w:pPr>
            <w:r w:rsidRPr="00C003FA">
              <w:rPr>
                <w:sz w:val="14"/>
              </w:rPr>
              <w:t>83,335.5</w:t>
            </w:r>
          </w:p>
        </w:tc>
        <w:tc>
          <w:tcPr>
            <w:tcW w:w="678" w:type="dxa"/>
            <w:vAlign w:val="bottom"/>
          </w:tcPr>
          <w:p w:rsidR="00A4689B" w:rsidRPr="00C003FA" w:rsidRDefault="00A4689B" w:rsidP="00A4689B">
            <w:pPr>
              <w:tabs>
                <w:tab w:val="decimal" w:pos="189"/>
              </w:tabs>
              <w:jc w:val="left"/>
              <w:rPr>
                <w:sz w:val="14"/>
              </w:rPr>
            </w:pPr>
            <w:r w:rsidRPr="00C003FA">
              <w:rPr>
                <w:sz w:val="14"/>
              </w:rPr>
              <w:t>4.6</w:t>
            </w:r>
          </w:p>
        </w:tc>
        <w:tc>
          <w:tcPr>
            <w:tcW w:w="776" w:type="dxa"/>
            <w:vAlign w:val="bottom"/>
          </w:tcPr>
          <w:p w:rsidR="00A4689B" w:rsidRPr="00C003FA" w:rsidRDefault="00A4689B" w:rsidP="00A4689B">
            <w:pPr>
              <w:tabs>
                <w:tab w:val="decimal" w:pos="433"/>
              </w:tabs>
              <w:jc w:val="left"/>
              <w:rPr>
                <w:sz w:val="14"/>
              </w:rPr>
            </w:pPr>
            <w:r w:rsidRPr="00C003FA">
              <w:rPr>
                <w:sz w:val="14"/>
              </w:rPr>
              <w:t>86,288.1</w:t>
            </w:r>
          </w:p>
        </w:tc>
        <w:tc>
          <w:tcPr>
            <w:tcW w:w="676" w:type="dxa"/>
            <w:vAlign w:val="bottom"/>
          </w:tcPr>
          <w:p w:rsidR="00A4689B" w:rsidRPr="00C003FA" w:rsidRDefault="00A4689B" w:rsidP="00A4689B">
            <w:pPr>
              <w:tabs>
                <w:tab w:val="decimal" w:pos="222"/>
              </w:tabs>
              <w:jc w:val="left"/>
              <w:rPr>
                <w:sz w:val="14"/>
              </w:rPr>
            </w:pPr>
            <w:r w:rsidRPr="00C003FA">
              <w:rPr>
                <w:sz w:val="14"/>
              </w:rPr>
              <w:t>3.5</w:t>
            </w:r>
          </w:p>
        </w:tc>
        <w:tc>
          <w:tcPr>
            <w:tcW w:w="776" w:type="dxa"/>
            <w:vAlign w:val="bottom"/>
          </w:tcPr>
          <w:p w:rsidR="00A4689B" w:rsidRPr="00C003FA" w:rsidRDefault="00A4689B" w:rsidP="00A4689B">
            <w:pPr>
              <w:tabs>
                <w:tab w:val="decimal" w:pos="422"/>
              </w:tabs>
              <w:jc w:val="left"/>
              <w:rPr>
                <w:sz w:val="14"/>
              </w:rPr>
            </w:pPr>
            <w:r w:rsidRPr="00C003FA">
              <w:rPr>
                <w:sz w:val="14"/>
              </w:rPr>
              <w:t>91,117.0</w:t>
            </w:r>
          </w:p>
        </w:tc>
        <w:tc>
          <w:tcPr>
            <w:tcW w:w="675" w:type="dxa"/>
            <w:vAlign w:val="bottom"/>
          </w:tcPr>
          <w:p w:rsidR="00A4689B" w:rsidRPr="00C003FA" w:rsidRDefault="00A4689B" w:rsidP="00A4689B">
            <w:pPr>
              <w:tabs>
                <w:tab w:val="decimal" w:pos="192"/>
              </w:tabs>
              <w:jc w:val="left"/>
              <w:rPr>
                <w:sz w:val="14"/>
              </w:rPr>
            </w:pPr>
            <w:r w:rsidRPr="00C003FA">
              <w:rPr>
                <w:sz w:val="14"/>
              </w:rPr>
              <w:t>5.6</w:t>
            </w:r>
          </w:p>
        </w:tc>
        <w:tc>
          <w:tcPr>
            <w:tcW w:w="776" w:type="dxa"/>
            <w:vAlign w:val="bottom"/>
          </w:tcPr>
          <w:p w:rsidR="00A4689B" w:rsidRPr="00C003FA" w:rsidRDefault="00A4689B" w:rsidP="00A4689B">
            <w:pPr>
              <w:tabs>
                <w:tab w:val="decimal" w:pos="411"/>
              </w:tabs>
              <w:jc w:val="left"/>
              <w:rPr>
                <w:sz w:val="14"/>
              </w:rPr>
            </w:pPr>
            <w:r w:rsidRPr="00C003FA">
              <w:rPr>
                <w:sz w:val="14"/>
              </w:rPr>
              <w:t>95,355.7</w:t>
            </w:r>
          </w:p>
        </w:tc>
        <w:tc>
          <w:tcPr>
            <w:tcW w:w="675" w:type="dxa"/>
            <w:vAlign w:val="bottom"/>
          </w:tcPr>
          <w:p w:rsidR="00A4689B" w:rsidRPr="00C003FA" w:rsidRDefault="00A4689B" w:rsidP="00A4689B">
            <w:pPr>
              <w:tabs>
                <w:tab w:val="decimal" w:pos="189"/>
              </w:tabs>
              <w:jc w:val="left"/>
              <w:rPr>
                <w:sz w:val="14"/>
              </w:rPr>
            </w:pPr>
            <w:r w:rsidRPr="00C003FA">
              <w:rPr>
                <w:sz w:val="14"/>
              </w:rPr>
              <w:t>4.7</w:t>
            </w:r>
          </w:p>
        </w:tc>
        <w:tc>
          <w:tcPr>
            <w:tcW w:w="776" w:type="dxa"/>
            <w:vAlign w:val="bottom"/>
          </w:tcPr>
          <w:p w:rsidR="00A4689B" w:rsidRPr="00C003FA" w:rsidRDefault="00A4689B" w:rsidP="00A4689B">
            <w:pPr>
              <w:tabs>
                <w:tab w:val="decimal" w:pos="411"/>
              </w:tabs>
              <w:jc w:val="left"/>
              <w:rPr>
                <w:sz w:val="14"/>
              </w:rPr>
            </w:pPr>
            <w:r w:rsidRPr="00C003FA">
              <w:rPr>
                <w:sz w:val="14"/>
              </w:rPr>
              <w:t>99,775.5</w:t>
            </w:r>
          </w:p>
        </w:tc>
        <w:tc>
          <w:tcPr>
            <w:tcW w:w="675" w:type="dxa"/>
            <w:vAlign w:val="bottom"/>
          </w:tcPr>
          <w:p w:rsidR="00A4689B" w:rsidRPr="00C003FA" w:rsidRDefault="00A4689B" w:rsidP="00A4689B">
            <w:pPr>
              <w:tabs>
                <w:tab w:val="decimal" w:pos="189"/>
              </w:tabs>
              <w:jc w:val="left"/>
              <w:rPr>
                <w:sz w:val="14"/>
              </w:rPr>
            </w:pPr>
            <w:r w:rsidRPr="00C003FA">
              <w:rPr>
                <w:sz w:val="14"/>
              </w:rPr>
              <w:t>4.6</w:t>
            </w:r>
          </w:p>
        </w:tc>
        <w:tc>
          <w:tcPr>
            <w:tcW w:w="755" w:type="dxa"/>
            <w:vAlign w:val="bottom"/>
          </w:tcPr>
          <w:p w:rsidR="00A4689B" w:rsidRPr="00C003FA" w:rsidRDefault="00A4689B" w:rsidP="00A4689B">
            <w:pPr>
              <w:tabs>
                <w:tab w:val="decimal" w:pos="418"/>
              </w:tabs>
              <w:jc w:val="left"/>
              <w:rPr>
                <w:sz w:val="14"/>
              </w:rPr>
            </w:pPr>
            <w:r w:rsidRPr="00C003FA">
              <w:rPr>
                <w:sz w:val="14"/>
              </w:rPr>
              <w:t>12,831.2</w:t>
            </w:r>
          </w:p>
        </w:tc>
        <w:tc>
          <w:tcPr>
            <w:tcW w:w="761" w:type="dxa"/>
            <w:vAlign w:val="bottom"/>
          </w:tcPr>
          <w:p w:rsidR="00A4689B" w:rsidRPr="00C003FA" w:rsidRDefault="00A4689B" w:rsidP="00A4689B">
            <w:pPr>
              <w:tabs>
                <w:tab w:val="decimal" w:pos="414"/>
              </w:tabs>
              <w:jc w:val="left"/>
              <w:rPr>
                <w:sz w:val="14"/>
              </w:rPr>
            </w:pPr>
            <w:r w:rsidRPr="00C003FA">
              <w:rPr>
                <w:sz w:val="14"/>
              </w:rPr>
              <w:t>15,426.1</w:t>
            </w:r>
          </w:p>
        </w:tc>
        <w:tc>
          <w:tcPr>
            <w:tcW w:w="675" w:type="dxa"/>
            <w:vAlign w:val="bottom"/>
          </w:tcPr>
          <w:p w:rsidR="00A4689B" w:rsidRPr="00C003FA" w:rsidRDefault="00A4689B" w:rsidP="00A4689B">
            <w:pPr>
              <w:tabs>
                <w:tab w:val="decimal" w:pos="187"/>
              </w:tabs>
              <w:ind w:right="-2"/>
              <w:jc w:val="left"/>
              <w:rPr>
                <w:sz w:val="14"/>
              </w:rPr>
            </w:pPr>
            <w:r w:rsidRPr="00C003FA">
              <w:rPr>
                <w:sz w:val="14"/>
              </w:rPr>
              <w:t>20.2</w:t>
            </w:r>
          </w:p>
        </w:tc>
      </w:tr>
      <w:tr w:rsidR="00A4689B" w:rsidRPr="00C003FA" w:rsidTr="00A4689B">
        <w:trPr>
          <w:jc w:val="center"/>
        </w:trPr>
        <w:tc>
          <w:tcPr>
            <w:tcW w:w="2231" w:type="dxa"/>
            <w:vAlign w:val="bottom"/>
          </w:tcPr>
          <w:p w:rsidR="00A4689B" w:rsidRPr="00C003FA" w:rsidRDefault="00A4689B" w:rsidP="00A4689B">
            <w:pPr>
              <w:jc w:val="left"/>
              <w:rPr>
                <w:sz w:val="14"/>
              </w:rPr>
            </w:pPr>
          </w:p>
        </w:tc>
        <w:tc>
          <w:tcPr>
            <w:tcW w:w="776" w:type="dxa"/>
            <w:vAlign w:val="bottom"/>
          </w:tcPr>
          <w:p w:rsidR="00A4689B" w:rsidRPr="00C003FA" w:rsidRDefault="00A4689B" w:rsidP="00A4689B">
            <w:pPr>
              <w:tabs>
                <w:tab w:val="decimal" w:pos="411"/>
              </w:tabs>
              <w:jc w:val="left"/>
              <w:rPr>
                <w:sz w:val="14"/>
              </w:rPr>
            </w:pPr>
          </w:p>
        </w:tc>
        <w:tc>
          <w:tcPr>
            <w:tcW w:w="678" w:type="dxa"/>
            <w:vAlign w:val="bottom"/>
          </w:tcPr>
          <w:p w:rsidR="00A4689B" w:rsidRPr="00C003FA" w:rsidRDefault="00A4689B" w:rsidP="00A4689B">
            <w:pPr>
              <w:tabs>
                <w:tab w:val="decimal" w:pos="189"/>
              </w:tabs>
              <w:jc w:val="left"/>
              <w:rPr>
                <w:sz w:val="14"/>
              </w:rPr>
            </w:pPr>
          </w:p>
        </w:tc>
        <w:tc>
          <w:tcPr>
            <w:tcW w:w="776" w:type="dxa"/>
            <w:vAlign w:val="bottom"/>
          </w:tcPr>
          <w:p w:rsidR="00A4689B" w:rsidRPr="00C003FA" w:rsidRDefault="00A4689B" w:rsidP="00A4689B">
            <w:pPr>
              <w:tabs>
                <w:tab w:val="decimal" w:pos="433"/>
              </w:tabs>
              <w:jc w:val="left"/>
              <w:rPr>
                <w:sz w:val="14"/>
              </w:rPr>
            </w:pPr>
          </w:p>
        </w:tc>
        <w:tc>
          <w:tcPr>
            <w:tcW w:w="676" w:type="dxa"/>
            <w:vAlign w:val="bottom"/>
          </w:tcPr>
          <w:p w:rsidR="00A4689B" w:rsidRPr="00C003FA" w:rsidRDefault="00A4689B" w:rsidP="00A4689B">
            <w:pPr>
              <w:tabs>
                <w:tab w:val="decimal" w:pos="222"/>
              </w:tabs>
              <w:jc w:val="left"/>
              <w:rPr>
                <w:sz w:val="14"/>
              </w:rPr>
            </w:pPr>
          </w:p>
        </w:tc>
        <w:tc>
          <w:tcPr>
            <w:tcW w:w="776" w:type="dxa"/>
            <w:vAlign w:val="bottom"/>
          </w:tcPr>
          <w:p w:rsidR="00A4689B" w:rsidRPr="00C003FA" w:rsidRDefault="00A4689B" w:rsidP="00A4689B">
            <w:pPr>
              <w:tabs>
                <w:tab w:val="decimal" w:pos="422"/>
              </w:tabs>
              <w:jc w:val="left"/>
              <w:rPr>
                <w:sz w:val="14"/>
              </w:rPr>
            </w:pPr>
          </w:p>
        </w:tc>
        <w:tc>
          <w:tcPr>
            <w:tcW w:w="675" w:type="dxa"/>
            <w:vAlign w:val="bottom"/>
          </w:tcPr>
          <w:p w:rsidR="00A4689B" w:rsidRPr="00C003FA" w:rsidRDefault="00A4689B" w:rsidP="00A4689B">
            <w:pPr>
              <w:tabs>
                <w:tab w:val="decimal" w:pos="192"/>
              </w:tabs>
              <w:jc w:val="left"/>
              <w:rPr>
                <w:sz w:val="14"/>
              </w:rPr>
            </w:pPr>
          </w:p>
        </w:tc>
        <w:tc>
          <w:tcPr>
            <w:tcW w:w="776" w:type="dxa"/>
            <w:vAlign w:val="bottom"/>
          </w:tcPr>
          <w:p w:rsidR="00A4689B" w:rsidRPr="00C003FA" w:rsidRDefault="00A4689B" w:rsidP="00A4689B">
            <w:pPr>
              <w:tabs>
                <w:tab w:val="decimal" w:pos="411"/>
              </w:tabs>
              <w:jc w:val="left"/>
              <w:rPr>
                <w:sz w:val="14"/>
              </w:rPr>
            </w:pPr>
          </w:p>
        </w:tc>
        <w:tc>
          <w:tcPr>
            <w:tcW w:w="675" w:type="dxa"/>
            <w:vAlign w:val="bottom"/>
          </w:tcPr>
          <w:p w:rsidR="00A4689B" w:rsidRPr="00C003FA" w:rsidRDefault="00A4689B" w:rsidP="00A4689B">
            <w:pPr>
              <w:tabs>
                <w:tab w:val="decimal" w:pos="189"/>
              </w:tabs>
              <w:jc w:val="left"/>
              <w:rPr>
                <w:sz w:val="14"/>
              </w:rPr>
            </w:pPr>
          </w:p>
        </w:tc>
        <w:tc>
          <w:tcPr>
            <w:tcW w:w="776" w:type="dxa"/>
            <w:vAlign w:val="bottom"/>
          </w:tcPr>
          <w:p w:rsidR="00A4689B" w:rsidRPr="00C003FA" w:rsidRDefault="00A4689B" w:rsidP="00A4689B">
            <w:pPr>
              <w:tabs>
                <w:tab w:val="decimal" w:pos="411"/>
              </w:tabs>
              <w:jc w:val="left"/>
              <w:rPr>
                <w:sz w:val="14"/>
              </w:rPr>
            </w:pPr>
          </w:p>
        </w:tc>
        <w:tc>
          <w:tcPr>
            <w:tcW w:w="675" w:type="dxa"/>
            <w:vAlign w:val="bottom"/>
          </w:tcPr>
          <w:p w:rsidR="00A4689B" w:rsidRPr="00C003FA" w:rsidRDefault="00A4689B" w:rsidP="00A4689B">
            <w:pPr>
              <w:tabs>
                <w:tab w:val="decimal" w:pos="189"/>
              </w:tabs>
              <w:jc w:val="left"/>
              <w:rPr>
                <w:sz w:val="14"/>
              </w:rPr>
            </w:pPr>
          </w:p>
        </w:tc>
        <w:tc>
          <w:tcPr>
            <w:tcW w:w="755" w:type="dxa"/>
            <w:vAlign w:val="bottom"/>
          </w:tcPr>
          <w:p w:rsidR="00A4689B" w:rsidRPr="00C003FA" w:rsidRDefault="00A4689B" w:rsidP="00A4689B">
            <w:pPr>
              <w:tabs>
                <w:tab w:val="decimal" w:pos="418"/>
              </w:tabs>
              <w:jc w:val="left"/>
              <w:rPr>
                <w:sz w:val="14"/>
              </w:rPr>
            </w:pPr>
          </w:p>
        </w:tc>
        <w:tc>
          <w:tcPr>
            <w:tcW w:w="761" w:type="dxa"/>
            <w:vAlign w:val="bottom"/>
          </w:tcPr>
          <w:p w:rsidR="00A4689B" w:rsidRPr="00C003FA" w:rsidRDefault="00A4689B" w:rsidP="00A4689B">
            <w:pPr>
              <w:tabs>
                <w:tab w:val="decimal" w:pos="414"/>
              </w:tabs>
              <w:jc w:val="left"/>
              <w:rPr>
                <w:sz w:val="14"/>
              </w:rPr>
            </w:pPr>
          </w:p>
        </w:tc>
        <w:tc>
          <w:tcPr>
            <w:tcW w:w="675" w:type="dxa"/>
            <w:vAlign w:val="bottom"/>
          </w:tcPr>
          <w:p w:rsidR="00A4689B" w:rsidRPr="00C003FA" w:rsidRDefault="00A4689B" w:rsidP="00A4689B">
            <w:pPr>
              <w:tabs>
                <w:tab w:val="decimal" w:pos="187"/>
              </w:tabs>
              <w:ind w:right="-2"/>
              <w:jc w:val="left"/>
              <w:rPr>
                <w:sz w:val="14"/>
              </w:rPr>
            </w:pPr>
          </w:p>
        </w:tc>
      </w:tr>
      <w:tr w:rsidR="00A4689B" w:rsidRPr="00C003FA" w:rsidTr="00A4689B">
        <w:trPr>
          <w:jc w:val="center"/>
        </w:trPr>
        <w:tc>
          <w:tcPr>
            <w:tcW w:w="2231" w:type="dxa"/>
            <w:vAlign w:val="bottom"/>
          </w:tcPr>
          <w:p w:rsidR="00A4689B" w:rsidRPr="00C003FA" w:rsidRDefault="00A4689B" w:rsidP="00A4689B">
            <w:pPr>
              <w:jc w:val="left"/>
              <w:rPr>
                <w:sz w:val="14"/>
              </w:rPr>
            </w:pPr>
            <w:r w:rsidRPr="00C003FA">
              <w:rPr>
                <w:sz w:val="14"/>
              </w:rPr>
              <w:t>Transportation/Warehouse</w:t>
            </w:r>
          </w:p>
        </w:tc>
        <w:tc>
          <w:tcPr>
            <w:tcW w:w="776" w:type="dxa"/>
            <w:vAlign w:val="bottom"/>
          </w:tcPr>
          <w:p w:rsidR="00A4689B" w:rsidRPr="00C003FA" w:rsidRDefault="00A4689B" w:rsidP="00A4689B">
            <w:pPr>
              <w:tabs>
                <w:tab w:val="decimal" w:pos="411"/>
              </w:tabs>
              <w:jc w:val="left"/>
              <w:rPr>
                <w:sz w:val="14"/>
              </w:rPr>
            </w:pPr>
            <w:r w:rsidRPr="00C003FA">
              <w:rPr>
                <w:sz w:val="14"/>
              </w:rPr>
              <w:t>931.3</w:t>
            </w:r>
          </w:p>
        </w:tc>
        <w:tc>
          <w:tcPr>
            <w:tcW w:w="678" w:type="dxa"/>
            <w:vAlign w:val="bottom"/>
          </w:tcPr>
          <w:p w:rsidR="00A4689B" w:rsidRPr="00C003FA" w:rsidRDefault="00A4689B" w:rsidP="00A4689B">
            <w:pPr>
              <w:tabs>
                <w:tab w:val="decimal" w:pos="189"/>
              </w:tabs>
              <w:jc w:val="left"/>
              <w:rPr>
                <w:sz w:val="14"/>
              </w:rPr>
            </w:pPr>
            <w:r w:rsidRPr="00C003FA">
              <w:rPr>
                <w:sz w:val="14"/>
              </w:rPr>
              <w:t>-4.8</w:t>
            </w:r>
          </w:p>
        </w:tc>
        <w:tc>
          <w:tcPr>
            <w:tcW w:w="776" w:type="dxa"/>
            <w:vAlign w:val="bottom"/>
          </w:tcPr>
          <w:p w:rsidR="00A4689B" w:rsidRPr="00C003FA" w:rsidRDefault="00A4689B" w:rsidP="00A4689B">
            <w:pPr>
              <w:tabs>
                <w:tab w:val="decimal" w:pos="433"/>
              </w:tabs>
              <w:jc w:val="left"/>
              <w:rPr>
                <w:sz w:val="14"/>
              </w:rPr>
            </w:pPr>
            <w:r w:rsidRPr="00C003FA">
              <w:rPr>
                <w:sz w:val="14"/>
              </w:rPr>
              <w:t>864.8</w:t>
            </w:r>
          </w:p>
        </w:tc>
        <w:tc>
          <w:tcPr>
            <w:tcW w:w="676" w:type="dxa"/>
            <w:vAlign w:val="bottom"/>
          </w:tcPr>
          <w:p w:rsidR="00A4689B" w:rsidRPr="00C003FA" w:rsidRDefault="00A4689B" w:rsidP="00A4689B">
            <w:pPr>
              <w:tabs>
                <w:tab w:val="decimal" w:pos="222"/>
              </w:tabs>
              <w:jc w:val="left"/>
              <w:rPr>
                <w:sz w:val="14"/>
              </w:rPr>
            </w:pPr>
            <w:r w:rsidRPr="00C003FA">
              <w:rPr>
                <w:sz w:val="14"/>
              </w:rPr>
              <w:t>-7.1</w:t>
            </w:r>
          </w:p>
        </w:tc>
        <w:tc>
          <w:tcPr>
            <w:tcW w:w="776" w:type="dxa"/>
            <w:vAlign w:val="bottom"/>
          </w:tcPr>
          <w:p w:rsidR="00A4689B" w:rsidRPr="00C003FA" w:rsidRDefault="00A4689B" w:rsidP="00A4689B">
            <w:pPr>
              <w:tabs>
                <w:tab w:val="decimal" w:pos="422"/>
              </w:tabs>
              <w:jc w:val="left"/>
              <w:rPr>
                <w:sz w:val="14"/>
              </w:rPr>
            </w:pPr>
            <w:r w:rsidRPr="00C003FA">
              <w:rPr>
                <w:sz w:val="14"/>
              </w:rPr>
              <w:t>944.6</w:t>
            </w:r>
          </w:p>
        </w:tc>
        <w:tc>
          <w:tcPr>
            <w:tcW w:w="675" w:type="dxa"/>
            <w:vAlign w:val="bottom"/>
          </w:tcPr>
          <w:p w:rsidR="00A4689B" w:rsidRPr="00C003FA" w:rsidRDefault="00A4689B" w:rsidP="00A4689B">
            <w:pPr>
              <w:tabs>
                <w:tab w:val="decimal" w:pos="192"/>
              </w:tabs>
              <w:jc w:val="left"/>
              <w:rPr>
                <w:sz w:val="14"/>
              </w:rPr>
            </w:pPr>
            <w:r w:rsidRPr="00C003FA">
              <w:rPr>
                <w:sz w:val="14"/>
              </w:rPr>
              <w:t>9.2</w:t>
            </w:r>
          </w:p>
        </w:tc>
        <w:tc>
          <w:tcPr>
            <w:tcW w:w="776" w:type="dxa"/>
            <w:vAlign w:val="bottom"/>
          </w:tcPr>
          <w:p w:rsidR="00A4689B" w:rsidRPr="00C003FA" w:rsidRDefault="00A4689B" w:rsidP="00A4689B">
            <w:pPr>
              <w:tabs>
                <w:tab w:val="decimal" w:pos="411"/>
              </w:tabs>
              <w:jc w:val="left"/>
              <w:rPr>
                <w:sz w:val="14"/>
              </w:rPr>
            </w:pPr>
            <w:r w:rsidRPr="00C003FA">
              <w:rPr>
                <w:sz w:val="14"/>
              </w:rPr>
              <w:t>1,292.4</w:t>
            </w:r>
          </w:p>
        </w:tc>
        <w:tc>
          <w:tcPr>
            <w:tcW w:w="675" w:type="dxa"/>
            <w:vAlign w:val="bottom"/>
          </w:tcPr>
          <w:p w:rsidR="00A4689B" w:rsidRPr="00C003FA" w:rsidRDefault="00A4689B" w:rsidP="00A4689B">
            <w:pPr>
              <w:tabs>
                <w:tab w:val="decimal" w:pos="189"/>
              </w:tabs>
              <w:jc w:val="left"/>
              <w:rPr>
                <w:sz w:val="14"/>
              </w:rPr>
            </w:pPr>
            <w:r w:rsidRPr="00C003FA">
              <w:rPr>
                <w:sz w:val="14"/>
              </w:rPr>
              <w:t>36.8</w:t>
            </w:r>
          </w:p>
        </w:tc>
        <w:tc>
          <w:tcPr>
            <w:tcW w:w="776" w:type="dxa"/>
            <w:vAlign w:val="bottom"/>
          </w:tcPr>
          <w:p w:rsidR="00A4689B" w:rsidRPr="00C003FA" w:rsidRDefault="00A4689B" w:rsidP="00A4689B">
            <w:pPr>
              <w:tabs>
                <w:tab w:val="decimal" w:pos="411"/>
              </w:tabs>
              <w:jc w:val="left"/>
              <w:rPr>
                <w:sz w:val="14"/>
              </w:rPr>
            </w:pPr>
            <w:r w:rsidRPr="00C003FA">
              <w:rPr>
                <w:sz w:val="14"/>
              </w:rPr>
              <w:t>1,096.3</w:t>
            </w:r>
          </w:p>
        </w:tc>
        <w:tc>
          <w:tcPr>
            <w:tcW w:w="675" w:type="dxa"/>
            <w:vAlign w:val="bottom"/>
          </w:tcPr>
          <w:p w:rsidR="00A4689B" w:rsidRPr="00C003FA" w:rsidRDefault="00A4689B" w:rsidP="00A4689B">
            <w:pPr>
              <w:tabs>
                <w:tab w:val="decimal" w:pos="189"/>
              </w:tabs>
              <w:jc w:val="left"/>
              <w:rPr>
                <w:sz w:val="14"/>
              </w:rPr>
            </w:pPr>
            <w:r w:rsidRPr="00C003FA">
              <w:rPr>
                <w:sz w:val="14"/>
              </w:rPr>
              <w:t>-15.2</w:t>
            </w:r>
          </w:p>
        </w:tc>
        <w:tc>
          <w:tcPr>
            <w:tcW w:w="755" w:type="dxa"/>
            <w:vAlign w:val="bottom"/>
          </w:tcPr>
          <w:p w:rsidR="00A4689B" w:rsidRPr="00C003FA" w:rsidRDefault="00A4689B" w:rsidP="00A4689B">
            <w:pPr>
              <w:tabs>
                <w:tab w:val="decimal" w:pos="418"/>
              </w:tabs>
              <w:jc w:val="left"/>
              <w:rPr>
                <w:sz w:val="14"/>
              </w:rPr>
            </w:pPr>
            <w:r w:rsidRPr="00C003FA">
              <w:rPr>
                <w:sz w:val="14"/>
              </w:rPr>
              <w:t>135.7</w:t>
            </w:r>
          </w:p>
        </w:tc>
        <w:tc>
          <w:tcPr>
            <w:tcW w:w="761" w:type="dxa"/>
            <w:vAlign w:val="bottom"/>
          </w:tcPr>
          <w:p w:rsidR="00A4689B" w:rsidRPr="00C003FA" w:rsidRDefault="00A4689B" w:rsidP="00A4689B">
            <w:pPr>
              <w:tabs>
                <w:tab w:val="decimal" w:pos="414"/>
              </w:tabs>
              <w:jc w:val="left"/>
              <w:rPr>
                <w:sz w:val="14"/>
              </w:rPr>
            </w:pPr>
            <w:r w:rsidRPr="00C003FA">
              <w:rPr>
                <w:sz w:val="14"/>
              </w:rPr>
              <w:t>170.9</w:t>
            </w:r>
          </w:p>
        </w:tc>
        <w:tc>
          <w:tcPr>
            <w:tcW w:w="675" w:type="dxa"/>
            <w:vAlign w:val="bottom"/>
          </w:tcPr>
          <w:p w:rsidR="00A4689B" w:rsidRPr="00C003FA" w:rsidRDefault="00A4689B" w:rsidP="00A4689B">
            <w:pPr>
              <w:tabs>
                <w:tab w:val="decimal" w:pos="187"/>
              </w:tabs>
              <w:ind w:right="-2"/>
              <w:jc w:val="left"/>
              <w:rPr>
                <w:sz w:val="14"/>
              </w:rPr>
            </w:pPr>
            <w:r w:rsidRPr="00C003FA">
              <w:rPr>
                <w:sz w:val="14"/>
              </w:rPr>
              <w:t>26.0</w:t>
            </w:r>
          </w:p>
        </w:tc>
      </w:tr>
      <w:tr w:rsidR="00A4689B" w:rsidRPr="00C003FA" w:rsidTr="00A4689B">
        <w:trPr>
          <w:jc w:val="center"/>
        </w:trPr>
        <w:tc>
          <w:tcPr>
            <w:tcW w:w="2231" w:type="dxa"/>
            <w:vAlign w:val="bottom"/>
          </w:tcPr>
          <w:p w:rsidR="00A4689B" w:rsidRPr="00C003FA" w:rsidRDefault="00A4689B" w:rsidP="00A4689B">
            <w:pPr>
              <w:jc w:val="left"/>
              <w:rPr>
                <w:sz w:val="14"/>
              </w:rPr>
            </w:pPr>
            <w:r w:rsidRPr="00C003FA">
              <w:rPr>
                <w:sz w:val="14"/>
              </w:rPr>
              <w:t>Information</w:t>
            </w:r>
          </w:p>
        </w:tc>
        <w:tc>
          <w:tcPr>
            <w:tcW w:w="776" w:type="dxa"/>
            <w:vAlign w:val="bottom"/>
          </w:tcPr>
          <w:p w:rsidR="00A4689B" w:rsidRPr="00C003FA" w:rsidRDefault="00A4689B" w:rsidP="00A4689B">
            <w:pPr>
              <w:tabs>
                <w:tab w:val="decimal" w:pos="411"/>
              </w:tabs>
              <w:jc w:val="left"/>
              <w:rPr>
                <w:sz w:val="14"/>
              </w:rPr>
            </w:pPr>
            <w:r w:rsidRPr="00C003FA">
              <w:rPr>
                <w:sz w:val="14"/>
              </w:rPr>
              <w:t>5,413.0</w:t>
            </w:r>
          </w:p>
        </w:tc>
        <w:tc>
          <w:tcPr>
            <w:tcW w:w="678" w:type="dxa"/>
            <w:vAlign w:val="bottom"/>
          </w:tcPr>
          <w:p w:rsidR="00A4689B" w:rsidRPr="00C003FA" w:rsidRDefault="00A4689B" w:rsidP="00A4689B">
            <w:pPr>
              <w:tabs>
                <w:tab w:val="decimal" w:pos="189"/>
              </w:tabs>
              <w:jc w:val="left"/>
              <w:rPr>
                <w:sz w:val="14"/>
              </w:rPr>
            </w:pPr>
            <w:r w:rsidRPr="00C003FA">
              <w:rPr>
                <w:sz w:val="14"/>
              </w:rPr>
              <w:t>-0.7</w:t>
            </w:r>
          </w:p>
        </w:tc>
        <w:tc>
          <w:tcPr>
            <w:tcW w:w="776" w:type="dxa"/>
            <w:vAlign w:val="bottom"/>
          </w:tcPr>
          <w:p w:rsidR="00A4689B" w:rsidRPr="00C003FA" w:rsidRDefault="00A4689B" w:rsidP="00A4689B">
            <w:pPr>
              <w:tabs>
                <w:tab w:val="decimal" w:pos="433"/>
              </w:tabs>
              <w:jc w:val="left"/>
              <w:rPr>
                <w:sz w:val="14"/>
              </w:rPr>
            </w:pPr>
            <w:r w:rsidRPr="00C003FA">
              <w:rPr>
                <w:sz w:val="14"/>
              </w:rPr>
              <w:t>5,238.6</w:t>
            </w:r>
          </w:p>
        </w:tc>
        <w:tc>
          <w:tcPr>
            <w:tcW w:w="676" w:type="dxa"/>
            <w:vAlign w:val="bottom"/>
          </w:tcPr>
          <w:p w:rsidR="00A4689B" w:rsidRPr="00C003FA" w:rsidRDefault="00A4689B" w:rsidP="00A4689B">
            <w:pPr>
              <w:tabs>
                <w:tab w:val="decimal" w:pos="222"/>
              </w:tabs>
              <w:jc w:val="left"/>
              <w:rPr>
                <w:sz w:val="14"/>
              </w:rPr>
            </w:pPr>
            <w:r w:rsidRPr="00C003FA">
              <w:rPr>
                <w:sz w:val="14"/>
              </w:rPr>
              <w:t>3.2</w:t>
            </w:r>
          </w:p>
        </w:tc>
        <w:tc>
          <w:tcPr>
            <w:tcW w:w="776" w:type="dxa"/>
            <w:vAlign w:val="bottom"/>
          </w:tcPr>
          <w:p w:rsidR="00A4689B" w:rsidRPr="00C003FA" w:rsidRDefault="00A4689B" w:rsidP="00A4689B">
            <w:pPr>
              <w:tabs>
                <w:tab w:val="decimal" w:pos="422"/>
              </w:tabs>
              <w:jc w:val="left"/>
              <w:rPr>
                <w:sz w:val="14"/>
              </w:rPr>
            </w:pPr>
            <w:r w:rsidRPr="00C003FA">
              <w:rPr>
                <w:sz w:val="14"/>
              </w:rPr>
              <w:t>5,382.5</w:t>
            </w:r>
          </w:p>
        </w:tc>
        <w:tc>
          <w:tcPr>
            <w:tcW w:w="675" w:type="dxa"/>
            <w:vAlign w:val="bottom"/>
          </w:tcPr>
          <w:p w:rsidR="00A4689B" w:rsidRPr="00C003FA" w:rsidRDefault="00A4689B" w:rsidP="00A4689B">
            <w:pPr>
              <w:tabs>
                <w:tab w:val="decimal" w:pos="192"/>
              </w:tabs>
              <w:jc w:val="left"/>
              <w:rPr>
                <w:sz w:val="14"/>
              </w:rPr>
            </w:pPr>
            <w:r w:rsidRPr="00C003FA">
              <w:rPr>
                <w:sz w:val="14"/>
              </w:rPr>
              <w:t>2.7</w:t>
            </w:r>
          </w:p>
        </w:tc>
        <w:tc>
          <w:tcPr>
            <w:tcW w:w="776" w:type="dxa"/>
            <w:vAlign w:val="bottom"/>
          </w:tcPr>
          <w:p w:rsidR="00A4689B" w:rsidRPr="00C003FA" w:rsidRDefault="00A4689B" w:rsidP="00A4689B">
            <w:pPr>
              <w:tabs>
                <w:tab w:val="decimal" w:pos="411"/>
              </w:tabs>
              <w:jc w:val="left"/>
              <w:rPr>
                <w:sz w:val="14"/>
              </w:rPr>
            </w:pPr>
            <w:r w:rsidRPr="00C003FA">
              <w:rPr>
                <w:sz w:val="14"/>
              </w:rPr>
              <w:t>4,971.1</w:t>
            </w:r>
          </w:p>
        </w:tc>
        <w:tc>
          <w:tcPr>
            <w:tcW w:w="675" w:type="dxa"/>
            <w:vAlign w:val="bottom"/>
          </w:tcPr>
          <w:p w:rsidR="00A4689B" w:rsidRPr="00C003FA" w:rsidRDefault="00A4689B" w:rsidP="00A4689B">
            <w:pPr>
              <w:tabs>
                <w:tab w:val="decimal" w:pos="189"/>
              </w:tabs>
              <w:jc w:val="left"/>
              <w:rPr>
                <w:sz w:val="14"/>
              </w:rPr>
            </w:pPr>
            <w:r w:rsidRPr="00C003FA">
              <w:rPr>
                <w:sz w:val="14"/>
              </w:rPr>
              <w:t>-7.6</w:t>
            </w:r>
          </w:p>
        </w:tc>
        <w:tc>
          <w:tcPr>
            <w:tcW w:w="776" w:type="dxa"/>
            <w:vAlign w:val="bottom"/>
          </w:tcPr>
          <w:p w:rsidR="00A4689B" w:rsidRPr="00C003FA" w:rsidRDefault="00A4689B" w:rsidP="00A4689B">
            <w:pPr>
              <w:tabs>
                <w:tab w:val="decimal" w:pos="411"/>
              </w:tabs>
              <w:jc w:val="left"/>
              <w:rPr>
                <w:sz w:val="14"/>
              </w:rPr>
            </w:pPr>
            <w:r w:rsidRPr="00C003FA">
              <w:rPr>
                <w:sz w:val="14"/>
              </w:rPr>
              <w:t>5,819.5</w:t>
            </w:r>
          </w:p>
        </w:tc>
        <w:tc>
          <w:tcPr>
            <w:tcW w:w="675" w:type="dxa"/>
            <w:vAlign w:val="bottom"/>
          </w:tcPr>
          <w:p w:rsidR="00A4689B" w:rsidRPr="00C003FA" w:rsidRDefault="00A4689B" w:rsidP="00A4689B">
            <w:pPr>
              <w:tabs>
                <w:tab w:val="decimal" w:pos="189"/>
              </w:tabs>
              <w:jc w:val="left"/>
              <w:rPr>
                <w:sz w:val="14"/>
              </w:rPr>
            </w:pPr>
            <w:r w:rsidRPr="00C003FA">
              <w:rPr>
                <w:sz w:val="14"/>
              </w:rPr>
              <w:t>17.1</w:t>
            </w:r>
          </w:p>
        </w:tc>
        <w:tc>
          <w:tcPr>
            <w:tcW w:w="755" w:type="dxa"/>
            <w:vAlign w:val="bottom"/>
          </w:tcPr>
          <w:p w:rsidR="00A4689B" w:rsidRPr="00C003FA" w:rsidRDefault="00A4689B" w:rsidP="00A4689B">
            <w:pPr>
              <w:tabs>
                <w:tab w:val="decimal" w:pos="418"/>
              </w:tabs>
              <w:jc w:val="left"/>
              <w:rPr>
                <w:sz w:val="14"/>
              </w:rPr>
            </w:pPr>
            <w:r w:rsidRPr="00C003FA">
              <w:rPr>
                <w:sz w:val="14"/>
              </w:rPr>
              <w:t>821.4</w:t>
            </w:r>
          </w:p>
        </w:tc>
        <w:tc>
          <w:tcPr>
            <w:tcW w:w="761" w:type="dxa"/>
            <w:vAlign w:val="bottom"/>
          </w:tcPr>
          <w:p w:rsidR="00A4689B" w:rsidRPr="00C003FA" w:rsidRDefault="00A4689B" w:rsidP="00A4689B">
            <w:pPr>
              <w:tabs>
                <w:tab w:val="decimal" w:pos="414"/>
              </w:tabs>
              <w:jc w:val="left"/>
              <w:rPr>
                <w:sz w:val="14"/>
              </w:rPr>
            </w:pPr>
            <w:r w:rsidRPr="00C003FA">
              <w:rPr>
                <w:sz w:val="14"/>
              </w:rPr>
              <w:t>600.4</w:t>
            </w:r>
          </w:p>
        </w:tc>
        <w:tc>
          <w:tcPr>
            <w:tcW w:w="675" w:type="dxa"/>
            <w:vAlign w:val="bottom"/>
          </w:tcPr>
          <w:p w:rsidR="00A4689B" w:rsidRPr="00C003FA" w:rsidRDefault="00A4689B" w:rsidP="00A4689B">
            <w:pPr>
              <w:tabs>
                <w:tab w:val="decimal" w:pos="187"/>
              </w:tabs>
              <w:ind w:right="-2"/>
              <w:jc w:val="left"/>
              <w:rPr>
                <w:sz w:val="14"/>
              </w:rPr>
            </w:pPr>
            <w:r w:rsidRPr="00C003FA">
              <w:rPr>
                <w:sz w:val="14"/>
              </w:rPr>
              <w:t>-26.9</w:t>
            </w:r>
          </w:p>
        </w:tc>
      </w:tr>
      <w:tr w:rsidR="00A4689B" w:rsidRPr="00C003FA" w:rsidTr="00A4689B">
        <w:trPr>
          <w:jc w:val="center"/>
        </w:trPr>
        <w:tc>
          <w:tcPr>
            <w:tcW w:w="2231" w:type="dxa"/>
            <w:vAlign w:val="bottom"/>
          </w:tcPr>
          <w:p w:rsidR="00A4689B" w:rsidRPr="00C003FA" w:rsidRDefault="00A4689B" w:rsidP="00A4689B">
            <w:pPr>
              <w:jc w:val="left"/>
              <w:rPr>
                <w:sz w:val="14"/>
              </w:rPr>
            </w:pPr>
            <w:r w:rsidRPr="00C003FA">
              <w:rPr>
                <w:sz w:val="14"/>
              </w:rPr>
              <w:t>Finance/Insurance</w:t>
            </w:r>
          </w:p>
        </w:tc>
        <w:tc>
          <w:tcPr>
            <w:tcW w:w="776" w:type="dxa"/>
            <w:vAlign w:val="bottom"/>
          </w:tcPr>
          <w:p w:rsidR="00A4689B" w:rsidRPr="00C003FA" w:rsidRDefault="00A4689B" w:rsidP="00A4689B">
            <w:pPr>
              <w:tabs>
                <w:tab w:val="decimal" w:pos="411"/>
              </w:tabs>
              <w:jc w:val="left"/>
              <w:rPr>
                <w:sz w:val="14"/>
              </w:rPr>
            </w:pPr>
            <w:r w:rsidRPr="00C003FA">
              <w:rPr>
                <w:sz w:val="14"/>
              </w:rPr>
              <w:t>2,668.7</w:t>
            </w:r>
          </w:p>
        </w:tc>
        <w:tc>
          <w:tcPr>
            <w:tcW w:w="678" w:type="dxa"/>
            <w:vAlign w:val="bottom"/>
          </w:tcPr>
          <w:p w:rsidR="00A4689B" w:rsidRPr="00C003FA" w:rsidRDefault="00A4689B" w:rsidP="00A4689B">
            <w:pPr>
              <w:tabs>
                <w:tab w:val="decimal" w:pos="189"/>
              </w:tabs>
              <w:jc w:val="left"/>
              <w:rPr>
                <w:sz w:val="14"/>
              </w:rPr>
            </w:pPr>
            <w:r w:rsidRPr="00C003FA">
              <w:rPr>
                <w:sz w:val="14"/>
              </w:rPr>
              <w:t>57.9</w:t>
            </w:r>
          </w:p>
        </w:tc>
        <w:tc>
          <w:tcPr>
            <w:tcW w:w="776" w:type="dxa"/>
            <w:vAlign w:val="bottom"/>
          </w:tcPr>
          <w:p w:rsidR="00A4689B" w:rsidRPr="00C003FA" w:rsidRDefault="00A4689B" w:rsidP="00A4689B">
            <w:pPr>
              <w:tabs>
                <w:tab w:val="decimal" w:pos="433"/>
              </w:tabs>
              <w:jc w:val="left"/>
              <w:rPr>
                <w:sz w:val="14"/>
              </w:rPr>
            </w:pPr>
            <w:r w:rsidRPr="00C003FA">
              <w:rPr>
                <w:sz w:val="14"/>
              </w:rPr>
              <w:t>2,691.8</w:t>
            </w:r>
          </w:p>
        </w:tc>
        <w:tc>
          <w:tcPr>
            <w:tcW w:w="676" w:type="dxa"/>
            <w:vAlign w:val="bottom"/>
          </w:tcPr>
          <w:p w:rsidR="00A4689B" w:rsidRPr="00C003FA" w:rsidRDefault="00A4689B" w:rsidP="00A4689B">
            <w:pPr>
              <w:tabs>
                <w:tab w:val="decimal" w:pos="222"/>
              </w:tabs>
              <w:jc w:val="left"/>
              <w:rPr>
                <w:sz w:val="14"/>
              </w:rPr>
            </w:pPr>
            <w:r w:rsidRPr="00C003FA">
              <w:rPr>
                <w:sz w:val="14"/>
              </w:rPr>
              <w:t>0.9</w:t>
            </w:r>
          </w:p>
        </w:tc>
        <w:tc>
          <w:tcPr>
            <w:tcW w:w="776" w:type="dxa"/>
            <w:vAlign w:val="bottom"/>
          </w:tcPr>
          <w:p w:rsidR="00A4689B" w:rsidRPr="00C003FA" w:rsidRDefault="00A4689B" w:rsidP="00A4689B">
            <w:pPr>
              <w:tabs>
                <w:tab w:val="decimal" w:pos="422"/>
              </w:tabs>
              <w:jc w:val="left"/>
              <w:rPr>
                <w:sz w:val="14"/>
              </w:rPr>
            </w:pPr>
            <w:r w:rsidRPr="00C003FA">
              <w:rPr>
                <w:sz w:val="14"/>
              </w:rPr>
              <w:t>2,107.9</w:t>
            </w:r>
          </w:p>
        </w:tc>
        <w:tc>
          <w:tcPr>
            <w:tcW w:w="675" w:type="dxa"/>
            <w:vAlign w:val="bottom"/>
          </w:tcPr>
          <w:p w:rsidR="00A4689B" w:rsidRPr="00C003FA" w:rsidRDefault="00A4689B" w:rsidP="00A4689B">
            <w:pPr>
              <w:tabs>
                <w:tab w:val="decimal" w:pos="192"/>
              </w:tabs>
              <w:jc w:val="left"/>
              <w:rPr>
                <w:sz w:val="14"/>
              </w:rPr>
            </w:pPr>
            <w:r w:rsidRPr="00C003FA">
              <w:rPr>
                <w:sz w:val="14"/>
              </w:rPr>
              <w:t>-21.7</w:t>
            </w:r>
          </w:p>
        </w:tc>
        <w:tc>
          <w:tcPr>
            <w:tcW w:w="776" w:type="dxa"/>
            <w:vAlign w:val="bottom"/>
          </w:tcPr>
          <w:p w:rsidR="00A4689B" w:rsidRPr="00C003FA" w:rsidRDefault="00A4689B" w:rsidP="00A4689B">
            <w:pPr>
              <w:tabs>
                <w:tab w:val="decimal" w:pos="411"/>
              </w:tabs>
              <w:jc w:val="left"/>
              <w:rPr>
                <w:sz w:val="14"/>
              </w:rPr>
            </w:pPr>
            <w:r w:rsidRPr="00C003FA">
              <w:rPr>
                <w:sz w:val="14"/>
              </w:rPr>
              <w:t>2,469.4</w:t>
            </w:r>
          </w:p>
        </w:tc>
        <w:tc>
          <w:tcPr>
            <w:tcW w:w="675" w:type="dxa"/>
            <w:vAlign w:val="bottom"/>
          </w:tcPr>
          <w:p w:rsidR="00A4689B" w:rsidRPr="00C003FA" w:rsidRDefault="00A4689B" w:rsidP="00A4689B">
            <w:pPr>
              <w:tabs>
                <w:tab w:val="decimal" w:pos="189"/>
              </w:tabs>
              <w:jc w:val="left"/>
              <w:rPr>
                <w:sz w:val="14"/>
              </w:rPr>
            </w:pPr>
            <w:r w:rsidRPr="00C003FA">
              <w:rPr>
                <w:sz w:val="14"/>
              </w:rPr>
              <w:t>17.2</w:t>
            </w:r>
          </w:p>
        </w:tc>
        <w:tc>
          <w:tcPr>
            <w:tcW w:w="776" w:type="dxa"/>
            <w:vAlign w:val="bottom"/>
          </w:tcPr>
          <w:p w:rsidR="00A4689B" w:rsidRPr="00C003FA" w:rsidRDefault="00A4689B" w:rsidP="00A4689B">
            <w:pPr>
              <w:tabs>
                <w:tab w:val="decimal" w:pos="411"/>
              </w:tabs>
              <w:jc w:val="left"/>
              <w:rPr>
                <w:sz w:val="14"/>
              </w:rPr>
            </w:pPr>
            <w:r w:rsidRPr="00C003FA">
              <w:rPr>
                <w:sz w:val="14"/>
              </w:rPr>
              <w:t>2,761.9</w:t>
            </w:r>
          </w:p>
        </w:tc>
        <w:tc>
          <w:tcPr>
            <w:tcW w:w="675" w:type="dxa"/>
            <w:vAlign w:val="bottom"/>
          </w:tcPr>
          <w:p w:rsidR="00A4689B" w:rsidRPr="00C003FA" w:rsidRDefault="00A4689B" w:rsidP="00A4689B">
            <w:pPr>
              <w:tabs>
                <w:tab w:val="decimal" w:pos="189"/>
              </w:tabs>
              <w:jc w:val="left"/>
              <w:rPr>
                <w:sz w:val="14"/>
              </w:rPr>
            </w:pPr>
            <w:r w:rsidRPr="00C003FA">
              <w:rPr>
                <w:sz w:val="14"/>
              </w:rPr>
              <w:t>11.8</w:t>
            </w:r>
          </w:p>
        </w:tc>
        <w:tc>
          <w:tcPr>
            <w:tcW w:w="755" w:type="dxa"/>
            <w:vAlign w:val="bottom"/>
          </w:tcPr>
          <w:p w:rsidR="00A4689B" w:rsidRPr="00C003FA" w:rsidRDefault="00A4689B" w:rsidP="00A4689B">
            <w:pPr>
              <w:tabs>
                <w:tab w:val="decimal" w:pos="418"/>
              </w:tabs>
              <w:jc w:val="left"/>
              <w:rPr>
                <w:sz w:val="14"/>
              </w:rPr>
            </w:pPr>
            <w:r w:rsidRPr="00C003FA">
              <w:rPr>
                <w:sz w:val="14"/>
              </w:rPr>
              <w:t>397.4</w:t>
            </w:r>
          </w:p>
        </w:tc>
        <w:tc>
          <w:tcPr>
            <w:tcW w:w="761" w:type="dxa"/>
            <w:vAlign w:val="bottom"/>
          </w:tcPr>
          <w:p w:rsidR="00A4689B" w:rsidRPr="00C003FA" w:rsidRDefault="00A4689B" w:rsidP="00A4689B">
            <w:pPr>
              <w:tabs>
                <w:tab w:val="decimal" w:pos="414"/>
              </w:tabs>
              <w:jc w:val="left"/>
              <w:rPr>
                <w:sz w:val="14"/>
              </w:rPr>
            </w:pPr>
            <w:r w:rsidRPr="00C003FA">
              <w:rPr>
                <w:sz w:val="14"/>
              </w:rPr>
              <w:t>488.2</w:t>
            </w:r>
          </w:p>
        </w:tc>
        <w:tc>
          <w:tcPr>
            <w:tcW w:w="675" w:type="dxa"/>
            <w:vAlign w:val="bottom"/>
          </w:tcPr>
          <w:p w:rsidR="00A4689B" w:rsidRPr="00C003FA" w:rsidRDefault="00A4689B" w:rsidP="00A4689B">
            <w:pPr>
              <w:tabs>
                <w:tab w:val="decimal" w:pos="187"/>
              </w:tabs>
              <w:ind w:right="-2"/>
              <w:jc w:val="left"/>
              <w:rPr>
                <w:sz w:val="14"/>
              </w:rPr>
            </w:pPr>
            <w:r w:rsidRPr="00C003FA">
              <w:rPr>
                <w:sz w:val="14"/>
              </w:rPr>
              <w:t>22.9</w:t>
            </w:r>
          </w:p>
        </w:tc>
      </w:tr>
      <w:tr w:rsidR="00A4689B" w:rsidRPr="00C003FA" w:rsidTr="00A4689B">
        <w:trPr>
          <w:jc w:val="center"/>
        </w:trPr>
        <w:tc>
          <w:tcPr>
            <w:tcW w:w="2231" w:type="dxa"/>
            <w:vAlign w:val="bottom"/>
          </w:tcPr>
          <w:p w:rsidR="00A4689B" w:rsidRPr="00C003FA" w:rsidRDefault="00A4689B" w:rsidP="00A4689B">
            <w:pPr>
              <w:jc w:val="left"/>
              <w:rPr>
                <w:sz w:val="14"/>
              </w:rPr>
            </w:pPr>
            <w:r w:rsidRPr="00C003FA">
              <w:rPr>
                <w:sz w:val="14"/>
              </w:rPr>
              <w:t>Real Estate/Rental/Lease</w:t>
            </w:r>
          </w:p>
        </w:tc>
        <w:tc>
          <w:tcPr>
            <w:tcW w:w="776" w:type="dxa"/>
            <w:vAlign w:val="bottom"/>
          </w:tcPr>
          <w:p w:rsidR="00A4689B" w:rsidRPr="00C003FA" w:rsidRDefault="00A4689B" w:rsidP="00A4689B">
            <w:pPr>
              <w:tabs>
                <w:tab w:val="decimal" w:pos="411"/>
              </w:tabs>
              <w:jc w:val="left"/>
              <w:rPr>
                <w:sz w:val="14"/>
              </w:rPr>
            </w:pPr>
            <w:r w:rsidRPr="00C003FA">
              <w:rPr>
                <w:sz w:val="14"/>
              </w:rPr>
              <w:t>4,389.0</w:t>
            </w:r>
          </w:p>
        </w:tc>
        <w:tc>
          <w:tcPr>
            <w:tcW w:w="678" w:type="dxa"/>
            <w:vAlign w:val="bottom"/>
          </w:tcPr>
          <w:p w:rsidR="00A4689B" w:rsidRPr="00C003FA" w:rsidRDefault="00A4689B" w:rsidP="00A4689B">
            <w:pPr>
              <w:tabs>
                <w:tab w:val="decimal" w:pos="189"/>
              </w:tabs>
              <w:jc w:val="left"/>
              <w:rPr>
                <w:sz w:val="14"/>
              </w:rPr>
            </w:pPr>
            <w:r w:rsidRPr="00C003FA">
              <w:rPr>
                <w:sz w:val="14"/>
              </w:rPr>
              <w:t>5.2</w:t>
            </w:r>
          </w:p>
        </w:tc>
        <w:tc>
          <w:tcPr>
            <w:tcW w:w="776" w:type="dxa"/>
            <w:vAlign w:val="bottom"/>
          </w:tcPr>
          <w:p w:rsidR="00A4689B" w:rsidRPr="00C003FA" w:rsidRDefault="00A4689B" w:rsidP="00A4689B">
            <w:pPr>
              <w:tabs>
                <w:tab w:val="decimal" w:pos="433"/>
              </w:tabs>
              <w:jc w:val="left"/>
              <w:rPr>
                <w:sz w:val="14"/>
              </w:rPr>
            </w:pPr>
            <w:r w:rsidRPr="00C003FA">
              <w:rPr>
                <w:sz w:val="14"/>
              </w:rPr>
              <w:t>4,573.3</w:t>
            </w:r>
          </w:p>
        </w:tc>
        <w:tc>
          <w:tcPr>
            <w:tcW w:w="676" w:type="dxa"/>
            <w:vAlign w:val="bottom"/>
          </w:tcPr>
          <w:p w:rsidR="00A4689B" w:rsidRPr="00C003FA" w:rsidRDefault="00A4689B" w:rsidP="00A4689B">
            <w:pPr>
              <w:tabs>
                <w:tab w:val="decimal" w:pos="222"/>
              </w:tabs>
              <w:jc w:val="left"/>
              <w:rPr>
                <w:sz w:val="14"/>
              </w:rPr>
            </w:pPr>
            <w:r w:rsidRPr="00C003FA">
              <w:rPr>
                <w:sz w:val="14"/>
              </w:rPr>
              <w:t>4.2</w:t>
            </w:r>
          </w:p>
        </w:tc>
        <w:tc>
          <w:tcPr>
            <w:tcW w:w="776" w:type="dxa"/>
            <w:vAlign w:val="bottom"/>
          </w:tcPr>
          <w:p w:rsidR="00A4689B" w:rsidRPr="00C003FA" w:rsidRDefault="00A4689B" w:rsidP="00A4689B">
            <w:pPr>
              <w:tabs>
                <w:tab w:val="decimal" w:pos="422"/>
              </w:tabs>
              <w:jc w:val="left"/>
              <w:rPr>
                <w:sz w:val="14"/>
              </w:rPr>
            </w:pPr>
            <w:r w:rsidRPr="00C003FA">
              <w:rPr>
                <w:sz w:val="14"/>
              </w:rPr>
              <w:t>4,875.5</w:t>
            </w:r>
          </w:p>
        </w:tc>
        <w:tc>
          <w:tcPr>
            <w:tcW w:w="675" w:type="dxa"/>
            <w:vAlign w:val="bottom"/>
          </w:tcPr>
          <w:p w:rsidR="00A4689B" w:rsidRPr="00C003FA" w:rsidRDefault="00A4689B" w:rsidP="00A4689B">
            <w:pPr>
              <w:tabs>
                <w:tab w:val="decimal" w:pos="192"/>
              </w:tabs>
              <w:jc w:val="left"/>
              <w:rPr>
                <w:sz w:val="14"/>
              </w:rPr>
            </w:pPr>
            <w:r w:rsidRPr="00C003FA">
              <w:rPr>
                <w:sz w:val="14"/>
              </w:rPr>
              <w:t>6.6</w:t>
            </w:r>
          </w:p>
        </w:tc>
        <w:tc>
          <w:tcPr>
            <w:tcW w:w="776" w:type="dxa"/>
            <w:vAlign w:val="bottom"/>
          </w:tcPr>
          <w:p w:rsidR="00A4689B" w:rsidRPr="00C003FA" w:rsidRDefault="00A4689B" w:rsidP="00A4689B">
            <w:pPr>
              <w:tabs>
                <w:tab w:val="decimal" w:pos="411"/>
              </w:tabs>
              <w:jc w:val="left"/>
              <w:rPr>
                <w:sz w:val="14"/>
              </w:rPr>
            </w:pPr>
            <w:r w:rsidRPr="00C003FA">
              <w:rPr>
                <w:sz w:val="14"/>
              </w:rPr>
              <w:t>5,423.2</w:t>
            </w:r>
          </w:p>
        </w:tc>
        <w:tc>
          <w:tcPr>
            <w:tcW w:w="675" w:type="dxa"/>
            <w:vAlign w:val="bottom"/>
          </w:tcPr>
          <w:p w:rsidR="00A4689B" w:rsidRPr="00C003FA" w:rsidRDefault="00A4689B" w:rsidP="00A4689B">
            <w:pPr>
              <w:tabs>
                <w:tab w:val="decimal" w:pos="189"/>
              </w:tabs>
              <w:jc w:val="left"/>
              <w:rPr>
                <w:sz w:val="14"/>
              </w:rPr>
            </w:pPr>
            <w:r w:rsidRPr="00C003FA">
              <w:rPr>
                <w:sz w:val="14"/>
              </w:rPr>
              <w:t>11.2</w:t>
            </w:r>
          </w:p>
        </w:tc>
        <w:tc>
          <w:tcPr>
            <w:tcW w:w="776" w:type="dxa"/>
            <w:vAlign w:val="bottom"/>
          </w:tcPr>
          <w:p w:rsidR="00A4689B" w:rsidRPr="00C003FA" w:rsidRDefault="00A4689B" w:rsidP="00A4689B">
            <w:pPr>
              <w:tabs>
                <w:tab w:val="decimal" w:pos="411"/>
              </w:tabs>
              <w:jc w:val="left"/>
              <w:rPr>
                <w:sz w:val="14"/>
              </w:rPr>
            </w:pPr>
            <w:r w:rsidRPr="00C003FA">
              <w:rPr>
                <w:sz w:val="14"/>
              </w:rPr>
              <w:t>5,907.9</w:t>
            </w:r>
          </w:p>
        </w:tc>
        <w:tc>
          <w:tcPr>
            <w:tcW w:w="675" w:type="dxa"/>
            <w:vAlign w:val="bottom"/>
          </w:tcPr>
          <w:p w:rsidR="00A4689B" w:rsidRPr="00C003FA" w:rsidRDefault="00A4689B" w:rsidP="00A4689B">
            <w:pPr>
              <w:tabs>
                <w:tab w:val="decimal" w:pos="189"/>
              </w:tabs>
              <w:jc w:val="left"/>
              <w:rPr>
                <w:sz w:val="14"/>
              </w:rPr>
            </w:pPr>
            <w:r w:rsidRPr="00C003FA">
              <w:rPr>
                <w:sz w:val="14"/>
              </w:rPr>
              <w:t>8.9</w:t>
            </w:r>
          </w:p>
        </w:tc>
        <w:tc>
          <w:tcPr>
            <w:tcW w:w="755" w:type="dxa"/>
            <w:vAlign w:val="bottom"/>
          </w:tcPr>
          <w:p w:rsidR="00A4689B" w:rsidRPr="00C003FA" w:rsidRDefault="00A4689B" w:rsidP="00A4689B">
            <w:pPr>
              <w:tabs>
                <w:tab w:val="decimal" w:pos="418"/>
              </w:tabs>
              <w:jc w:val="left"/>
              <w:rPr>
                <w:sz w:val="14"/>
              </w:rPr>
            </w:pPr>
            <w:r w:rsidRPr="00C003FA">
              <w:rPr>
                <w:sz w:val="14"/>
              </w:rPr>
              <w:t>906.5</w:t>
            </w:r>
          </w:p>
        </w:tc>
        <w:tc>
          <w:tcPr>
            <w:tcW w:w="761" w:type="dxa"/>
            <w:vAlign w:val="bottom"/>
          </w:tcPr>
          <w:p w:rsidR="00A4689B" w:rsidRPr="00C003FA" w:rsidRDefault="00A4689B" w:rsidP="00A4689B">
            <w:pPr>
              <w:tabs>
                <w:tab w:val="decimal" w:pos="414"/>
              </w:tabs>
              <w:jc w:val="left"/>
              <w:rPr>
                <w:sz w:val="14"/>
              </w:rPr>
            </w:pPr>
            <w:r w:rsidRPr="00C003FA">
              <w:rPr>
                <w:sz w:val="14"/>
              </w:rPr>
              <w:t>952.4</w:t>
            </w:r>
          </w:p>
        </w:tc>
        <w:tc>
          <w:tcPr>
            <w:tcW w:w="675" w:type="dxa"/>
            <w:vAlign w:val="bottom"/>
          </w:tcPr>
          <w:p w:rsidR="00A4689B" w:rsidRPr="00C003FA" w:rsidRDefault="00A4689B" w:rsidP="00A4689B">
            <w:pPr>
              <w:tabs>
                <w:tab w:val="decimal" w:pos="187"/>
              </w:tabs>
              <w:ind w:right="-2"/>
              <w:jc w:val="left"/>
              <w:rPr>
                <w:sz w:val="14"/>
              </w:rPr>
            </w:pPr>
            <w:r w:rsidRPr="00C003FA">
              <w:rPr>
                <w:sz w:val="14"/>
              </w:rPr>
              <w:t>5.1</w:t>
            </w:r>
          </w:p>
        </w:tc>
      </w:tr>
      <w:tr w:rsidR="00A4689B" w:rsidRPr="00C003FA" w:rsidTr="00A4689B">
        <w:trPr>
          <w:jc w:val="center"/>
        </w:trPr>
        <w:tc>
          <w:tcPr>
            <w:tcW w:w="2231" w:type="dxa"/>
            <w:vAlign w:val="bottom"/>
          </w:tcPr>
          <w:p w:rsidR="00A4689B" w:rsidRPr="00C003FA" w:rsidRDefault="00A4689B" w:rsidP="00A4689B">
            <w:pPr>
              <w:jc w:val="left"/>
              <w:rPr>
                <w:sz w:val="14"/>
              </w:rPr>
            </w:pPr>
            <w:r w:rsidRPr="00C003FA">
              <w:rPr>
                <w:sz w:val="14"/>
              </w:rPr>
              <w:t>Professional/Scientific/Technical</w:t>
            </w:r>
          </w:p>
        </w:tc>
        <w:tc>
          <w:tcPr>
            <w:tcW w:w="776" w:type="dxa"/>
            <w:vAlign w:val="bottom"/>
          </w:tcPr>
          <w:p w:rsidR="00A4689B" w:rsidRPr="00C003FA" w:rsidRDefault="00A4689B" w:rsidP="00A4689B">
            <w:pPr>
              <w:tabs>
                <w:tab w:val="decimal" w:pos="411"/>
              </w:tabs>
              <w:jc w:val="left"/>
              <w:rPr>
                <w:sz w:val="14"/>
              </w:rPr>
            </w:pPr>
            <w:r w:rsidRPr="00C003FA">
              <w:rPr>
                <w:sz w:val="14"/>
              </w:rPr>
              <w:t>6,929.3</w:t>
            </w:r>
          </w:p>
        </w:tc>
        <w:tc>
          <w:tcPr>
            <w:tcW w:w="678" w:type="dxa"/>
            <w:vAlign w:val="bottom"/>
          </w:tcPr>
          <w:p w:rsidR="00A4689B" w:rsidRPr="00C003FA" w:rsidRDefault="00A4689B" w:rsidP="00A4689B">
            <w:pPr>
              <w:tabs>
                <w:tab w:val="decimal" w:pos="189"/>
              </w:tabs>
              <w:jc w:val="left"/>
              <w:rPr>
                <w:sz w:val="14"/>
              </w:rPr>
            </w:pPr>
            <w:r w:rsidRPr="00C003FA">
              <w:rPr>
                <w:sz w:val="14"/>
              </w:rPr>
              <w:t>-0.5</w:t>
            </w:r>
          </w:p>
        </w:tc>
        <w:tc>
          <w:tcPr>
            <w:tcW w:w="776" w:type="dxa"/>
            <w:vAlign w:val="bottom"/>
          </w:tcPr>
          <w:p w:rsidR="00A4689B" w:rsidRPr="00C003FA" w:rsidRDefault="00A4689B" w:rsidP="00A4689B">
            <w:pPr>
              <w:tabs>
                <w:tab w:val="decimal" w:pos="433"/>
              </w:tabs>
              <w:jc w:val="left"/>
              <w:rPr>
                <w:sz w:val="14"/>
              </w:rPr>
            </w:pPr>
            <w:r w:rsidRPr="00C003FA">
              <w:rPr>
                <w:sz w:val="14"/>
              </w:rPr>
              <w:t>6,644.4</w:t>
            </w:r>
          </w:p>
        </w:tc>
        <w:tc>
          <w:tcPr>
            <w:tcW w:w="676" w:type="dxa"/>
            <w:vAlign w:val="bottom"/>
          </w:tcPr>
          <w:p w:rsidR="00A4689B" w:rsidRPr="00C003FA" w:rsidRDefault="00A4689B" w:rsidP="00A4689B">
            <w:pPr>
              <w:tabs>
                <w:tab w:val="decimal" w:pos="222"/>
              </w:tabs>
              <w:jc w:val="left"/>
              <w:rPr>
                <w:sz w:val="14"/>
              </w:rPr>
            </w:pPr>
            <w:r w:rsidRPr="00C003FA">
              <w:rPr>
                <w:sz w:val="14"/>
              </w:rPr>
              <w:t>-4.1</w:t>
            </w:r>
          </w:p>
        </w:tc>
        <w:tc>
          <w:tcPr>
            <w:tcW w:w="776" w:type="dxa"/>
            <w:vAlign w:val="bottom"/>
          </w:tcPr>
          <w:p w:rsidR="00A4689B" w:rsidRPr="00C003FA" w:rsidRDefault="00A4689B" w:rsidP="00A4689B">
            <w:pPr>
              <w:tabs>
                <w:tab w:val="decimal" w:pos="422"/>
              </w:tabs>
              <w:jc w:val="left"/>
              <w:rPr>
                <w:sz w:val="14"/>
              </w:rPr>
            </w:pPr>
            <w:r w:rsidRPr="00C003FA">
              <w:rPr>
                <w:sz w:val="14"/>
              </w:rPr>
              <w:t>6,794.1</w:t>
            </w:r>
          </w:p>
        </w:tc>
        <w:tc>
          <w:tcPr>
            <w:tcW w:w="675" w:type="dxa"/>
            <w:vAlign w:val="bottom"/>
          </w:tcPr>
          <w:p w:rsidR="00A4689B" w:rsidRPr="00C003FA" w:rsidRDefault="00A4689B" w:rsidP="00A4689B">
            <w:pPr>
              <w:tabs>
                <w:tab w:val="decimal" w:pos="192"/>
              </w:tabs>
              <w:jc w:val="left"/>
              <w:rPr>
                <w:sz w:val="14"/>
              </w:rPr>
            </w:pPr>
            <w:r w:rsidRPr="00C003FA">
              <w:rPr>
                <w:sz w:val="14"/>
              </w:rPr>
              <w:t>2.3</w:t>
            </w:r>
          </w:p>
        </w:tc>
        <w:tc>
          <w:tcPr>
            <w:tcW w:w="776" w:type="dxa"/>
            <w:vAlign w:val="bottom"/>
          </w:tcPr>
          <w:p w:rsidR="00A4689B" w:rsidRPr="00C003FA" w:rsidRDefault="00A4689B" w:rsidP="00A4689B">
            <w:pPr>
              <w:tabs>
                <w:tab w:val="decimal" w:pos="411"/>
              </w:tabs>
              <w:jc w:val="left"/>
              <w:rPr>
                <w:sz w:val="14"/>
              </w:rPr>
            </w:pPr>
            <w:r w:rsidRPr="00C003FA">
              <w:rPr>
                <w:sz w:val="14"/>
              </w:rPr>
              <w:t>7,753.2</w:t>
            </w:r>
          </w:p>
        </w:tc>
        <w:tc>
          <w:tcPr>
            <w:tcW w:w="675" w:type="dxa"/>
            <w:vAlign w:val="bottom"/>
          </w:tcPr>
          <w:p w:rsidR="00A4689B" w:rsidRPr="00C003FA" w:rsidRDefault="00A4689B" w:rsidP="00A4689B">
            <w:pPr>
              <w:tabs>
                <w:tab w:val="decimal" w:pos="189"/>
              </w:tabs>
              <w:jc w:val="left"/>
              <w:rPr>
                <w:sz w:val="14"/>
              </w:rPr>
            </w:pPr>
            <w:r w:rsidRPr="00C003FA">
              <w:rPr>
                <w:sz w:val="14"/>
              </w:rPr>
              <w:t>14.1</w:t>
            </w:r>
          </w:p>
        </w:tc>
        <w:tc>
          <w:tcPr>
            <w:tcW w:w="776" w:type="dxa"/>
            <w:vAlign w:val="bottom"/>
          </w:tcPr>
          <w:p w:rsidR="00A4689B" w:rsidRPr="00C003FA" w:rsidRDefault="00A4689B" w:rsidP="00A4689B">
            <w:pPr>
              <w:tabs>
                <w:tab w:val="decimal" w:pos="411"/>
              </w:tabs>
              <w:jc w:val="left"/>
              <w:rPr>
                <w:sz w:val="14"/>
              </w:rPr>
            </w:pPr>
            <w:r w:rsidRPr="00C003FA">
              <w:rPr>
                <w:sz w:val="14"/>
              </w:rPr>
              <w:t>7,859.6</w:t>
            </w:r>
          </w:p>
        </w:tc>
        <w:tc>
          <w:tcPr>
            <w:tcW w:w="675" w:type="dxa"/>
            <w:vAlign w:val="bottom"/>
          </w:tcPr>
          <w:p w:rsidR="00A4689B" w:rsidRPr="00C003FA" w:rsidRDefault="00A4689B" w:rsidP="00A4689B">
            <w:pPr>
              <w:tabs>
                <w:tab w:val="decimal" w:pos="189"/>
              </w:tabs>
              <w:jc w:val="left"/>
              <w:rPr>
                <w:sz w:val="14"/>
              </w:rPr>
            </w:pPr>
            <w:r w:rsidRPr="00C003FA">
              <w:rPr>
                <w:sz w:val="14"/>
              </w:rPr>
              <w:t>1.4</w:t>
            </w:r>
          </w:p>
        </w:tc>
        <w:tc>
          <w:tcPr>
            <w:tcW w:w="755" w:type="dxa"/>
            <w:vAlign w:val="bottom"/>
          </w:tcPr>
          <w:p w:rsidR="00A4689B" w:rsidRPr="00C003FA" w:rsidRDefault="00A4689B" w:rsidP="00A4689B">
            <w:pPr>
              <w:tabs>
                <w:tab w:val="decimal" w:pos="418"/>
              </w:tabs>
              <w:jc w:val="left"/>
              <w:rPr>
                <w:sz w:val="14"/>
              </w:rPr>
            </w:pPr>
            <w:r w:rsidRPr="00C003FA">
              <w:rPr>
                <w:sz w:val="14"/>
              </w:rPr>
              <w:t>793.6</w:t>
            </w:r>
          </w:p>
        </w:tc>
        <w:tc>
          <w:tcPr>
            <w:tcW w:w="761" w:type="dxa"/>
            <w:vAlign w:val="bottom"/>
          </w:tcPr>
          <w:p w:rsidR="00A4689B" w:rsidRPr="00C003FA" w:rsidRDefault="00A4689B" w:rsidP="00A4689B">
            <w:pPr>
              <w:tabs>
                <w:tab w:val="decimal" w:pos="414"/>
              </w:tabs>
              <w:jc w:val="left"/>
              <w:rPr>
                <w:sz w:val="14"/>
              </w:rPr>
            </w:pPr>
            <w:r w:rsidRPr="00C003FA">
              <w:rPr>
                <w:sz w:val="14"/>
              </w:rPr>
              <w:t>939.3</w:t>
            </w:r>
          </w:p>
        </w:tc>
        <w:tc>
          <w:tcPr>
            <w:tcW w:w="675" w:type="dxa"/>
            <w:vAlign w:val="bottom"/>
          </w:tcPr>
          <w:p w:rsidR="00A4689B" w:rsidRPr="00C003FA" w:rsidRDefault="00A4689B" w:rsidP="00A4689B">
            <w:pPr>
              <w:tabs>
                <w:tab w:val="decimal" w:pos="187"/>
              </w:tabs>
              <w:ind w:right="-2"/>
              <w:jc w:val="left"/>
              <w:rPr>
                <w:sz w:val="14"/>
              </w:rPr>
            </w:pPr>
            <w:r w:rsidRPr="00C003FA">
              <w:rPr>
                <w:sz w:val="14"/>
              </w:rPr>
              <w:t>18.4</w:t>
            </w:r>
          </w:p>
        </w:tc>
      </w:tr>
      <w:tr w:rsidR="00A4689B" w:rsidRPr="00C003FA" w:rsidTr="00A4689B">
        <w:trPr>
          <w:jc w:val="center"/>
        </w:trPr>
        <w:tc>
          <w:tcPr>
            <w:tcW w:w="2231" w:type="dxa"/>
            <w:vAlign w:val="bottom"/>
          </w:tcPr>
          <w:p w:rsidR="00A4689B" w:rsidRPr="00C003FA" w:rsidRDefault="00A4689B" w:rsidP="00A4689B">
            <w:pPr>
              <w:jc w:val="left"/>
              <w:rPr>
                <w:sz w:val="14"/>
              </w:rPr>
            </w:pPr>
            <w:r w:rsidRPr="00C003FA">
              <w:rPr>
                <w:sz w:val="14"/>
              </w:rPr>
              <w:t>Admin/Support/Waste/Remediation</w:t>
            </w:r>
          </w:p>
        </w:tc>
        <w:tc>
          <w:tcPr>
            <w:tcW w:w="776" w:type="dxa"/>
            <w:vAlign w:val="bottom"/>
          </w:tcPr>
          <w:p w:rsidR="00A4689B" w:rsidRPr="00C003FA" w:rsidRDefault="00A4689B" w:rsidP="00A4689B">
            <w:pPr>
              <w:tabs>
                <w:tab w:val="decimal" w:pos="411"/>
              </w:tabs>
              <w:jc w:val="left"/>
              <w:rPr>
                <w:sz w:val="14"/>
              </w:rPr>
            </w:pPr>
            <w:r w:rsidRPr="00C003FA">
              <w:rPr>
                <w:sz w:val="14"/>
              </w:rPr>
              <w:t>2,245.9</w:t>
            </w:r>
          </w:p>
        </w:tc>
        <w:tc>
          <w:tcPr>
            <w:tcW w:w="678" w:type="dxa"/>
            <w:vAlign w:val="bottom"/>
          </w:tcPr>
          <w:p w:rsidR="00A4689B" w:rsidRPr="00C003FA" w:rsidRDefault="00A4689B" w:rsidP="00A4689B">
            <w:pPr>
              <w:tabs>
                <w:tab w:val="decimal" w:pos="189"/>
              </w:tabs>
              <w:jc w:val="left"/>
              <w:rPr>
                <w:sz w:val="14"/>
              </w:rPr>
            </w:pPr>
            <w:r w:rsidRPr="00C003FA">
              <w:rPr>
                <w:sz w:val="14"/>
              </w:rPr>
              <w:t>8.5</w:t>
            </w:r>
          </w:p>
        </w:tc>
        <w:tc>
          <w:tcPr>
            <w:tcW w:w="776" w:type="dxa"/>
            <w:vAlign w:val="bottom"/>
          </w:tcPr>
          <w:p w:rsidR="00A4689B" w:rsidRPr="00C003FA" w:rsidRDefault="00A4689B" w:rsidP="00A4689B">
            <w:pPr>
              <w:tabs>
                <w:tab w:val="decimal" w:pos="433"/>
              </w:tabs>
              <w:jc w:val="left"/>
              <w:rPr>
                <w:sz w:val="14"/>
              </w:rPr>
            </w:pPr>
            <w:r w:rsidRPr="00C003FA">
              <w:rPr>
                <w:sz w:val="14"/>
              </w:rPr>
              <w:t>2,263.2</w:t>
            </w:r>
          </w:p>
        </w:tc>
        <w:tc>
          <w:tcPr>
            <w:tcW w:w="676" w:type="dxa"/>
            <w:vAlign w:val="bottom"/>
          </w:tcPr>
          <w:p w:rsidR="00A4689B" w:rsidRPr="00C003FA" w:rsidRDefault="00A4689B" w:rsidP="00A4689B">
            <w:pPr>
              <w:tabs>
                <w:tab w:val="decimal" w:pos="222"/>
              </w:tabs>
              <w:jc w:val="left"/>
              <w:rPr>
                <w:sz w:val="14"/>
              </w:rPr>
            </w:pPr>
            <w:r w:rsidRPr="00C003FA">
              <w:rPr>
                <w:sz w:val="14"/>
              </w:rPr>
              <w:t>0.8</w:t>
            </w:r>
          </w:p>
        </w:tc>
        <w:tc>
          <w:tcPr>
            <w:tcW w:w="776" w:type="dxa"/>
            <w:vAlign w:val="bottom"/>
          </w:tcPr>
          <w:p w:rsidR="00A4689B" w:rsidRPr="00C003FA" w:rsidRDefault="00A4689B" w:rsidP="00A4689B">
            <w:pPr>
              <w:tabs>
                <w:tab w:val="decimal" w:pos="422"/>
              </w:tabs>
              <w:jc w:val="left"/>
              <w:rPr>
                <w:sz w:val="14"/>
              </w:rPr>
            </w:pPr>
            <w:r w:rsidRPr="00C003FA">
              <w:rPr>
                <w:sz w:val="14"/>
              </w:rPr>
              <w:t>2,357.8</w:t>
            </w:r>
          </w:p>
        </w:tc>
        <w:tc>
          <w:tcPr>
            <w:tcW w:w="675" w:type="dxa"/>
            <w:vAlign w:val="bottom"/>
          </w:tcPr>
          <w:p w:rsidR="00A4689B" w:rsidRPr="00C003FA" w:rsidRDefault="00A4689B" w:rsidP="00A4689B">
            <w:pPr>
              <w:tabs>
                <w:tab w:val="decimal" w:pos="192"/>
              </w:tabs>
              <w:jc w:val="left"/>
              <w:rPr>
                <w:sz w:val="14"/>
              </w:rPr>
            </w:pPr>
            <w:r w:rsidRPr="00C003FA">
              <w:rPr>
                <w:sz w:val="14"/>
              </w:rPr>
              <w:t>4.2</w:t>
            </w:r>
          </w:p>
        </w:tc>
        <w:tc>
          <w:tcPr>
            <w:tcW w:w="776" w:type="dxa"/>
            <w:vAlign w:val="bottom"/>
          </w:tcPr>
          <w:p w:rsidR="00A4689B" w:rsidRPr="00C003FA" w:rsidRDefault="00A4689B" w:rsidP="00A4689B">
            <w:pPr>
              <w:tabs>
                <w:tab w:val="decimal" w:pos="411"/>
              </w:tabs>
              <w:jc w:val="left"/>
              <w:rPr>
                <w:sz w:val="14"/>
              </w:rPr>
            </w:pPr>
            <w:r w:rsidRPr="00C003FA">
              <w:rPr>
                <w:sz w:val="14"/>
              </w:rPr>
              <w:t>2,384.4</w:t>
            </w:r>
          </w:p>
        </w:tc>
        <w:tc>
          <w:tcPr>
            <w:tcW w:w="675" w:type="dxa"/>
            <w:vAlign w:val="bottom"/>
          </w:tcPr>
          <w:p w:rsidR="00A4689B" w:rsidRPr="00C003FA" w:rsidRDefault="00A4689B" w:rsidP="00A4689B">
            <w:pPr>
              <w:tabs>
                <w:tab w:val="decimal" w:pos="189"/>
              </w:tabs>
              <w:jc w:val="left"/>
              <w:rPr>
                <w:sz w:val="14"/>
              </w:rPr>
            </w:pPr>
            <w:r w:rsidRPr="00C003FA">
              <w:rPr>
                <w:sz w:val="14"/>
              </w:rPr>
              <w:t>1.1</w:t>
            </w:r>
          </w:p>
        </w:tc>
        <w:tc>
          <w:tcPr>
            <w:tcW w:w="776" w:type="dxa"/>
            <w:vAlign w:val="bottom"/>
          </w:tcPr>
          <w:p w:rsidR="00A4689B" w:rsidRPr="00C003FA" w:rsidRDefault="00A4689B" w:rsidP="00A4689B">
            <w:pPr>
              <w:tabs>
                <w:tab w:val="decimal" w:pos="411"/>
              </w:tabs>
              <w:jc w:val="left"/>
              <w:rPr>
                <w:sz w:val="14"/>
              </w:rPr>
            </w:pPr>
            <w:r w:rsidRPr="00C003FA">
              <w:rPr>
                <w:sz w:val="14"/>
              </w:rPr>
              <w:t>2,813.2</w:t>
            </w:r>
          </w:p>
        </w:tc>
        <w:tc>
          <w:tcPr>
            <w:tcW w:w="675" w:type="dxa"/>
            <w:vAlign w:val="bottom"/>
          </w:tcPr>
          <w:p w:rsidR="00A4689B" w:rsidRPr="00C003FA" w:rsidRDefault="00A4689B" w:rsidP="00A4689B">
            <w:pPr>
              <w:tabs>
                <w:tab w:val="decimal" w:pos="189"/>
              </w:tabs>
              <w:jc w:val="left"/>
              <w:rPr>
                <w:sz w:val="14"/>
              </w:rPr>
            </w:pPr>
            <w:r w:rsidRPr="00C003FA">
              <w:rPr>
                <w:sz w:val="14"/>
              </w:rPr>
              <w:t>18.0</w:t>
            </w:r>
          </w:p>
        </w:tc>
        <w:tc>
          <w:tcPr>
            <w:tcW w:w="755" w:type="dxa"/>
            <w:vAlign w:val="bottom"/>
          </w:tcPr>
          <w:p w:rsidR="00A4689B" w:rsidRPr="00C003FA" w:rsidRDefault="00A4689B" w:rsidP="00A4689B">
            <w:pPr>
              <w:tabs>
                <w:tab w:val="decimal" w:pos="418"/>
              </w:tabs>
              <w:jc w:val="left"/>
              <w:rPr>
                <w:sz w:val="14"/>
              </w:rPr>
            </w:pPr>
            <w:r w:rsidRPr="00C003FA">
              <w:rPr>
                <w:sz w:val="14"/>
              </w:rPr>
              <w:t>294.6</w:t>
            </w:r>
          </w:p>
        </w:tc>
        <w:tc>
          <w:tcPr>
            <w:tcW w:w="761" w:type="dxa"/>
            <w:vAlign w:val="bottom"/>
          </w:tcPr>
          <w:p w:rsidR="00A4689B" w:rsidRPr="00C003FA" w:rsidRDefault="00A4689B" w:rsidP="00A4689B">
            <w:pPr>
              <w:tabs>
                <w:tab w:val="decimal" w:pos="414"/>
              </w:tabs>
              <w:jc w:val="left"/>
              <w:rPr>
                <w:sz w:val="14"/>
              </w:rPr>
            </w:pPr>
            <w:r w:rsidRPr="00C003FA">
              <w:rPr>
                <w:sz w:val="14"/>
              </w:rPr>
              <w:t>385.4</w:t>
            </w:r>
          </w:p>
        </w:tc>
        <w:tc>
          <w:tcPr>
            <w:tcW w:w="675" w:type="dxa"/>
            <w:vAlign w:val="bottom"/>
          </w:tcPr>
          <w:p w:rsidR="00A4689B" w:rsidRPr="00C003FA" w:rsidRDefault="00A4689B" w:rsidP="00A4689B">
            <w:pPr>
              <w:tabs>
                <w:tab w:val="decimal" w:pos="187"/>
              </w:tabs>
              <w:ind w:right="-2"/>
              <w:jc w:val="left"/>
              <w:rPr>
                <w:sz w:val="14"/>
              </w:rPr>
            </w:pPr>
            <w:r w:rsidRPr="00C003FA">
              <w:rPr>
                <w:sz w:val="14"/>
              </w:rPr>
              <w:t>30.8</w:t>
            </w:r>
          </w:p>
        </w:tc>
      </w:tr>
      <w:tr w:rsidR="00A4689B" w:rsidRPr="00C003FA" w:rsidTr="00A4689B">
        <w:trPr>
          <w:jc w:val="center"/>
        </w:trPr>
        <w:tc>
          <w:tcPr>
            <w:tcW w:w="2231" w:type="dxa"/>
            <w:vAlign w:val="bottom"/>
          </w:tcPr>
          <w:p w:rsidR="00A4689B" w:rsidRPr="00C003FA" w:rsidRDefault="00A4689B" w:rsidP="00A4689B">
            <w:pPr>
              <w:jc w:val="left"/>
              <w:rPr>
                <w:sz w:val="14"/>
              </w:rPr>
            </w:pPr>
            <w:r w:rsidRPr="00C003FA">
              <w:rPr>
                <w:sz w:val="14"/>
              </w:rPr>
              <w:t>Education</w:t>
            </w:r>
          </w:p>
        </w:tc>
        <w:tc>
          <w:tcPr>
            <w:tcW w:w="776" w:type="dxa"/>
            <w:vAlign w:val="bottom"/>
          </w:tcPr>
          <w:p w:rsidR="00A4689B" w:rsidRPr="00C003FA" w:rsidRDefault="00A4689B" w:rsidP="00A4689B">
            <w:pPr>
              <w:tabs>
                <w:tab w:val="decimal" w:pos="411"/>
              </w:tabs>
              <w:jc w:val="left"/>
              <w:rPr>
                <w:sz w:val="14"/>
              </w:rPr>
            </w:pPr>
            <w:r w:rsidRPr="00C003FA">
              <w:rPr>
                <w:sz w:val="14"/>
              </w:rPr>
              <w:t>490.5</w:t>
            </w:r>
          </w:p>
        </w:tc>
        <w:tc>
          <w:tcPr>
            <w:tcW w:w="678" w:type="dxa"/>
            <w:vAlign w:val="bottom"/>
          </w:tcPr>
          <w:p w:rsidR="00A4689B" w:rsidRPr="00C003FA" w:rsidRDefault="00A4689B" w:rsidP="00A4689B">
            <w:pPr>
              <w:tabs>
                <w:tab w:val="decimal" w:pos="189"/>
              </w:tabs>
              <w:jc w:val="left"/>
              <w:rPr>
                <w:sz w:val="14"/>
              </w:rPr>
            </w:pPr>
            <w:r w:rsidRPr="00C003FA">
              <w:rPr>
                <w:sz w:val="14"/>
              </w:rPr>
              <w:t>1.9</w:t>
            </w:r>
          </w:p>
        </w:tc>
        <w:tc>
          <w:tcPr>
            <w:tcW w:w="776" w:type="dxa"/>
            <w:vAlign w:val="bottom"/>
          </w:tcPr>
          <w:p w:rsidR="00A4689B" w:rsidRPr="00C003FA" w:rsidRDefault="00A4689B" w:rsidP="00A4689B">
            <w:pPr>
              <w:tabs>
                <w:tab w:val="decimal" w:pos="433"/>
              </w:tabs>
              <w:jc w:val="left"/>
              <w:rPr>
                <w:sz w:val="14"/>
              </w:rPr>
            </w:pPr>
            <w:r w:rsidRPr="00C003FA">
              <w:rPr>
                <w:sz w:val="14"/>
              </w:rPr>
              <w:t>493.9</w:t>
            </w:r>
          </w:p>
        </w:tc>
        <w:tc>
          <w:tcPr>
            <w:tcW w:w="676" w:type="dxa"/>
            <w:vAlign w:val="bottom"/>
          </w:tcPr>
          <w:p w:rsidR="00A4689B" w:rsidRPr="00C003FA" w:rsidRDefault="00A4689B" w:rsidP="00A4689B">
            <w:pPr>
              <w:tabs>
                <w:tab w:val="decimal" w:pos="222"/>
              </w:tabs>
              <w:jc w:val="left"/>
              <w:rPr>
                <w:sz w:val="14"/>
              </w:rPr>
            </w:pPr>
            <w:r w:rsidRPr="00C003FA">
              <w:rPr>
                <w:sz w:val="14"/>
              </w:rPr>
              <w:t>0.7</w:t>
            </w:r>
          </w:p>
        </w:tc>
        <w:tc>
          <w:tcPr>
            <w:tcW w:w="776" w:type="dxa"/>
            <w:vAlign w:val="bottom"/>
          </w:tcPr>
          <w:p w:rsidR="00A4689B" w:rsidRPr="00C003FA" w:rsidRDefault="00A4689B" w:rsidP="00A4689B">
            <w:pPr>
              <w:tabs>
                <w:tab w:val="decimal" w:pos="422"/>
              </w:tabs>
              <w:jc w:val="left"/>
              <w:rPr>
                <w:sz w:val="14"/>
              </w:rPr>
            </w:pPr>
            <w:r w:rsidRPr="00C003FA">
              <w:rPr>
                <w:sz w:val="14"/>
              </w:rPr>
              <w:t>486.3</w:t>
            </w:r>
          </w:p>
        </w:tc>
        <w:tc>
          <w:tcPr>
            <w:tcW w:w="675" w:type="dxa"/>
            <w:vAlign w:val="bottom"/>
          </w:tcPr>
          <w:p w:rsidR="00A4689B" w:rsidRPr="00C003FA" w:rsidRDefault="00A4689B" w:rsidP="00A4689B">
            <w:pPr>
              <w:tabs>
                <w:tab w:val="decimal" w:pos="192"/>
              </w:tabs>
              <w:jc w:val="left"/>
              <w:rPr>
                <w:sz w:val="14"/>
              </w:rPr>
            </w:pPr>
            <w:r w:rsidRPr="00C003FA">
              <w:rPr>
                <w:sz w:val="14"/>
              </w:rPr>
              <w:t>-1.5</w:t>
            </w:r>
          </w:p>
        </w:tc>
        <w:tc>
          <w:tcPr>
            <w:tcW w:w="776" w:type="dxa"/>
            <w:vAlign w:val="bottom"/>
          </w:tcPr>
          <w:p w:rsidR="00A4689B" w:rsidRPr="00C003FA" w:rsidRDefault="00A4689B" w:rsidP="00A4689B">
            <w:pPr>
              <w:tabs>
                <w:tab w:val="decimal" w:pos="411"/>
              </w:tabs>
              <w:jc w:val="left"/>
              <w:rPr>
                <w:sz w:val="14"/>
              </w:rPr>
            </w:pPr>
            <w:r w:rsidRPr="00C003FA">
              <w:rPr>
                <w:sz w:val="14"/>
              </w:rPr>
              <w:t>500.3</w:t>
            </w:r>
          </w:p>
        </w:tc>
        <w:tc>
          <w:tcPr>
            <w:tcW w:w="675" w:type="dxa"/>
            <w:vAlign w:val="bottom"/>
          </w:tcPr>
          <w:p w:rsidR="00A4689B" w:rsidRPr="00C003FA" w:rsidRDefault="00A4689B" w:rsidP="00A4689B">
            <w:pPr>
              <w:tabs>
                <w:tab w:val="decimal" w:pos="189"/>
              </w:tabs>
              <w:jc w:val="left"/>
              <w:rPr>
                <w:sz w:val="14"/>
              </w:rPr>
            </w:pPr>
            <w:r w:rsidRPr="00C003FA">
              <w:rPr>
                <w:sz w:val="14"/>
              </w:rPr>
              <w:t>2.9</w:t>
            </w:r>
          </w:p>
        </w:tc>
        <w:tc>
          <w:tcPr>
            <w:tcW w:w="776" w:type="dxa"/>
            <w:vAlign w:val="bottom"/>
          </w:tcPr>
          <w:p w:rsidR="00A4689B" w:rsidRPr="00C003FA" w:rsidRDefault="00A4689B" w:rsidP="00A4689B">
            <w:pPr>
              <w:tabs>
                <w:tab w:val="decimal" w:pos="411"/>
              </w:tabs>
              <w:jc w:val="left"/>
              <w:rPr>
                <w:sz w:val="14"/>
              </w:rPr>
            </w:pPr>
            <w:r w:rsidRPr="00C003FA">
              <w:rPr>
                <w:sz w:val="14"/>
              </w:rPr>
              <w:t>434.8</w:t>
            </w:r>
          </w:p>
        </w:tc>
        <w:tc>
          <w:tcPr>
            <w:tcW w:w="675" w:type="dxa"/>
            <w:vAlign w:val="bottom"/>
          </w:tcPr>
          <w:p w:rsidR="00A4689B" w:rsidRPr="00C003FA" w:rsidRDefault="00A4689B" w:rsidP="00A4689B">
            <w:pPr>
              <w:tabs>
                <w:tab w:val="decimal" w:pos="189"/>
              </w:tabs>
              <w:jc w:val="left"/>
              <w:rPr>
                <w:sz w:val="14"/>
              </w:rPr>
            </w:pPr>
            <w:r w:rsidRPr="00C003FA">
              <w:rPr>
                <w:sz w:val="14"/>
              </w:rPr>
              <w:t>-13.1</w:t>
            </w:r>
          </w:p>
        </w:tc>
        <w:tc>
          <w:tcPr>
            <w:tcW w:w="755" w:type="dxa"/>
            <w:vAlign w:val="bottom"/>
          </w:tcPr>
          <w:p w:rsidR="00A4689B" w:rsidRPr="00C003FA" w:rsidRDefault="00A4689B" w:rsidP="00A4689B">
            <w:pPr>
              <w:tabs>
                <w:tab w:val="decimal" w:pos="418"/>
              </w:tabs>
              <w:jc w:val="left"/>
              <w:rPr>
                <w:sz w:val="14"/>
              </w:rPr>
            </w:pPr>
            <w:r w:rsidRPr="00C003FA">
              <w:rPr>
                <w:sz w:val="14"/>
              </w:rPr>
              <w:t>54.4</w:t>
            </w:r>
          </w:p>
        </w:tc>
        <w:tc>
          <w:tcPr>
            <w:tcW w:w="761" w:type="dxa"/>
            <w:vAlign w:val="bottom"/>
          </w:tcPr>
          <w:p w:rsidR="00A4689B" w:rsidRPr="00C003FA" w:rsidRDefault="00A4689B" w:rsidP="00A4689B">
            <w:pPr>
              <w:tabs>
                <w:tab w:val="decimal" w:pos="414"/>
              </w:tabs>
              <w:jc w:val="left"/>
              <w:rPr>
                <w:sz w:val="14"/>
              </w:rPr>
            </w:pPr>
            <w:r w:rsidRPr="00C003FA">
              <w:rPr>
                <w:sz w:val="14"/>
              </w:rPr>
              <w:t>43.9</w:t>
            </w:r>
          </w:p>
        </w:tc>
        <w:tc>
          <w:tcPr>
            <w:tcW w:w="675" w:type="dxa"/>
            <w:vAlign w:val="bottom"/>
          </w:tcPr>
          <w:p w:rsidR="00A4689B" w:rsidRPr="00C003FA" w:rsidRDefault="00A4689B" w:rsidP="00A4689B">
            <w:pPr>
              <w:tabs>
                <w:tab w:val="decimal" w:pos="187"/>
              </w:tabs>
              <w:ind w:right="-2"/>
              <w:jc w:val="left"/>
              <w:rPr>
                <w:sz w:val="14"/>
              </w:rPr>
            </w:pPr>
            <w:r w:rsidRPr="00C003FA">
              <w:rPr>
                <w:sz w:val="14"/>
              </w:rPr>
              <w:t>-19.2</w:t>
            </w:r>
          </w:p>
        </w:tc>
      </w:tr>
      <w:tr w:rsidR="00A4689B" w:rsidRPr="00C003FA" w:rsidTr="00A4689B">
        <w:trPr>
          <w:jc w:val="center"/>
        </w:trPr>
        <w:tc>
          <w:tcPr>
            <w:tcW w:w="2231" w:type="dxa"/>
            <w:vAlign w:val="bottom"/>
          </w:tcPr>
          <w:p w:rsidR="00A4689B" w:rsidRPr="00C003FA" w:rsidRDefault="00A4689B" w:rsidP="00A4689B">
            <w:pPr>
              <w:jc w:val="left"/>
              <w:rPr>
                <w:sz w:val="14"/>
              </w:rPr>
            </w:pPr>
            <w:r w:rsidRPr="00C003FA">
              <w:rPr>
                <w:sz w:val="14"/>
              </w:rPr>
              <w:t>Health Care/Social Assistance</w:t>
            </w:r>
          </w:p>
        </w:tc>
        <w:tc>
          <w:tcPr>
            <w:tcW w:w="776" w:type="dxa"/>
            <w:vAlign w:val="bottom"/>
          </w:tcPr>
          <w:p w:rsidR="00A4689B" w:rsidRPr="00C003FA" w:rsidRDefault="00A4689B" w:rsidP="00A4689B">
            <w:pPr>
              <w:tabs>
                <w:tab w:val="decimal" w:pos="411"/>
              </w:tabs>
              <w:jc w:val="left"/>
              <w:rPr>
                <w:sz w:val="14"/>
              </w:rPr>
            </w:pPr>
            <w:r w:rsidRPr="00C003FA">
              <w:rPr>
                <w:sz w:val="14"/>
              </w:rPr>
              <w:t>6,896.1</w:t>
            </w:r>
          </w:p>
        </w:tc>
        <w:tc>
          <w:tcPr>
            <w:tcW w:w="678" w:type="dxa"/>
            <w:vAlign w:val="bottom"/>
          </w:tcPr>
          <w:p w:rsidR="00A4689B" w:rsidRPr="00C003FA" w:rsidRDefault="00A4689B" w:rsidP="00A4689B">
            <w:pPr>
              <w:tabs>
                <w:tab w:val="decimal" w:pos="189"/>
              </w:tabs>
              <w:jc w:val="left"/>
              <w:rPr>
                <w:sz w:val="14"/>
              </w:rPr>
            </w:pPr>
            <w:r w:rsidRPr="00C003FA">
              <w:rPr>
                <w:sz w:val="14"/>
              </w:rPr>
              <w:t>-4.8</w:t>
            </w:r>
          </w:p>
        </w:tc>
        <w:tc>
          <w:tcPr>
            <w:tcW w:w="776" w:type="dxa"/>
            <w:vAlign w:val="bottom"/>
          </w:tcPr>
          <w:p w:rsidR="00A4689B" w:rsidRPr="00C003FA" w:rsidRDefault="00A4689B" w:rsidP="00A4689B">
            <w:pPr>
              <w:tabs>
                <w:tab w:val="decimal" w:pos="433"/>
              </w:tabs>
              <w:jc w:val="left"/>
              <w:rPr>
                <w:sz w:val="14"/>
              </w:rPr>
            </w:pPr>
            <w:r w:rsidRPr="00C003FA">
              <w:rPr>
                <w:sz w:val="14"/>
              </w:rPr>
              <w:t>6,890.5</w:t>
            </w:r>
          </w:p>
        </w:tc>
        <w:tc>
          <w:tcPr>
            <w:tcW w:w="676" w:type="dxa"/>
            <w:vAlign w:val="bottom"/>
          </w:tcPr>
          <w:p w:rsidR="00A4689B" w:rsidRPr="00C003FA" w:rsidRDefault="00A4689B" w:rsidP="00A4689B">
            <w:pPr>
              <w:tabs>
                <w:tab w:val="decimal" w:pos="222"/>
              </w:tabs>
              <w:jc w:val="left"/>
              <w:rPr>
                <w:sz w:val="14"/>
              </w:rPr>
            </w:pPr>
            <w:r w:rsidRPr="00C003FA">
              <w:rPr>
                <w:sz w:val="14"/>
              </w:rPr>
              <w:t>-0.1</w:t>
            </w:r>
          </w:p>
        </w:tc>
        <w:tc>
          <w:tcPr>
            <w:tcW w:w="776" w:type="dxa"/>
            <w:vAlign w:val="bottom"/>
          </w:tcPr>
          <w:p w:rsidR="00A4689B" w:rsidRPr="00C003FA" w:rsidRDefault="00A4689B" w:rsidP="00A4689B">
            <w:pPr>
              <w:tabs>
                <w:tab w:val="decimal" w:pos="422"/>
              </w:tabs>
              <w:jc w:val="left"/>
              <w:rPr>
                <w:sz w:val="14"/>
              </w:rPr>
            </w:pPr>
            <w:r w:rsidRPr="00C003FA">
              <w:rPr>
                <w:sz w:val="14"/>
              </w:rPr>
              <w:t>7,136.0</w:t>
            </w:r>
          </w:p>
        </w:tc>
        <w:tc>
          <w:tcPr>
            <w:tcW w:w="675" w:type="dxa"/>
            <w:vAlign w:val="bottom"/>
          </w:tcPr>
          <w:p w:rsidR="00A4689B" w:rsidRPr="00C003FA" w:rsidRDefault="00A4689B" w:rsidP="00A4689B">
            <w:pPr>
              <w:tabs>
                <w:tab w:val="decimal" w:pos="192"/>
              </w:tabs>
              <w:jc w:val="left"/>
              <w:rPr>
                <w:sz w:val="14"/>
              </w:rPr>
            </w:pPr>
            <w:r w:rsidRPr="00C003FA">
              <w:rPr>
                <w:sz w:val="14"/>
              </w:rPr>
              <w:t>3.6</w:t>
            </w:r>
          </w:p>
        </w:tc>
        <w:tc>
          <w:tcPr>
            <w:tcW w:w="776" w:type="dxa"/>
            <w:vAlign w:val="bottom"/>
          </w:tcPr>
          <w:p w:rsidR="00A4689B" w:rsidRPr="00C003FA" w:rsidRDefault="00A4689B" w:rsidP="00A4689B">
            <w:pPr>
              <w:tabs>
                <w:tab w:val="decimal" w:pos="411"/>
              </w:tabs>
              <w:jc w:val="left"/>
              <w:rPr>
                <w:sz w:val="14"/>
              </w:rPr>
            </w:pPr>
            <w:r w:rsidRPr="00C003FA">
              <w:rPr>
                <w:sz w:val="14"/>
              </w:rPr>
              <w:t>7,044.5</w:t>
            </w:r>
          </w:p>
        </w:tc>
        <w:tc>
          <w:tcPr>
            <w:tcW w:w="675" w:type="dxa"/>
            <w:vAlign w:val="bottom"/>
          </w:tcPr>
          <w:p w:rsidR="00A4689B" w:rsidRPr="00C003FA" w:rsidRDefault="00A4689B" w:rsidP="00A4689B">
            <w:pPr>
              <w:tabs>
                <w:tab w:val="decimal" w:pos="189"/>
              </w:tabs>
              <w:jc w:val="left"/>
              <w:rPr>
                <w:sz w:val="14"/>
              </w:rPr>
            </w:pPr>
            <w:r w:rsidRPr="00C003FA">
              <w:rPr>
                <w:sz w:val="14"/>
              </w:rPr>
              <w:t>-1.3</w:t>
            </w:r>
          </w:p>
        </w:tc>
        <w:tc>
          <w:tcPr>
            <w:tcW w:w="776" w:type="dxa"/>
            <w:vAlign w:val="bottom"/>
          </w:tcPr>
          <w:p w:rsidR="00A4689B" w:rsidRPr="00C003FA" w:rsidRDefault="00A4689B" w:rsidP="00A4689B">
            <w:pPr>
              <w:tabs>
                <w:tab w:val="decimal" w:pos="411"/>
              </w:tabs>
              <w:jc w:val="left"/>
              <w:rPr>
                <w:sz w:val="14"/>
              </w:rPr>
            </w:pPr>
            <w:r w:rsidRPr="00C003FA">
              <w:rPr>
                <w:sz w:val="14"/>
              </w:rPr>
              <w:t>16,093.3</w:t>
            </w:r>
          </w:p>
        </w:tc>
        <w:tc>
          <w:tcPr>
            <w:tcW w:w="675" w:type="dxa"/>
            <w:vAlign w:val="bottom"/>
          </w:tcPr>
          <w:p w:rsidR="00A4689B" w:rsidRPr="00C003FA" w:rsidRDefault="00A4689B" w:rsidP="00A4689B">
            <w:pPr>
              <w:tabs>
                <w:tab w:val="decimal" w:pos="189"/>
              </w:tabs>
              <w:jc w:val="left"/>
              <w:rPr>
                <w:sz w:val="14"/>
              </w:rPr>
            </w:pPr>
            <w:r w:rsidRPr="00C003FA">
              <w:rPr>
                <w:sz w:val="14"/>
              </w:rPr>
              <w:t>128.5</w:t>
            </w:r>
          </w:p>
        </w:tc>
        <w:tc>
          <w:tcPr>
            <w:tcW w:w="755" w:type="dxa"/>
            <w:vAlign w:val="bottom"/>
          </w:tcPr>
          <w:p w:rsidR="00A4689B" w:rsidRPr="00C003FA" w:rsidRDefault="00A4689B" w:rsidP="00A4689B">
            <w:pPr>
              <w:tabs>
                <w:tab w:val="decimal" w:pos="418"/>
              </w:tabs>
              <w:jc w:val="left"/>
              <w:rPr>
                <w:sz w:val="14"/>
              </w:rPr>
            </w:pPr>
            <w:r w:rsidRPr="00C003FA">
              <w:rPr>
                <w:sz w:val="14"/>
              </w:rPr>
              <w:t>2,514.6</w:t>
            </w:r>
          </w:p>
        </w:tc>
        <w:tc>
          <w:tcPr>
            <w:tcW w:w="761" w:type="dxa"/>
            <w:vAlign w:val="bottom"/>
          </w:tcPr>
          <w:p w:rsidR="00A4689B" w:rsidRPr="00C003FA" w:rsidRDefault="00A4689B" w:rsidP="00A4689B">
            <w:pPr>
              <w:tabs>
                <w:tab w:val="decimal" w:pos="414"/>
              </w:tabs>
              <w:jc w:val="left"/>
              <w:rPr>
                <w:sz w:val="14"/>
              </w:rPr>
            </w:pPr>
            <w:r w:rsidRPr="00C003FA">
              <w:rPr>
                <w:sz w:val="14"/>
              </w:rPr>
              <w:t>2,737.7</w:t>
            </w:r>
          </w:p>
        </w:tc>
        <w:tc>
          <w:tcPr>
            <w:tcW w:w="675" w:type="dxa"/>
            <w:vAlign w:val="bottom"/>
          </w:tcPr>
          <w:p w:rsidR="00A4689B" w:rsidRPr="00C003FA" w:rsidRDefault="00A4689B" w:rsidP="00A4689B">
            <w:pPr>
              <w:tabs>
                <w:tab w:val="decimal" w:pos="187"/>
              </w:tabs>
              <w:ind w:right="-2"/>
              <w:jc w:val="left"/>
              <w:rPr>
                <w:sz w:val="14"/>
              </w:rPr>
            </w:pPr>
            <w:r w:rsidRPr="00C003FA">
              <w:rPr>
                <w:sz w:val="14"/>
              </w:rPr>
              <w:t>8.9</w:t>
            </w:r>
          </w:p>
        </w:tc>
      </w:tr>
      <w:tr w:rsidR="00A4689B" w:rsidRPr="00C003FA" w:rsidTr="00A4689B">
        <w:trPr>
          <w:jc w:val="center"/>
        </w:trPr>
        <w:tc>
          <w:tcPr>
            <w:tcW w:w="2231" w:type="dxa"/>
            <w:vAlign w:val="bottom"/>
          </w:tcPr>
          <w:p w:rsidR="00A4689B" w:rsidRPr="00C003FA" w:rsidRDefault="00A4689B" w:rsidP="00A4689B">
            <w:pPr>
              <w:jc w:val="left"/>
              <w:rPr>
                <w:sz w:val="14"/>
              </w:rPr>
            </w:pPr>
            <w:r w:rsidRPr="00C003FA">
              <w:rPr>
                <w:sz w:val="14"/>
              </w:rPr>
              <w:t>Arts/Entertainment/Recreation</w:t>
            </w:r>
          </w:p>
        </w:tc>
        <w:tc>
          <w:tcPr>
            <w:tcW w:w="776" w:type="dxa"/>
            <w:vAlign w:val="bottom"/>
          </w:tcPr>
          <w:p w:rsidR="00A4689B" w:rsidRPr="00C003FA" w:rsidRDefault="00A4689B" w:rsidP="00A4689B">
            <w:pPr>
              <w:tabs>
                <w:tab w:val="decimal" w:pos="411"/>
              </w:tabs>
              <w:jc w:val="left"/>
              <w:rPr>
                <w:sz w:val="14"/>
              </w:rPr>
            </w:pPr>
            <w:r w:rsidRPr="00C003FA">
              <w:rPr>
                <w:sz w:val="14"/>
              </w:rPr>
              <w:t>1,337.8</w:t>
            </w:r>
          </w:p>
        </w:tc>
        <w:tc>
          <w:tcPr>
            <w:tcW w:w="678" w:type="dxa"/>
            <w:vAlign w:val="bottom"/>
          </w:tcPr>
          <w:p w:rsidR="00A4689B" w:rsidRPr="00C003FA" w:rsidRDefault="00A4689B" w:rsidP="00A4689B">
            <w:pPr>
              <w:tabs>
                <w:tab w:val="decimal" w:pos="189"/>
              </w:tabs>
              <w:jc w:val="left"/>
              <w:rPr>
                <w:sz w:val="14"/>
              </w:rPr>
            </w:pPr>
            <w:r w:rsidRPr="00C003FA">
              <w:rPr>
                <w:sz w:val="14"/>
              </w:rPr>
              <w:t>14.4</w:t>
            </w:r>
          </w:p>
        </w:tc>
        <w:tc>
          <w:tcPr>
            <w:tcW w:w="776" w:type="dxa"/>
            <w:vAlign w:val="bottom"/>
          </w:tcPr>
          <w:p w:rsidR="00A4689B" w:rsidRPr="00C003FA" w:rsidRDefault="00A4689B" w:rsidP="00A4689B">
            <w:pPr>
              <w:tabs>
                <w:tab w:val="decimal" w:pos="433"/>
              </w:tabs>
              <w:jc w:val="left"/>
              <w:rPr>
                <w:sz w:val="14"/>
              </w:rPr>
            </w:pPr>
            <w:r w:rsidRPr="00C003FA">
              <w:rPr>
                <w:sz w:val="14"/>
              </w:rPr>
              <w:t>1,457.8</w:t>
            </w:r>
          </w:p>
        </w:tc>
        <w:tc>
          <w:tcPr>
            <w:tcW w:w="676" w:type="dxa"/>
            <w:vAlign w:val="bottom"/>
          </w:tcPr>
          <w:p w:rsidR="00A4689B" w:rsidRPr="00C003FA" w:rsidRDefault="00A4689B" w:rsidP="00A4689B">
            <w:pPr>
              <w:tabs>
                <w:tab w:val="decimal" w:pos="222"/>
              </w:tabs>
              <w:jc w:val="left"/>
              <w:rPr>
                <w:sz w:val="14"/>
              </w:rPr>
            </w:pPr>
            <w:r w:rsidRPr="00C003FA">
              <w:rPr>
                <w:sz w:val="14"/>
              </w:rPr>
              <w:t>9.0</w:t>
            </w:r>
          </w:p>
        </w:tc>
        <w:tc>
          <w:tcPr>
            <w:tcW w:w="776" w:type="dxa"/>
            <w:vAlign w:val="bottom"/>
          </w:tcPr>
          <w:p w:rsidR="00A4689B" w:rsidRPr="00C003FA" w:rsidRDefault="00A4689B" w:rsidP="00A4689B">
            <w:pPr>
              <w:tabs>
                <w:tab w:val="decimal" w:pos="422"/>
              </w:tabs>
              <w:jc w:val="left"/>
              <w:rPr>
                <w:sz w:val="14"/>
              </w:rPr>
            </w:pPr>
            <w:r w:rsidRPr="00C003FA">
              <w:rPr>
                <w:sz w:val="14"/>
              </w:rPr>
              <w:t>1,564.5</w:t>
            </w:r>
          </w:p>
        </w:tc>
        <w:tc>
          <w:tcPr>
            <w:tcW w:w="675" w:type="dxa"/>
            <w:vAlign w:val="bottom"/>
          </w:tcPr>
          <w:p w:rsidR="00A4689B" w:rsidRPr="00C003FA" w:rsidRDefault="00A4689B" w:rsidP="00A4689B">
            <w:pPr>
              <w:tabs>
                <w:tab w:val="decimal" w:pos="192"/>
              </w:tabs>
              <w:jc w:val="left"/>
              <w:rPr>
                <w:sz w:val="14"/>
              </w:rPr>
            </w:pPr>
            <w:r w:rsidRPr="00C003FA">
              <w:rPr>
                <w:sz w:val="14"/>
              </w:rPr>
              <w:t>7.3</w:t>
            </w:r>
          </w:p>
        </w:tc>
        <w:tc>
          <w:tcPr>
            <w:tcW w:w="776" w:type="dxa"/>
            <w:vAlign w:val="bottom"/>
          </w:tcPr>
          <w:p w:rsidR="00A4689B" w:rsidRPr="00C003FA" w:rsidRDefault="00A4689B" w:rsidP="00A4689B">
            <w:pPr>
              <w:tabs>
                <w:tab w:val="decimal" w:pos="411"/>
              </w:tabs>
              <w:jc w:val="left"/>
              <w:rPr>
                <w:sz w:val="14"/>
              </w:rPr>
            </w:pPr>
            <w:r w:rsidRPr="00C003FA">
              <w:rPr>
                <w:sz w:val="14"/>
              </w:rPr>
              <w:t>1,650.0</w:t>
            </w:r>
          </w:p>
        </w:tc>
        <w:tc>
          <w:tcPr>
            <w:tcW w:w="675" w:type="dxa"/>
            <w:vAlign w:val="bottom"/>
          </w:tcPr>
          <w:p w:rsidR="00A4689B" w:rsidRPr="00C003FA" w:rsidRDefault="00A4689B" w:rsidP="00A4689B">
            <w:pPr>
              <w:tabs>
                <w:tab w:val="decimal" w:pos="189"/>
              </w:tabs>
              <w:jc w:val="left"/>
              <w:rPr>
                <w:sz w:val="14"/>
              </w:rPr>
            </w:pPr>
            <w:r w:rsidRPr="00C003FA">
              <w:rPr>
                <w:sz w:val="14"/>
              </w:rPr>
              <w:t>5.5</w:t>
            </w:r>
          </w:p>
        </w:tc>
        <w:tc>
          <w:tcPr>
            <w:tcW w:w="776" w:type="dxa"/>
            <w:vAlign w:val="bottom"/>
          </w:tcPr>
          <w:p w:rsidR="00A4689B" w:rsidRPr="00C003FA" w:rsidRDefault="00A4689B" w:rsidP="00A4689B">
            <w:pPr>
              <w:tabs>
                <w:tab w:val="decimal" w:pos="411"/>
              </w:tabs>
              <w:jc w:val="left"/>
              <w:rPr>
                <w:sz w:val="14"/>
              </w:rPr>
            </w:pPr>
            <w:r w:rsidRPr="00C003FA">
              <w:rPr>
                <w:sz w:val="14"/>
              </w:rPr>
              <w:t>1,781.7</w:t>
            </w:r>
          </w:p>
        </w:tc>
        <w:tc>
          <w:tcPr>
            <w:tcW w:w="675" w:type="dxa"/>
            <w:vAlign w:val="bottom"/>
          </w:tcPr>
          <w:p w:rsidR="00A4689B" w:rsidRPr="00C003FA" w:rsidRDefault="00A4689B" w:rsidP="00A4689B">
            <w:pPr>
              <w:tabs>
                <w:tab w:val="decimal" w:pos="189"/>
              </w:tabs>
              <w:jc w:val="left"/>
              <w:rPr>
                <w:sz w:val="14"/>
              </w:rPr>
            </w:pPr>
            <w:r w:rsidRPr="00C003FA">
              <w:rPr>
                <w:sz w:val="14"/>
              </w:rPr>
              <w:t>8.0</w:t>
            </w:r>
          </w:p>
        </w:tc>
        <w:tc>
          <w:tcPr>
            <w:tcW w:w="755" w:type="dxa"/>
            <w:vAlign w:val="bottom"/>
          </w:tcPr>
          <w:p w:rsidR="00A4689B" w:rsidRPr="00C003FA" w:rsidRDefault="00A4689B" w:rsidP="00A4689B">
            <w:pPr>
              <w:tabs>
                <w:tab w:val="decimal" w:pos="418"/>
              </w:tabs>
              <w:jc w:val="left"/>
              <w:rPr>
                <w:sz w:val="14"/>
              </w:rPr>
            </w:pPr>
            <w:r w:rsidRPr="00C003FA">
              <w:rPr>
                <w:sz w:val="14"/>
              </w:rPr>
              <w:t>249.5</w:t>
            </w:r>
          </w:p>
        </w:tc>
        <w:tc>
          <w:tcPr>
            <w:tcW w:w="761" w:type="dxa"/>
            <w:vAlign w:val="bottom"/>
          </w:tcPr>
          <w:p w:rsidR="00A4689B" w:rsidRPr="00C003FA" w:rsidRDefault="00A4689B" w:rsidP="00A4689B">
            <w:pPr>
              <w:tabs>
                <w:tab w:val="decimal" w:pos="414"/>
              </w:tabs>
              <w:jc w:val="left"/>
              <w:rPr>
                <w:sz w:val="14"/>
              </w:rPr>
            </w:pPr>
            <w:r w:rsidRPr="00C003FA">
              <w:rPr>
                <w:sz w:val="14"/>
              </w:rPr>
              <w:t>284.0</w:t>
            </w:r>
          </w:p>
        </w:tc>
        <w:tc>
          <w:tcPr>
            <w:tcW w:w="675" w:type="dxa"/>
            <w:vAlign w:val="bottom"/>
          </w:tcPr>
          <w:p w:rsidR="00A4689B" w:rsidRPr="00C003FA" w:rsidRDefault="00A4689B" w:rsidP="00A4689B">
            <w:pPr>
              <w:tabs>
                <w:tab w:val="decimal" w:pos="187"/>
              </w:tabs>
              <w:ind w:right="-2"/>
              <w:jc w:val="left"/>
              <w:rPr>
                <w:sz w:val="14"/>
              </w:rPr>
            </w:pPr>
            <w:r w:rsidRPr="00C003FA">
              <w:rPr>
                <w:sz w:val="14"/>
              </w:rPr>
              <w:t>13.8</w:t>
            </w:r>
          </w:p>
        </w:tc>
      </w:tr>
      <w:tr w:rsidR="00A4689B" w:rsidRPr="00C003FA" w:rsidTr="00A4689B">
        <w:trPr>
          <w:jc w:val="center"/>
        </w:trPr>
        <w:tc>
          <w:tcPr>
            <w:tcW w:w="2231" w:type="dxa"/>
            <w:vAlign w:val="bottom"/>
          </w:tcPr>
          <w:p w:rsidR="00A4689B" w:rsidRPr="00C003FA" w:rsidRDefault="00A4689B" w:rsidP="00A4689B">
            <w:pPr>
              <w:jc w:val="left"/>
              <w:rPr>
                <w:sz w:val="14"/>
              </w:rPr>
            </w:pPr>
            <w:r w:rsidRPr="00C003FA">
              <w:rPr>
                <w:sz w:val="14"/>
              </w:rPr>
              <w:t>Accommodation</w:t>
            </w:r>
          </w:p>
        </w:tc>
        <w:tc>
          <w:tcPr>
            <w:tcW w:w="776" w:type="dxa"/>
            <w:vAlign w:val="bottom"/>
          </w:tcPr>
          <w:p w:rsidR="00A4689B" w:rsidRPr="00C003FA" w:rsidRDefault="00A4689B" w:rsidP="00A4689B">
            <w:pPr>
              <w:tabs>
                <w:tab w:val="decimal" w:pos="411"/>
              </w:tabs>
              <w:jc w:val="left"/>
              <w:rPr>
                <w:sz w:val="14"/>
              </w:rPr>
            </w:pPr>
            <w:r w:rsidRPr="00C003FA">
              <w:rPr>
                <w:sz w:val="14"/>
              </w:rPr>
              <w:t>4,043.4</w:t>
            </w:r>
          </w:p>
        </w:tc>
        <w:tc>
          <w:tcPr>
            <w:tcW w:w="678" w:type="dxa"/>
            <w:vAlign w:val="bottom"/>
          </w:tcPr>
          <w:p w:rsidR="00A4689B" w:rsidRPr="00C003FA" w:rsidRDefault="00A4689B" w:rsidP="00A4689B">
            <w:pPr>
              <w:tabs>
                <w:tab w:val="decimal" w:pos="189"/>
              </w:tabs>
              <w:jc w:val="left"/>
              <w:rPr>
                <w:sz w:val="14"/>
              </w:rPr>
            </w:pPr>
            <w:r w:rsidRPr="00C003FA">
              <w:rPr>
                <w:sz w:val="14"/>
              </w:rPr>
              <w:t>7.9</w:t>
            </w:r>
          </w:p>
        </w:tc>
        <w:tc>
          <w:tcPr>
            <w:tcW w:w="776" w:type="dxa"/>
            <w:vAlign w:val="bottom"/>
          </w:tcPr>
          <w:p w:rsidR="00A4689B" w:rsidRPr="00C003FA" w:rsidRDefault="00A4689B" w:rsidP="00A4689B">
            <w:pPr>
              <w:tabs>
                <w:tab w:val="decimal" w:pos="433"/>
              </w:tabs>
              <w:jc w:val="left"/>
              <w:rPr>
                <w:sz w:val="14"/>
              </w:rPr>
            </w:pPr>
            <w:r w:rsidRPr="00C003FA">
              <w:rPr>
                <w:sz w:val="14"/>
              </w:rPr>
              <w:t>4,338.5</w:t>
            </w:r>
          </w:p>
        </w:tc>
        <w:tc>
          <w:tcPr>
            <w:tcW w:w="676" w:type="dxa"/>
            <w:vAlign w:val="bottom"/>
          </w:tcPr>
          <w:p w:rsidR="00A4689B" w:rsidRPr="00C003FA" w:rsidRDefault="00A4689B" w:rsidP="00A4689B">
            <w:pPr>
              <w:tabs>
                <w:tab w:val="decimal" w:pos="222"/>
              </w:tabs>
              <w:jc w:val="left"/>
              <w:rPr>
                <w:sz w:val="14"/>
              </w:rPr>
            </w:pPr>
            <w:r w:rsidRPr="00C003FA">
              <w:rPr>
                <w:sz w:val="14"/>
              </w:rPr>
              <w:t>7.3</w:t>
            </w:r>
          </w:p>
        </w:tc>
        <w:tc>
          <w:tcPr>
            <w:tcW w:w="776" w:type="dxa"/>
            <w:vAlign w:val="bottom"/>
          </w:tcPr>
          <w:p w:rsidR="00A4689B" w:rsidRPr="00C003FA" w:rsidRDefault="00A4689B" w:rsidP="00A4689B">
            <w:pPr>
              <w:tabs>
                <w:tab w:val="decimal" w:pos="422"/>
              </w:tabs>
              <w:jc w:val="left"/>
              <w:rPr>
                <w:sz w:val="14"/>
              </w:rPr>
            </w:pPr>
            <w:r w:rsidRPr="00C003FA">
              <w:rPr>
                <w:sz w:val="14"/>
              </w:rPr>
              <w:t>4,773.3</w:t>
            </w:r>
          </w:p>
        </w:tc>
        <w:tc>
          <w:tcPr>
            <w:tcW w:w="675" w:type="dxa"/>
            <w:vAlign w:val="bottom"/>
          </w:tcPr>
          <w:p w:rsidR="00A4689B" w:rsidRPr="00C003FA" w:rsidRDefault="00A4689B" w:rsidP="00A4689B">
            <w:pPr>
              <w:tabs>
                <w:tab w:val="decimal" w:pos="192"/>
              </w:tabs>
              <w:jc w:val="left"/>
              <w:rPr>
                <w:sz w:val="14"/>
              </w:rPr>
            </w:pPr>
            <w:r w:rsidRPr="00C003FA">
              <w:rPr>
                <w:sz w:val="14"/>
              </w:rPr>
              <w:t>10.0</w:t>
            </w:r>
          </w:p>
        </w:tc>
        <w:tc>
          <w:tcPr>
            <w:tcW w:w="776" w:type="dxa"/>
            <w:vAlign w:val="bottom"/>
          </w:tcPr>
          <w:p w:rsidR="00A4689B" w:rsidRPr="00C003FA" w:rsidRDefault="00A4689B" w:rsidP="00A4689B">
            <w:pPr>
              <w:tabs>
                <w:tab w:val="decimal" w:pos="411"/>
              </w:tabs>
              <w:jc w:val="left"/>
              <w:rPr>
                <w:sz w:val="14"/>
              </w:rPr>
            </w:pPr>
            <w:r w:rsidRPr="00C003FA">
              <w:rPr>
                <w:sz w:val="14"/>
              </w:rPr>
              <w:t>5,147.4</w:t>
            </w:r>
          </w:p>
        </w:tc>
        <w:tc>
          <w:tcPr>
            <w:tcW w:w="675" w:type="dxa"/>
            <w:vAlign w:val="bottom"/>
          </w:tcPr>
          <w:p w:rsidR="00A4689B" w:rsidRPr="00C003FA" w:rsidRDefault="00A4689B" w:rsidP="00A4689B">
            <w:pPr>
              <w:tabs>
                <w:tab w:val="decimal" w:pos="189"/>
              </w:tabs>
              <w:jc w:val="left"/>
              <w:rPr>
                <w:sz w:val="14"/>
              </w:rPr>
            </w:pPr>
            <w:r w:rsidRPr="00C003FA">
              <w:rPr>
                <w:sz w:val="14"/>
              </w:rPr>
              <w:t>7.8</w:t>
            </w:r>
          </w:p>
        </w:tc>
        <w:tc>
          <w:tcPr>
            <w:tcW w:w="776" w:type="dxa"/>
            <w:vAlign w:val="bottom"/>
          </w:tcPr>
          <w:p w:rsidR="00A4689B" w:rsidRPr="00C003FA" w:rsidRDefault="00A4689B" w:rsidP="00A4689B">
            <w:pPr>
              <w:tabs>
                <w:tab w:val="decimal" w:pos="411"/>
              </w:tabs>
              <w:jc w:val="left"/>
              <w:rPr>
                <w:sz w:val="14"/>
              </w:rPr>
            </w:pPr>
            <w:r w:rsidRPr="00C003FA">
              <w:rPr>
                <w:sz w:val="14"/>
              </w:rPr>
              <w:t>5,771.3</w:t>
            </w:r>
          </w:p>
        </w:tc>
        <w:tc>
          <w:tcPr>
            <w:tcW w:w="675" w:type="dxa"/>
            <w:vAlign w:val="bottom"/>
          </w:tcPr>
          <w:p w:rsidR="00A4689B" w:rsidRPr="00C003FA" w:rsidRDefault="00A4689B" w:rsidP="00A4689B">
            <w:pPr>
              <w:tabs>
                <w:tab w:val="decimal" w:pos="189"/>
              </w:tabs>
              <w:jc w:val="left"/>
              <w:rPr>
                <w:sz w:val="14"/>
              </w:rPr>
            </w:pPr>
            <w:r w:rsidRPr="00C003FA">
              <w:rPr>
                <w:sz w:val="14"/>
              </w:rPr>
              <w:t>12.1</w:t>
            </w:r>
          </w:p>
        </w:tc>
        <w:tc>
          <w:tcPr>
            <w:tcW w:w="755" w:type="dxa"/>
            <w:vAlign w:val="bottom"/>
          </w:tcPr>
          <w:p w:rsidR="00A4689B" w:rsidRPr="00C003FA" w:rsidRDefault="00A4689B" w:rsidP="00A4689B">
            <w:pPr>
              <w:tabs>
                <w:tab w:val="decimal" w:pos="418"/>
              </w:tabs>
              <w:jc w:val="left"/>
              <w:rPr>
                <w:sz w:val="14"/>
              </w:rPr>
            </w:pPr>
            <w:r w:rsidRPr="00C003FA">
              <w:rPr>
                <w:sz w:val="14"/>
              </w:rPr>
              <w:t>850.7</w:t>
            </w:r>
          </w:p>
        </w:tc>
        <w:tc>
          <w:tcPr>
            <w:tcW w:w="761" w:type="dxa"/>
            <w:vAlign w:val="bottom"/>
          </w:tcPr>
          <w:p w:rsidR="00A4689B" w:rsidRPr="00C003FA" w:rsidRDefault="00A4689B" w:rsidP="00A4689B">
            <w:pPr>
              <w:tabs>
                <w:tab w:val="decimal" w:pos="414"/>
              </w:tabs>
              <w:jc w:val="left"/>
              <w:rPr>
                <w:sz w:val="14"/>
              </w:rPr>
            </w:pPr>
            <w:r w:rsidRPr="00C003FA">
              <w:rPr>
                <w:sz w:val="14"/>
              </w:rPr>
              <w:t>1,017.8</w:t>
            </w:r>
          </w:p>
        </w:tc>
        <w:tc>
          <w:tcPr>
            <w:tcW w:w="675" w:type="dxa"/>
            <w:vAlign w:val="bottom"/>
          </w:tcPr>
          <w:p w:rsidR="00A4689B" w:rsidRPr="00C003FA" w:rsidRDefault="00A4689B" w:rsidP="00A4689B">
            <w:pPr>
              <w:tabs>
                <w:tab w:val="decimal" w:pos="187"/>
              </w:tabs>
              <w:ind w:right="-2"/>
              <w:jc w:val="left"/>
              <w:rPr>
                <w:sz w:val="14"/>
              </w:rPr>
            </w:pPr>
            <w:r w:rsidRPr="00C003FA">
              <w:rPr>
                <w:sz w:val="14"/>
              </w:rPr>
              <w:t>19.7</w:t>
            </w:r>
          </w:p>
        </w:tc>
      </w:tr>
      <w:tr w:rsidR="00A4689B" w:rsidRPr="00C003FA" w:rsidTr="00A4689B">
        <w:trPr>
          <w:jc w:val="center"/>
        </w:trPr>
        <w:tc>
          <w:tcPr>
            <w:tcW w:w="2231" w:type="dxa"/>
            <w:vAlign w:val="bottom"/>
          </w:tcPr>
          <w:p w:rsidR="00A4689B" w:rsidRPr="00C003FA" w:rsidRDefault="00A4689B" w:rsidP="00A4689B">
            <w:pPr>
              <w:jc w:val="left"/>
              <w:rPr>
                <w:sz w:val="14"/>
              </w:rPr>
            </w:pPr>
            <w:r w:rsidRPr="00C003FA">
              <w:rPr>
                <w:sz w:val="14"/>
              </w:rPr>
              <w:t>Food/Drinking Services</w:t>
            </w:r>
          </w:p>
        </w:tc>
        <w:tc>
          <w:tcPr>
            <w:tcW w:w="776" w:type="dxa"/>
            <w:vAlign w:val="bottom"/>
          </w:tcPr>
          <w:p w:rsidR="00A4689B" w:rsidRPr="00C003FA" w:rsidRDefault="00A4689B" w:rsidP="00A4689B">
            <w:pPr>
              <w:tabs>
                <w:tab w:val="decimal" w:pos="411"/>
              </w:tabs>
              <w:jc w:val="left"/>
              <w:rPr>
                <w:sz w:val="14"/>
              </w:rPr>
            </w:pPr>
            <w:r w:rsidRPr="00C003FA">
              <w:rPr>
                <w:sz w:val="14"/>
              </w:rPr>
              <w:t>11,615.6</w:t>
            </w:r>
          </w:p>
        </w:tc>
        <w:tc>
          <w:tcPr>
            <w:tcW w:w="678" w:type="dxa"/>
            <w:vAlign w:val="bottom"/>
          </w:tcPr>
          <w:p w:rsidR="00A4689B" w:rsidRPr="00C003FA" w:rsidRDefault="00A4689B" w:rsidP="00A4689B">
            <w:pPr>
              <w:tabs>
                <w:tab w:val="decimal" w:pos="189"/>
              </w:tabs>
              <w:jc w:val="left"/>
              <w:rPr>
                <w:sz w:val="14"/>
              </w:rPr>
            </w:pPr>
            <w:r w:rsidRPr="00C003FA">
              <w:rPr>
                <w:sz w:val="14"/>
              </w:rPr>
              <w:t>7.0</w:t>
            </w:r>
          </w:p>
        </w:tc>
        <w:tc>
          <w:tcPr>
            <w:tcW w:w="776" w:type="dxa"/>
            <w:vAlign w:val="bottom"/>
          </w:tcPr>
          <w:p w:rsidR="00A4689B" w:rsidRPr="00C003FA" w:rsidRDefault="00A4689B" w:rsidP="00A4689B">
            <w:pPr>
              <w:tabs>
                <w:tab w:val="decimal" w:pos="433"/>
              </w:tabs>
              <w:jc w:val="left"/>
              <w:rPr>
                <w:sz w:val="14"/>
              </w:rPr>
            </w:pPr>
            <w:r w:rsidRPr="00C003FA">
              <w:rPr>
                <w:sz w:val="14"/>
              </w:rPr>
              <w:t>12,280.3</w:t>
            </w:r>
          </w:p>
        </w:tc>
        <w:tc>
          <w:tcPr>
            <w:tcW w:w="676" w:type="dxa"/>
            <w:vAlign w:val="bottom"/>
          </w:tcPr>
          <w:p w:rsidR="00A4689B" w:rsidRPr="00C003FA" w:rsidRDefault="00A4689B" w:rsidP="00A4689B">
            <w:pPr>
              <w:tabs>
                <w:tab w:val="decimal" w:pos="222"/>
              </w:tabs>
              <w:jc w:val="left"/>
              <w:rPr>
                <w:sz w:val="14"/>
              </w:rPr>
            </w:pPr>
            <w:r w:rsidRPr="00C003FA">
              <w:rPr>
                <w:sz w:val="14"/>
              </w:rPr>
              <w:t>5.7</w:t>
            </w:r>
          </w:p>
        </w:tc>
        <w:tc>
          <w:tcPr>
            <w:tcW w:w="776" w:type="dxa"/>
            <w:vAlign w:val="bottom"/>
          </w:tcPr>
          <w:p w:rsidR="00A4689B" w:rsidRPr="00C003FA" w:rsidRDefault="00A4689B" w:rsidP="00A4689B">
            <w:pPr>
              <w:tabs>
                <w:tab w:val="decimal" w:pos="422"/>
              </w:tabs>
              <w:jc w:val="left"/>
              <w:rPr>
                <w:sz w:val="14"/>
              </w:rPr>
            </w:pPr>
            <w:r w:rsidRPr="00C003FA">
              <w:rPr>
                <w:sz w:val="14"/>
              </w:rPr>
              <w:t>13,020.4</w:t>
            </w:r>
          </w:p>
        </w:tc>
        <w:tc>
          <w:tcPr>
            <w:tcW w:w="675" w:type="dxa"/>
            <w:vAlign w:val="bottom"/>
          </w:tcPr>
          <w:p w:rsidR="00A4689B" w:rsidRPr="00C003FA" w:rsidRDefault="00A4689B" w:rsidP="00A4689B">
            <w:pPr>
              <w:tabs>
                <w:tab w:val="decimal" w:pos="192"/>
              </w:tabs>
              <w:jc w:val="left"/>
              <w:rPr>
                <w:sz w:val="14"/>
              </w:rPr>
            </w:pPr>
            <w:r w:rsidRPr="00C003FA">
              <w:rPr>
                <w:sz w:val="14"/>
              </w:rPr>
              <w:t>6.0</w:t>
            </w:r>
          </w:p>
        </w:tc>
        <w:tc>
          <w:tcPr>
            <w:tcW w:w="776" w:type="dxa"/>
            <w:vAlign w:val="bottom"/>
          </w:tcPr>
          <w:p w:rsidR="00A4689B" w:rsidRPr="00C003FA" w:rsidRDefault="00A4689B" w:rsidP="00A4689B">
            <w:pPr>
              <w:tabs>
                <w:tab w:val="decimal" w:pos="411"/>
              </w:tabs>
              <w:jc w:val="left"/>
              <w:rPr>
                <w:sz w:val="14"/>
              </w:rPr>
            </w:pPr>
            <w:r w:rsidRPr="00C003FA">
              <w:rPr>
                <w:sz w:val="14"/>
              </w:rPr>
              <w:t>13,798.6</w:t>
            </w:r>
          </w:p>
        </w:tc>
        <w:tc>
          <w:tcPr>
            <w:tcW w:w="675" w:type="dxa"/>
            <w:vAlign w:val="bottom"/>
          </w:tcPr>
          <w:p w:rsidR="00A4689B" w:rsidRPr="00C003FA" w:rsidRDefault="00A4689B" w:rsidP="00A4689B">
            <w:pPr>
              <w:tabs>
                <w:tab w:val="decimal" w:pos="189"/>
              </w:tabs>
              <w:jc w:val="left"/>
              <w:rPr>
                <w:sz w:val="14"/>
              </w:rPr>
            </w:pPr>
            <w:r w:rsidRPr="00C003FA">
              <w:rPr>
                <w:sz w:val="14"/>
              </w:rPr>
              <w:t>6.0</w:t>
            </w:r>
          </w:p>
        </w:tc>
        <w:tc>
          <w:tcPr>
            <w:tcW w:w="776" w:type="dxa"/>
            <w:vAlign w:val="bottom"/>
          </w:tcPr>
          <w:p w:rsidR="00A4689B" w:rsidRPr="00C003FA" w:rsidRDefault="00A4689B" w:rsidP="00A4689B">
            <w:pPr>
              <w:tabs>
                <w:tab w:val="decimal" w:pos="411"/>
              </w:tabs>
              <w:jc w:val="left"/>
              <w:rPr>
                <w:sz w:val="14"/>
              </w:rPr>
            </w:pPr>
            <w:r w:rsidRPr="00C003FA">
              <w:rPr>
                <w:sz w:val="14"/>
              </w:rPr>
              <w:t>14,511.8</w:t>
            </w:r>
          </w:p>
        </w:tc>
        <w:tc>
          <w:tcPr>
            <w:tcW w:w="675" w:type="dxa"/>
            <w:vAlign w:val="bottom"/>
          </w:tcPr>
          <w:p w:rsidR="00A4689B" w:rsidRPr="00C003FA" w:rsidRDefault="00A4689B" w:rsidP="00A4689B">
            <w:pPr>
              <w:tabs>
                <w:tab w:val="decimal" w:pos="189"/>
              </w:tabs>
              <w:jc w:val="left"/>
              <w:rPr>
                <w:sz w:val="14"/>
              </w:rPr>
            </w:pPr>
            <w:r w:rsidRPr="00C003FA">
              <w:rPr>
                <w:sz w:val="14"/>
              </w:rPr>
              <w:t>5.2</w:t>
            </w:r>
          </w:p>
        </w:tc>
        <w:tc>
          <w:tcPr>
            <w:tcW w:w="755" w:type="dxa"/>
            <w:vAlign w:val="bottom"/>
          </w:tcPr>
          <w:p w:rsidR="00A4689B" w:rsidRPr="00C003FA" w:rsidRDefault="00A4689B" w:rsidP="00A4689B">
            <w:pPr>
              <w:tabs>
                <w:tab w:val="decimal" w:pos="418"/>
              </w:tabs>
              <w:jc w:val="left"/>
              <w:rPr>
                <w:sz w:val="14"/>
              </w:rPr>
            </w:pPr>
            <w:r w:rsidRPr="00C003FA">
              <w:rPr>
                <w:sz w:val="14"/>
              </w:rPr>
              <w:t>2,197.2</w:t>
            </w:r>
          </w:p>
        </w:tc>
        <w:tc>
          <w:tcPr>
            <w:tcW w:w="761" w:type="dxa"/>
            <w:vAlign w:val="bottom"/>
          </w:tcPr>
          <w:p w:rsidR="00A4689B" w:rsidRPr="00C003FA" w:rsidRDefault="00A4689B" w:rsidP="00A4689B">
            <w:pPr>
              <w:tabs>
                <w:tab w:val="decimal" w:pos="414"/>
              </w:tabs>
              <w:jc w:val="left"/>
              <w:rPr>
                <w:sz w:val="14"/>
              </w:rPr>
            </w:pPr>
            <w:r w:rsidRPr="00C003FA">
              <w:rPr>
                <w:sz w:val="14"/>
              </w:rPr>
              <w:t>2,311.6</w:t>
            </w:r>
          </w:p>
        </w:tc>
        <w:tc>
          <w:tcPr>
            <w:tcW w:w="675" w:type="dxa"/>
            <w:vAlign w:val="bottom"/>
          </w:tcPr>
          <w:p w:rsidR="00A4689B" w:rsidRPr="00C003FA" w:rsidRDefault="00A4689B" w:rsidP="00A4689B">
            <w:pPr>
              <w:tabs>
                <w:tab w:val="decimal" w:pos="187"/>
              </w:tabs>
              <w:ind w:right="-2"/>
              <w:jc w:val="left"/>
              <w:rPr>
                <w:sz w:val="14"/>
              </w:rPr>
            </w:pPr>
            <w:r w:rsidRPr="00C003FA">
              <w:rPr>
                <w:sz w:val="14"/>
              </w:rPr>
              <w:t>5.2</w:t>
            </w:r>
          </w:p>
        </w:tc>
      </w:tr>
      <w:tr w:rsidR="00A4689B" w:rsidRPr="00C003FA" w:rsidTr="00A4689B">
        <w:trPr>
          <w:jc w:val="center"/>
        </w:trPr>
        <w:tc>
          <w:tcPr>
            <w:tcW w:w="2231" w:type="dxa"/>
            <w:vAlign w:val="bottom"/>
          </w:tcPr>
          <w:p w:rsidR="00A4689B" w:rsidRPr="00C003FA" w:rsidRDefault="00A4689B" w:rsidP="00A4689B">
            <w:pPr>
              <w:jc w:val="left"/>
              <w:rPr>
                <w:sz w:val="14"/>
              </w:rPr>
            </w:pPr>
            <w:r w:rsidRPr="00C003FA">
              <w:rPr>
                <w:sz w:val="14"/>
              </w:rPr>
              <w:t>Other Services</w:t>
            </w:r>
          </w:p>
        </w:tc>
        <w:tc>
          <w:tcPr>
            <w:tcW w:w="776" w:type="dxa"/>
            <w:vAlign w:val="bottom"/>
          </w:tcPr>
          <w:p w:rsidR="00A4689B" w:rsidRPr="00C003FA" w:rsidRDefault="00A4689B" w:rsidP="00A4689B">
            <w:pPr>
              <w:tabs>
                <w:tab w:val="decimal" w:pos="411"/>
              </w:tabs>
              <w:jc w:val="left"/>
              <w:rPr>
                <w:sz w:val="14"/>
              </w:rPr>
            </w:pPr>
            <w:r w:rsidRPr="00C003FA">
              <w:rPr>
                <w:sz w:val="14"/>
              </w:rPr>
              <w:t>5,441.9</w:t>
            </w:r>
          </w:p>
        </w:tc>
        <w:tc>
          <w:tcPr>
            <w:tcW w:w="678" w:type="dxa"/>
            <w:vAlign w:val="bottom"/>
          </w:tcPr>
          <w:p w:rsidR="00A4689B" w:rsidRPr="00C003FA" w:rsidRDefault="00A4689B" w:rsidP="00A4689B">
            <w:pPr>
              <w:tabs>
                <w:tab w:val="decimal" w:pos="189"/>
              </w:tabs>
              <w:jc w:val="left"/>
              <w:rPr>
                <w:sz w:val="14"/>
              </w:rPr>
            </w:pPr>
            <w:r w:rsidRPr="00C003FA">
              <w:rPr>
                <w:sz w:val="14"/>
              </w:rPr>
              <w:t>10.5</w:t>
            </w:r>
          </w:p>
        </w:tc>
        <w:tc>
          <w:tcPr>
            <w:tcW w:w="776" w:type="dxa"/>
            <w:vAlign w:val="bottom"/>
          </w:tcPr>
          <w:p w:rsidR="00A4689B" w:rsidRPr="00C003FA" w:rsidRDefault="00A4689B" w:rsidP="00A4689B">
            <w:pPr>
              <w:tabs>
                <w:tab w:val="decimal" w:pos="433"/>
              </w:tabs>
              <w:jc w:val="left"/>
              <w:rPr>
                <w:sz w:val="14"/>
              </w:rPr>
            </w:pPr>
            <w:r w:rsidRPr="00C003FA">
              <w:rPr>
                <w:sz w:val="14"/>
              </w:rPr>
              <w:t>5,730.4</w:t>
            </w:r>
          </w:p>
        </w:tc>
        <w:tc>
          <w:tcPr>
            <w:tcW w:w="676" w:type="dxa"/>
            <w:vAlign w:val="bottom"/>
          </w:tcPr>
          <w:p w:rsidR="00A4689B" w:rsidRPr="00C003FA" w:rsidRDefault="00A4689B" w:rsidP="00A4689B">
            <w:pPr>
              <w:tabs>
                <w:tab w:val="decimal" w:pos="222"/>
              </w:tabs>
              <w:jc w:val="left"/>
              <w:rPr>
                <w:sz w:val="14"/>
              </w:rPr>
            </w:pPr>
            <w:r w:rsidRPr="00C003FA">
              <w:rPr>
                <w:sz w:val="14"/>
              </w:rPr>
              <w:t>5.3</w:t>
            </w:r>
          </w:p>
        </w:tc>
        <w:tc>
          <w:tcPr>
            <w:tcW w:w="776" w:type="dxa"/>
            <w:vAlign w:val="bottom"/>
          </w:tcPr>
          <w:p w:rsidR="00A4689B" w:rsidRPr="00C003FA" w:rsidRDefault="00A4689B" w:rsidP="00A4689B">
            <w:pPr>
              <w:tabs>
                <w:tab w:val="decimal" w:pos="422"/>
              </w:tabs>
              <w:jc w:val="left"/>
              <w:rPr>
                <w:sz w:val="14"/>
              </w:rPr>
            </w:pPr>
            <w:r w:rsidRPr="00C003FA">
              <w:rPr>
                <w:sz w:val="14"/>
              </w:rPr>
              <w:t>6,182.5</w:t>
            </w:r>
          </w:p>
        </w:tc>
        <w:tc>
          <w:tcPr>
            <w:tcW w:w="675" w:type="dxa"/>
            <w:vAlign w:val="bottom"/>
          </w:tcPr>
          <w:p w:rsidR="00A4689B" w:rsidRPr="00C003FA" w:rsidRDefault="00A4689B" w:rsidP="00A4689B">
            <w:pPr>
              <w:tabs>
                <w:tab w:val="decimal" w:pos="192"/>
              </w:tabs>
              <w:jc w:val="left"/>
              <w:rPr>
                <w:sz w:val="14"/>
              </w:rPr>
            </w:pPr>
            <w:r w:rsidRPr="00C003FA">
              <w:rPr>
                <w:sz w:val="14"/>
              </w:rPr>
              <w:t>7.9</w:t>
            </w:r>
          </w:p>
        </w:tc>
        <w:tc>
          <w:tcPr>
            <w:tcW w:w="776" w:type="dxa"/>
            <w:vAlign w:val="bottom"/>
          </w:tcPr>
          <w:p w:rsidR="00A4689B" w:rsidRPr="00C003FA" w:rsidRDefault="00A4689B" w:rsidP="00A4689B">
            <w:pPr>
              <w:tabs>
                <w:tab w:val="decimal" w:pos="411"/>
              </w:tabs>
              <w:jc w:val="left"/>
              <w:rPr>
                <w:sz w:val="14"/>
              </w:rPr>
            </w:pPr>
            <w:r w:rsidRPr="00C003FA">
              <w:rPr>
                <w:sz w:val="14"/>
              </w:rPr>
              <w:t>6,751.4</w:t>
            </w:r>
          </w:p>
        </w:tc>
        <w:tc>
          <w:tcPr>
            <w:tcW w:w="675" w:type="dxa"/>
            <w:vAlign w:val="bottom"/>
          </w:tcPr>
          <w:p w:rsidR="00A4689B" w:rsidRPr="00C003FA" w:rsidRDefault="00A4689B" w:rsidP="00A4689B">
            <w:pPr>
              <w:tabs>
                <w:tab w:val="decimal" w:pos="189"/>
              </w:tabs>
              <w:jc w:val="left"/>
              <w:rPr>
                <w:sz w:val="14"/>
              </w:rPr>
            </w:pPr>
            <w:r w:rsidRPr="00C003FA">
              <w:rPr>
                <w:sz w:val="14"/>
              </w:rPr>
              <w:t>9.2</w:t>
            </w:r>
          </w:p>
        </w:tc>
        <w:tc>
          <w:tcPr>
            <w:tcW w:w="776" w:type="dxa"/>
            <w:vAlign w:val="bottom"/>
          </w:tcPr>
          <w:p w:rsidR="00A4689B" w:rsidRPr="00C003FA" w:rsidRDefault="00A4689B" w:rsidP="00A4689B">
            <w:pPr>
              <w:tabs>
                <w:tab w:val="decimal" w:pos="411"/>
              </w:tabs>
              <w:jc w:val="left"/>
              <w:rPr>
                <w:sz w:val="14"/>
              </w:rPr>
            </w:pPr>
            <w:r w:rsidRPr="00C003FA">
              <w:rPr>
                <w:sz w:val="14"/>
              </w:rPr>
              <w:t>6,924.2</w:t>
            </w:r>
          </w:p>
        </w:tc>
        <w:tc>
          <w:tcPr>
            <w:tcW w:w="675" w:type="dxa"/>
            <w:vAlign w:val="bottom"/>
          </w:tcPr>
          <w:p w:rsidR="00A4689B" w:rsidRPr="00C003FA" w:rsidRDefault="00A4689B" w:rsidP="00A4689B">
            <w:pPr>
              <w:tabs>
                <w:tab w:val="decimal" w:pos="189"/>
              </w:tabs>
              <w:jc w:val="left"/>
              <w:rPr>
                <w:sz w:val="14"/>
              </w:rPr>
            </w:pPr>
            <w:r w:rsidRPr="00C003FA">
              <w:rPr>
                <w:sz w:val="14"/>
              </w:rPr>
              <w:t>2.6</w:t>
            </w:r>
          </w:p>
        </w:tc>
        <w:tc>
          <w:tcPr>
            <w:tcW w:w="755" w:type="dxa"/>
            <w:vAlign w:val="bottom"/>
          </w:tcPr>
          <w:p w:rsidR="00A4689B" w:rsidRPr="00C003FA" w:rsidRDefault="00A4689B" w:rsidP="00A4689B">
            <w:pPr>
              <w:tabs>
                <w:tab w:val="decimal" w:pos="418"/>
              </w:tabs>
              <w:jc w:val="left"/>
              <w:rPr>
                <w:sz w:val="14"/>
              </w:rPr>
            </w:pPr>
            <w:r w:rsidRPr="00C003FA">
              <w:rPr>
                <w:sz w:val="14"/>
              </w:rPr>
              <w:t>939.6</w:t>
            </w:r>
          </w:p>
        </w:tc>
        <w:tc>
          <w:tcPr>
            <w:tcW w:w="761" w:type="dxa"/>
            <w:vAlign w:val="bottom"/>
          </w:tcPr>
          <w:p w:rsidR="00A4689B" w:rsidRPr="00C003FA" w:rsidRDefault="00A4689B" w:rsidP="00A4689B">
            <w:pPr>
              <w:tabs>
                <w:tab w:val="decimal" w:pos="414"/>
              </w:tabs>
              <w:jc w:val="left"/>
              <w:rPr>
                <w:sz w:val="14"/>
              </w:rPr>
            </w:pPr>
            <w:r w:rsidRPr="00C003FA">
              <w:rPr>
                <w:sz w:val="14"/>
              </w:rPr>
              <w:t>963.4</w:t>
            </w:r>
          </w:p>
        </w:tc>
        <w:tc>
          <w:tcPr>
            <w:tcW w:w="675" w:type="dxa"/>
            <w:vAlign w:val="bottom"/>
          </w:tcPr>
          <w:p w:rsidR="00A4689B" w:rsidRPr="00C003FA" w:rsidRDefault="00A4689B" w:rsidP="00A4689B">
            <w:pPr>
              <w:tabs>
                <w:tab w:val="decimal" w:pos="187"/>
              </w:tabs>
              <w:ind w:right="-2"/>
              <w:jc w:val="left"/>
              <w:rPr>
                <w:sz w:val="14"/>
              </w:rPr>
            </w:pPr>
            <w:r w:rsidRPr="00C003FA">
              <w:rPr>
                <w:sz w:val="14"/>
              </w:rPr>
              <w:t>2.5</w:t>
            </w:r>
          </w:p>
        </w:tc>
      </w:tr>
      <w:tr w:rsidR="00A4689B" w:rsidRPr="00C003FA" w:rsidTr="00A4689B">
        <w:trPr>
          <w:jc w:val="center"/>
        </w:trPr>
        <w:tc>
          <w:tcPr>
            <w:tcW w:w="2231" w:type="dxa"/>
            <w:vAlign w:val="bottom"/>
          </w:tcPr>
          <w:p w:rsidR="00A4689B" w:rsidRPr="00C003FA" w:rsidRDefault="00A4689B" w:rsidP="00A4689B">
            <w:pPr>
              <w:jc w:val="left"/>
              <w:rPr>
                <w:sz w:val="14"/>
              </w:rPr>
            </w:pPr>
            <w:r w:rsidRPr="00C003FA">
              <w:rPr>
                <w:sz w:val="14"/>
              </w:rPr>
              <w:t>Government</w:t>
            </w:r>
          </w:p>
        </w:tc>
        <w:tc>
          <w:tcPr>
            <w:tcW w:w="776" w:type="dxa"/>
            <w:vAlign w:val="bottom"/>
          </w:tcPr>
          <w:p w:rsidR="00A4689B" w:rsidRPr="00C003FA" w:rsidRDefault="00A4689B" w:rsidP="00A4689B">
            <w:pPr>
              <w:tabs>
                <w:tab w:val="decimal" w:pos="411"/>
              </w:tabs>
              <w:jc w:val="left"/>
              <w:rPr>
                <w:sz w:val="14"/>
                <w:u w:val="single"/>
              </w:rPr>
            </w:pPr>
            <w:r w:rsidRPr="00C003FA">
              <w:rPr>
                <w:sz w:val="14"/>
                <w:u w:val="single"/>
              </w:rPr>
              <w:t xml:space="preserve">      273.4</w:t>
            </w:r>
          </w:p>
        </w:tc>
        <w:tc>
          <w:tcPr>
            <w:tcW w:w="678" w:type="dxa"/>
            <w:vAlign w:val="bottom"/>
          </w:tcPr>
          <w:p w:rsidR="00A4689B" w:rsidRPr="00C003FA" w:rsidRDefault="00A4689B" w:rsidP="00A4689B">
            <w:pPr>
              <w:tabs>
                <w:tab w:val="decimal" w:pos="189"/>
              </w:tabs>
              <w:jc w:val="left"/>
              <w:rPr>
                <w:sz w:val="14"/>
                <w:u w:val="single"/>
              </w:rPr>
            </w:pPr>
            <w:r w:rsidRPr="00C003FA">
              <w:rPr>
                <w:sz w:val="14"/>
                <w:u w:val="single"/>
              </w:rPr>
              <w:t>7.3</w:t>
            </w:r>
          </w:p>
        </w:tc>
        <w:tc>
          <w:tcPr>
            <w:tcW w:w="776" w:type="dxa"/>
            <w:vAlign w:val="bottom"/>
          </w:tcPr>
          <w:p w:rsidR="00A4689B" w:rsidRPr="00C003FA" w:rsidRDefault="00A4689B" w:rsidP="00A4689B">
            <w:pPr>
              <w:tabs>
                <w:tab w:val="decimal" w:pos="433"/>
              </w:tabs>
              <w:jc w:val="left"/>
              <w:rPr>
                <w:sz w:val="14"/>
                <w:u w:val="single"/>
              </w:rPr>
            </w:pPr>
            <w:r w:rsidRPr="00C003FA">
              <w:rPr>
                <w:sz w:val="14"/>
                <w:u w:val="single"/>
              </w:rPr>
              <w:t>307.2</w:t>
            </w:r>
          </w:p>
        </w:tc>
        <w:tc>
          <w:tcPr>
            <w:tcW w:w="676" w:type="dxa"/>
            <w:vAlign w:val="bottom"/>
          </w:tcPr>
          <w:p w:rsidR="00A4689B" w:rsidRPr="00C003FA" w:rsidRDefault="00A4689B" w:rsidP="00A4689B">
            <w:pPr>
              <w:tabs>
                <w:tab w:val="decimal" w:pos="222"/>
              </w:tabs>
              <w:jc w:val="left"/>
              <w:rPr>
                <w:sz w:val="14"/>
                <w:u w:val="single"/>
              </w:rPr>
            </w:pPr>
            <w:r w:rsidRPr="00C003FA">
              <w:rPr>
                <w:sz w:val="14"/>
                <w:u w:val="single"/>
              </w:rPr>
              <w:t>12.4</w:t>
            </w:r>
          </w:p>
        </w:tc>
        <w:tc>
          <w:tcPr>
            <w:tcW w:w="776" w:type="dxa"/>
            <w:vAlign w:val="bottom"/>
          </w:tcPr>
          <w:p w:rsidR="00A4689B" w:rsidRPr="00C003FA" w:rsidRDefault="00A4689B" w:rsidP="00A4689B">
            <w:pPr>
              <w:tabs>
                <w:tab w:val="decimal" w:pos="422"/>
              </w:tabs>
              <w:jc w:val="left"/>
              <w:rPr>
                <w:sz w:val="14"/>
                <w:u w:val="single"/>
              </w:rPr>
            </w:pPr>
            <w:r w:rsidRPr="00C003FA">
              <w:rPr>
                <w:sz w:val="14"/>
                <w:u w:val="single"/>
              </w:rPr>
              <w:t xml:space="preserve">      363.7</w:t>
            </w:r>
          </w:p>
        </w:tc>
        <w:tc>
          <w:tcPr>
            <w:tcW w:w="675" w:type="dxa"/>
            <w:vAlign w:val="bottom"/>
          </w:tcPr>
          <w:p w:rsidR="00A4689B" w:rsidRPr="00C003FA" w:rsidRDefault="00A4689B" w:rsidP="00A4689B">
            <w:pPr>
              <w:tabs>
                <w:tab w:val="decimal" w:pos="192"/>
              </w:tabs>
              <w:jc w:val="left"/>
              <w:rPr>
                <w:sz w:val="14"/>
                <w:u w:val="single"/>
              </w:rPr>
            </w:pPr>
            <w:r w:rsidRPr="00C003FA">
              <w:rPr>
                <w:sz w:val="14"/>
                <w:u w:val="single"/>
              </w:rPr>
              <w:t>18.4</w:t>
            </w:r>
          </w:p>
        </w:tc>
        <w:tc>
          <w:tcPr>
            <w:tcW w:w="776" w:type="dxa"/>
            <w:vAlign w:val="bottom"/>
          </w:tcPr>
          <w:p w:rsidR="00A4689B" w:rsidRPr="00C003FA" w:rsidRDefault="00A4689B" w:rsidP="00A4689B">
            <w:pPr>
              <w:tabs>
                <w:tab w:val="decimal" w:pos="411"/>
              </w:tabs>
              <w:jc w:val="left"/>
              <w:rPr>
                <w:sz w:val="14"/>
                <w:u w:val="single"/>
              </w:rPr>
            </w:pPr>
            <w:r w:rsidRPr="00C003FA">
              <w:rPr>
                <w:sz w:val="14"/>
                <w:u w:val="single"/>
              </w:rPr>
              <w:t xml:space="preserve">     388.6</w:t>
            </w:r>
          </w:p>
        </w:tc>
        <w:tc>
          <w:tcPr>
            <w:tcW w:w="675" w:type="dxa"/>
            <w:vAlign w:val="bottom"/>
          </w:tcPr>
          <w:p w:rsidR="00A4689B" w:rsidRPr="00C003FA" w:rsidRDefault="00A4689B" w:rsidP="00A4689B">
            <w:pPr>
              <w:tabs>
                <w:tab w:val="decimal" w:pos="189"/>
              </w:tabs>
              <w:jc w:val="left"/>
              <w:rPr>
                <w:sz w:val="14"/>
                <w:u w:val="single"/>
              </w:rPr>
            </w:pPr>
            <w:r w:rsidRPr="00C003FA">
              <w:rPr>
                <w:sz w:val="14"/>
                <w:u w:val="single"/>
              </w:rPr>
              <w:t>6.8</w:t>
            </w:r>
          </w:p>
        </w:tc>
        <w:tc>
          <w:tcPr>
            <w:tcW w:w="776" w:type="dxa"/>
            <w:vAlign w:val="bottom"/>
          </w:tcPr>
          <w:p w:rsidR="00A4689B" w:rsidRPr="00C003FA" w:rsidRDefault="00A4689B" w:rsidP="00A4689B">
            <w:pPr>
              <w:tabs>
                <w:tab w:val="decimal" w:pos="411"/>
              </w:tabs>
              <w:jc w:val="left"/>
              <w:rPr>
                <w:sz w:val="14"/>
                <w:u w:val="single"/>
              </w:rPr>
            </w:pPr>
            <w:r w:rsidRPr="00C003FA">
              <w:rPr>
                <w:sz w:val="14"/>
                <w:u w:val="single"/>
              </w:rPr>
              <w:t xml:space="preserve">     351.2</w:t>
            </w:r>
          </w:p>
        </w:tc>
        <w:tc>
          <w:tcPr>
            <w:tcW w:w="675" w:type="dxa"/>
            <w:vAlign w:val="bottom"/>
          </w:tcPr>
          <w:p w:rsidR="00A4689B" w:rsidRPr="00C003FA" w:rsidRDefault="00A4689B" w:rsidP="00A4689B">
            <w:pPr>
              <w:tabs>
                <w:tab w:val="decimal" w:pos="189"/>
              </w:tabs>
              <w:jc w:val="left"/>
              <w:rPr>
                <w:sz w:val="14"/>
                <w:u w:val="single"/>
              </w:rPr>
            </w:pPr>
            <w:r w:rsidRPr="00C003FA">
              <w:rPr>
                <w:sz w:val="14"/>
                <w:u w:val="single"/>
              </w:rPr>
              <w:t>-9.6</w:t>
            </w:r>
          </w:p>
        </w:tc>
        <w:tc>
          <w:tcPr>
            <w:tcW w:w="755" w:type="dxa"/>
            <w:vAlign w:val="bottom"/>
          </w:tcPr>
          <w:p w:rsidR="00A4689B" w:rsidRPr="00C003FA" w:rsidRDefault="00A4689B" w:rsidP="00A4689B">
            <w:pPr>
              <w:tabs>
                <w:tab w:val="decimal" w:pos="418"/>
              </w:tabs>
              <w:jc w:val="left"/>
              <w:rPr>
                <w:sz w:val="14"/>
                <w:u w:val="single"/>
              </w:rPr>
            </w:pPr>
            <w:r w:rsidRPr="00C003FA">
              <w:rPr>
                <w:sz w:val="14"/>
                <w:u w:val="single"/>
              </w:rPr>
              <w:t xml:space="preserve">       40.7</w:t>
            </w:r>
          </w:p>
        </w:tc>
        <w:tc>
          <w:tcPr>
            <w:tcW w:w="761" w:type="dxa"/>
            <w:vAlign w:val="bottom"/>
          </w:tcPr>
          <w:p w:rsidR="00A4689B" w:rsidRPr="00C003FA" w:rsidRDefault="00A4689B" w:rsidP="00A4689B">
            <w:pPr>
              <w:tabs>
                <w:tab w:val="decimal" w:pos="414"/>
              </w:tabs>
              <w:jc w:val="left"/>
              <w:rPr>
                <w:sz w:val="14"/>
                <w:u w:val="single"/>
              </w:rPr>
            </w:pPr>
            <w:r w:rsidRPr="00C003FA">
              <w:rPr>
                <w:sz w:val="14"/>
                <w:u w:val="single"/>
              </w:rPr>
              <w:t xml:space="preserve">       41.4</w:t>
            </w:r>
          </w:p>
        </w:tc>
        <w:tc>
          <w:tcPr>
            <w:tcW w:w="675" w:type="dxa"/>
            <w:vAlign w:val="bottom"/>
          </w:tcPr>
          <w:p w:rsidR="00A4689B" w:rsidRPr="00C003FA" w:rsidRDefault="00A4689B" w:rsidP="00A4689B">
            <w:pPr>
              <w:tabs>
                <w:tab w:val="decimal" w:pos="187"/>
              </w:tabs>
              <w:ind w:right="-2"/>
              <w:jc w:val="left"/>
              <w:rPr>
                <w:sz w:val="14"/>
                <w:u w:val="single"/>
              </w:rPr>
            </w:pPr>
            <w:r w:rsidRPr="00C003FA">
              <w:rPr>
                <w:sz w:val="14"/>
                <w:u w:val="single"/>
              </w:rPr>
              <w:t xml:space="preserve">  1.7</w:t>
            </w:r>
          </w:p>
        </w:tc>
      </w:tr>
      <w:tr w:rsidR="00A4689B" w:rsidRPr="00C003FA" w:rsidTr="00A4689B">
        <w:trPr>
          <w:jc w:val="center"/>
        </w:trPr>
        <w:tc>
          <w:tcPr>
            <w:tcW w:w="2231" w:type="dxa"/>
            <w:vAlign w:val="bottom"/>
          </w:tcPr>
          <w:p w:rsidR="00A4689B" w:rsidRPr="00C003FA" w:rsidRDefault="00A4689B" w:rsidP="00A4689B">
            <w:pPr>
              <w:ind w:left="584"/>
              <w:jc w:val="left"/>
              <w:rPr>
                <w:sz w:val="14"/>
              </w:rPr>
            </w:pPr>
            <w:r w:rsidRPr="00C003FA">
              <w:rPr>
                <w:sz w:val="14"/>
              </w:rPr>
              <w:t>Total All Industries</w:t>
            </w:r>
          </w:p>
        </w:tc>
        <w:tc>
          <w:tcPr>
            <w:tcW w:w="776" w:type="dxa"/>
            <w:vAlign w:val="bottom"/>
          </w:tcPr>
          <w:p w:rsidR="00A4689B" w:rsidRPr="00C003FA" w:rsidRDefault="00A4689B" w:rsidP="00A4689B">
            <w:pPr>
              <w:tabs>
                <w:tab w:val="decimal" w:pos="411"/>
              </w:tabs>
              <w:jc w:val="left"/>
              <w:rPr>
                <w:sz w:val="14"/>
                <w:u w:val="double"/>
              </w:rPr>
            </w:pPr>
            <w:r w:rsidRPr="00C003FA">
              <w:rPr>
                <w:sz w:val="14"/>
                <w:u w:val="double"/>
              </w:rPr>
              <w:t>182,845.3</w:t>
            </w:r>
          </w:p>
        </w:tc>
        <w:tc>
          <w:tcPr>
            <w:tcW w:w="678" w:type="dxa"/>
            <w:vAlign w:val="bottom"/>
          </w:tcPr>
          <w:p w:rsidR="00A4689B" w:rsidRPr="00C003FA" w:rsidRDefault="00A4689B" w:rsidP="00A4689B">
            <w:pPr>
              <w:tabs>
                <w:tab w:val="decimal" w:pos="189"/>
              </w:tabs>
              <w:jc w:val="left"/>
              <w:rPr>
                <w:sz w:val="14"/>
                <w:u w:val="double"/>
              </w:rPr>
            </w:pPr>
            <w:r w:rsidRPr="00C003FA">
              <w:rPr>
                <w:sz w:val="14"/>
                <w:u w:val="double"/>
              </w:rPr>
              <w:t>0.1</w:t>
            </w:r>
          </w:p>
        </w:tc>
        <w:tc>
          <w:tcPr>
            <w:tcW w:w="776" w:type="dxa"/>
            <w:vAlign w:val="bottom"/>
          </w:tcPr>
          <w:p w:rsidR="00A4689B" w:rsidRPr="00C003FA" w:rsidRDefault="00A4689B" w:rsidP="00A4689B">
            <w:pPr>
              <w:tabs>
                <w:tab w:val="decimal" w:pos="433"/>
              </w:tabs>
              <w:jc w:val="left"/>
              <w:rPr>
                <w:sz w:val="14"/>
                <w:u w:val="double"/>
              </w:rPr>
            </w:pPr>
            <w:r w:rsidRPr="00C003FA">
              <w:rPr>
                <w:sz w:val="14"/>
                <w:u w:val="double"/>
              </w:rPr>
              <w:t>184,703.4</w:t>
            </w:r>
          </w:p>
        </w:tc>
        <w:tc>
          <w:tcPr>
            <w:tcW w:w="676" w:type="dxa"/>
            <w:vAlign w:val="bottom"/>
          </w:tcPr>
          <w:p w:rsidR="00A4689B" w:rsidRPr="00C003FA" w:rsidRDefault="00A4689B" w:rsidP="00A4689B">
            <w:pPr>
              <w:tabs>
                <w:tab w:val="decimal" w:pos="222"/>
              </w:tabs>
              <w:jc w:val="left"/>
              <w:rPr>
                <w:sz w:val="14"/>
                <w:u w:val="double"/>
              </w:rPr>
            </w:pPr>
            <w:r w:rsidRPr="00C003FA">
              <w:rPr>
                <w:sz w:val="14"/>
                <w:u w:val="double"/>
              </w:rPr>
              <w:t>1.0</w:t>
            </w:r>
          </w:p>
        </w:tc>
        <w:tc>
          <w:tcPr>
            <w:tcW w:w="776" w:type="dxa"/>
            <w:vAlign w:val="bottom"/>
          </w:tcPr>
          <w:p w:rsidR="00A4689B" w:rsidRPr="00C003FA" w:rsidRDefault="00A4689B" w:rsidP="00A4689B">
            <w:pPr>
              <w:tabs>
                <w:tab w:val="decimal" w:pos="422"/>
              </w:tabs>
              <w:jc w:val="left"/>
              <w:rPr>
                <w:sz w:val="14"/>
                <w:u w:val="double"/>
              </w:rPr>
            </w:pPr>
            <w:r w:rsidRPr="00C003FA">
              <w:rPr>
                <w:sz w:val="14"/>
                <w:u w:val="double"/>
              </w:rPr>
              <w:t>194,642.0</w:t>
            </w:r>
          </w:p>
        </w:tc>
        <w:tc>
          <w:tcPr>
            <w:tcW w:w="675" w:type="dxa"/>
            <w:vAlign w:val="bottom"/>
          </w:tcPr>
          <w:p w:rsidR="00A4689B" w:rsidRPr="00C003FA" w:rsidRDefault="00A4689B" w:rsidP="00A4689B">
            <w:pPr>
              <w:tabs>
                <w:tab w:val="decimal" w:pos="192"/>
              </w:tabs>
              <w:jc w:val="left"/>
              <w:rPr>
                <w:sz w:val="14"/>
                <w:u w:val="double"/>
              </w:rPr>
            </w:pPr>
            <w:r w:rsidRPr="00C003FA">
              <w:rPr>
                <w:sz w:val="14"/>
                <w:u w:val="double"/>
              </w:rPr>
              <w:t>5.4</w:t>
            </w:r>
          </w:p>
        </w:tc>
        <w:tc>
          <w:tcPr>
            <w:tcW w:w="776" w:type="dxa"/>
            <w:vAlign w:val="bottom"/>
          </w:tcPr>
          <w:p w:rsidR="00A4689B" w:rsidRPr="00C003FA" w:rsidRDefault="00A4689B" w:rsidP="00A4689B">
            <w:pPr>
              <w:tabs>
                <w:tab w:val="decimal" w:pos="411"/>
              </w:tabs>
              <w:jc w:val="left"/>
              <w:rPr>
                <w:sz w:val="14"/>
                <w:u w:val="double"/>
              </w:rPr>
            </w:pPr>
            <w:r w:rsidRPr="00C003FA">
              <w:rPr>
                <w:sz w:val="14"/>
                <w:u w:val="double"/>
              </w:rPr>
              <w:t>206,121.0</w:t>
            </w:r>
          </w:p>
        </w:tc>
        <w:tc>
          <w:tcPr>
            <w:tcW w:w="675" w:type="dxa"/>
            <w:vAlign w:val="bottom"/>
          </w:tcPr>
          <w:p w:rsidR="00A4689B" w:rsidRPr="00C003FA" w:rsidRDefault="00A4689B" w:rsidP="00A4689B">
            <w:pPr>
              <w:tabs>
                <w:tab w:val="decimal" w:pos="189"/>
              </w:tabs>
              <w:jc w:val="left"/>
              <w:rPr>
                <w:sz w:val="14"/>
                <w:u w:val="double"/>
              </w:rPr>
            </w:pPr>
            <w:r w:rsidRPr="00C003FA">
              <w:rPr>
                <w:sz w:val="14"/>
                <w:u w:val="double"/>
              </w:rPr>
              <w:t>5.9</w:t>
            </w:r>
          </w:p>
        </w:tc>
        <w:tc>
          <w:tcPr>
            <w:tcW w:w="776" w:type="dxa"/>
            <w:vAlign w:val="bottom"/>
          </w:tcPr>
          <w:p w:rsidR="00A4689B" w:rsidRPr="00C003FA" w:rsidRDefault="00A4689B" w:rsidP="00A4689B">
            <w:pPr>
              <w:tabs>
                <w:tab w:val="decimal" w:pos="411"/>
              </w:tabs>
              <w:jc w:val="left"/>
              <w:rPr>
                <w:sz w:val="14"/>
                <w:u w:val="double"/>
              </w:rPr>
            </w:pPr>
            <w:r w:rsidRPr="00C003FA">
              <w:rPr>
                <w:sz w:val="14"/>
                <w:u w:val="double"/>
              </w:rPr>
              <w:t>224,618.9</w:t>
            </w:r>
          </w:p>
        </w:tc>
        <w:tc>
          <w:tcPr>
            <w:tcW w:w="675" w:type="dxa"/>
            <w:vAlign w:val="bottom"/>
          </w:tcPr>
          <w:p w:rsidR="00A4689B" w:rsidRPr="00C003FA" w:rsidRDefault="00A4689B" w:rsidP="00A4689B">
            <w:pPr>
              <w:tabs>
                <w:tab w:val="decimal" w:pos="189"/>
              </w:tabs>
              <w:jc w:val="left"/>
              <w:rPr>
                <w:sz w:val="14"/>
                <w:u w:val="double"/>
              </w:rPr>
            </w:pPr>
            <w:r w:rsidRPr="00C003FA">
              <w:rPr>
                <w:sz w:val="14"/>
                <w:u w:val="double"/>
              </w:rPr>
              <w:t>9.0</w:t>
            </w:r>
          </w:p>
        </w:tc>
        <w:tc>
          <w:tcPr>
            <w:tcW w:w="755" w:type="dxa"/>
            <w:vAlign w:val="bottom"/>
          </w:tcPr>
          <w:p w:rsidR="00A4689B" w:rsidRPr="00C003FA" w:rsidRDefault="00A4689B" w:rsidP="00A4689B">
            <w:pPr>
              <w:tabs>
                <w:tab w:val="decimal" w:pos="418"/>
              </w:tabs>
              <w:jc w:val="left"/>
              <w:rPr>
                <w:sz w:val="14"/>
                <w:u w:val="double"/>
              </w:rPr>
            </w:pPr>
            <w:r w:rsidRPr="00C003FA">
              <w:rPr>
                <w:sz w:val="14"/>
                <w:u w:val="double"/>
              </w:rPr>
              <w:t>30,135.6</w:t>
            </w:r>
          </w:p>
        </w:tc>
        <w:tc>
          <w:tcPr>
            <w:tcW w:w="761" w:type="dxa"/>
            <w:vAlign w:val="bottom"/>
          </w:tcPr>
          <w:p w:rsidR="00A4689B" w:rsidRPr="00C003FA" w:rsidRDefault="00A4689B" w:rsidP="00A4689B">
            <w:pPr>
              <w:tabs>
                <w:tab w:val="decimal" w:pos="414"/>
              </w:tabs>
              <w:jc w:val="left"/>
              <w:rPr>
                <w:sz w:val="14"/>
                <w:u w:val="double"/>
              </w:rPr>
            </w:pPr>
            <w:r w:rsidRPr="00C003FA">
              <w:rPr>
                <w:sz w:val="14"/>
                <w:u w:val="double"/>
              </w:rPr>
              <w:t>34,108.2</w:t>
            </w:r>
          </w:p>
        </w:tc>
        <w:tc>
          <w:tcPr>
            <w:tcW w:w="675" w:type="dxa"/>
            <w:vAlign w:val="bottom"/>
          </w:tcPr>
          <w:p w:rsidR="00A4689B" w:rsidRPr="00C003FA" w:rsidRDefault="00A4689B" w:rsidP="00A4689B">
            <w:pPr>
              <w:tabs>
                <w:tab w:val="decimal" w:pos="187"/>
              </w:tabs>
              <w:ind w:right="-2"/>
              <w:jc w:val="left"/>
              <w:rPr>
                <w:sz w:val="14"/>
                <w:u w:val="double"/>
              </w:rPr>
            </w:pPr>
            <w:r w:rsidRPr="00C003FA">
              <w:rPr>
                <w:sz w:val="14"/>
                <w:u w:val="double"/>
              </w:rPr>
              <w:t>13.2</w:t>
            </w:r>
          </w:p>
        </w:tc>
      </w:tr>
    </w:tbl>
    <w:p w:rsidR="005162B7" w:rsidRPr="008E459C" w:rsidRDefault="005162B7" w:rsidP="005162B7">
      <w:pPr>
        <w:pStyle w:val="OStablenotes"/>
        <w:keepNext w:val="0"/>
        <w:spacing w:before="80" w:after="0"/>
        <w:rPr>
          <w:spacing w:val="-3"/>
        </w:rPr>
      </w:pPr>
      <w:r>
        <w:rPr>
          <w:spacing w:val="-3"/>
        </w:rPr>
        <w:t>________________________</w:t>
      </w:r>
    </w:p>
    <w:p w:rsidR="00A4689B" w:rsidRDefault="00A4689B" w:rsidP="00940E5F">
      <w:pPr>
        <w:pStyle w:val="OStablesources"/>
        <w:spacing w:before="80"/>
      </w:pPr>
      <w:r>
        <w:t>Note:</w:t>
      </w:r>
      <w:r>
        <w:tab/>
      </w:r>
      <w:r w:rsidRPr="00C003FA">
        <w:rPr>
          <w:sz w:val="14"/>
          <w:szCs w:val="14"/>
        </w:rPr>
        <w:t>Reporting for 2019 and future years reflect new sourcing rules that may cause variations in the data reported from previous years</w:t>
      </w:r>
      <w:r w:rsidR="003A4160">
        <w:rPr>
          <w:sz w:val="14"/>
          <w:szCs w:val="14"/>
        </w:rPr>
        <w:t>.</w:t>
      </w:r>
    </w:p>
    <w:p w:rsidR="00A4689B" w:rsidRDefault="005942B3" w:rsidP="00940E5F">
      <w:pPr>
        <w:pStyle w:val="OStablesources"/>
        <w:spacing w:before="80"/>
      </w:pPr>
      <w:r w:rsidRPr="005942B3">
        <w:t>Source:</w:t>
      </w:r>
      <w:r w:rsidRPr="005942B3">
        <w:tab/>
        <w:t>Colorado Department of Revenue.</w:t>
      </w:r>
    </w:p>
    <w:p w:rsidR="00A4689B" w:rsidRDefault="00A4689B" w:rsidP="00940E5F">
      <w:pPr>
        <w:pStyle w:val="OStablesources"/>
        <w:spacing w:before="80"/>
        <w:sectPr w:rsidR="00A4689B" w:rsidSect="00A4689B">
          <w:footnotePr>
            <w:numRestart w:val="eachPage"/>
          </w:footnotePr>
          <w:pgSz w:w="15840" w:h="12240" w:orient="landscape"/>
          <w:pgMar w:top="1440" w:right="1440" w:bottom="1440" w:left="1440" w:header="720" w:footer="720" w:gutter="0"/>
          <w:cols w:space="720"/>
          <w:titlePg/>
          <w:docGrid w:linePitch="360"/>
        </w:sectPr>
      </w:pPr>
    </w:p>
    <w:p w:rsidR="005942B3" w:rsidRDefault="005942B3" w:rsidP="00940E5F">
      <w:pPr>
        <w:pStyle w:val="OSappendixsubheading0"/>
      </w:pPr>
      <w:r>
        <w:t>Tourism</w:t>
      </w:r>
    </w:p>
    <w:p w:rsidR="005942B3" w:rsidRDefault="005942B3" w:rsidP="00940E5F">
      <w:pPr>
        <w:pStyle w:val="BodyText1"/>
      </w:pPr>
      <w:r>
        <w:t>The following table provides visitor counts for the State’s national parks and major recreation areas, Denver area convention attendance figures, and visitor counts for Colorado ski areas.</w:t>
      </w:r>
    </w:p>
    <w:tbl>
      <w:tblPr>
        <w:tblStyle w:val="TableGrid20"/>
        <w:tblW w:w="111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
        <w:gridCol w:w="1109"/>
        <w:gridCol w:w="938"/>
        <w:gridCol w:w="999"/>
        <w:gridCol w:w="938"/>
        <w:gridCol w:w="1317"/>
        <w:gridCol w:w="1049"/>
        <w:gridCol w:w="1109"/>
        <w:gridCol w:w="938"/>
        <w:gridCol w:w="1109"/>
        <w:gridCol w:w="938"/>
      </w:tblGrid>
      <w:tr w:rsidR="00A4689B" w:rsidRPr="00C003FA" w:rsidTr="00A4689B">
        <w:trPr>
          <w:jc w:val="center"/>
        </w:trPr>
        <w:tc>
          <w:tcPr>
            <w:tcW w:w="11100" w:type="dxa"/>
            <w:gridSpan w:val="11"/>
            <w:vAlign w:val="bottom"/>
          </w:tcPr>
          <w:p w:rsidR="00A4689B" w:rsidRPr="00C003FA" w:rsidRDefault="00A4689B" w:rsidP="00A4689B">
            <w:pPr>
              <w:spacing w:after="240"/>
              <w:jc w:val="center"/>
            </w:pPr>
            <w:r w:rsidRPr="00C003FA">
              <w:t>Colorado Tourism Statistics</w:t>
            </w:r>
            <w:r w:rsidRPr="00C003FA">
              <w:br/>
              <w:t>Conventions</w:t>
            </w:r>
            <w:r w:rsidRPr="00C003FA">
              <w:rPr>
                <w:vertAlign w:val="superscript"/>
              </w:rPr>
              <w:t>1</w:t>
            </w:r>
          </w:p>
        </w:tc>
      </w:tr>
      <w:tr w:rsidR="00A4689B" w:rsidRPr="00C003FA" w:rsidTr="00A4689B">
        <w:trPr>
          <w:jc w:val="center"/>
        </w:trPr>
        <w:tc>
          <w:tcPr>
            <w:tcW w:w="656" w:type="dxa"/>
            <w:vAlign w:val="bottom"/>
          </w:tcPr>
          <w:p w:rsidR="00A4689B" w:rsidRPr="00C003FA" w:rsidRDefault="00A4689B" w:rsidP="00A4689B">
            <w:pPr>
              <w:spacing w:after="60"/>
              <w:jc w:val="center"/>
            </w:pPr>
          </w:p>
        </w:tc>
        <w:tc>
          <w:tcPr>
            <w:tcW w:w="2047" w:type="dxa"/>
            <w:gridSpan w:val="2"/>
            <w:vAlign w:val="bottom"/>
          </w:tcPr>
          <w:p w:rsidR="00A4689B" w:rsidRPr="00C003FA" w:rsidRDefault="00A4689B" w:rsidP="00A4689B">
            <w:pPr>
              <w:pBdr>
                <w:bottom w:val="single" w:sz="4" w:space="1" w:color="auto"/>
              </w:pBdr>
              <w:spacing w:after="60"/>
              <w:jc w:val="center"/>
            </w:pPr>
            <w:r w:rsidRPr="00C003FA">
              <w:t>National Parks Visits</w:t>
            </w:r>
            <w:r w:rsidRPr="00C003FA">
              <w:rPr>
                <w:vertAlign w:val="superscript"/>
              </w:rPr>
              <w:t>2</w:t>
            </w:r>
          </w:p>
        </w:tc>
        <w:tc>
          <w:tcPr>
            <w:tcW w:w="1937" w:type="dxa"/>
            <w:gridSpan w:val="2"/>
            <w:vAlign w:val="bottom"/>
          </w:tcPr>
          <w:p w:rsidR="00A4689B" w:rsidRPr="00C003FA" w:rsidRDefault="00A4689B" w:rsidP="00A4689B">
            <w:pPr>
              <w:pBdr>
                <w:bottom w:val="single" w:sz="4" w:space="1" w:color="auto"/>
              </w:pBdr>
              <w:spacing w:after="60"/>
              <w:jc w:val="center"/>
            </w:pPr>
            <w:r w:rsidRPr="00C003FA">
              <w:t>Conventions</w:t>
            </w:r>
          </w:p>
        </w:tc>
        <w:tc>
          <w:tcPr>
            <w:tcW w:w="2366" w:type="dxa"/>
            <w:gridSpan w:val="2"/>
            <w:vAlign w:val="bottom"/>
          </w:tcPr>
          <w:p w:rsidR="00A4689B" w:rsidRPr="00C003FA" w:rsidRDefault="00A4689B" w:rsidP="00A4689B">
            <w:pPr>
              <w:pBdr>
                <w:bottom w:val="single" w:sz="4" w:space="1" w:color="auto"/>
              </w:pBdr>
              <w:spacing w:after="60"/>
              <w:jc w:val="center"/>
            </w:pPr>
            <w:r w:rsidRPr="00C003FA">
              <w:t>Delegates</w:t>
            </w:r>
          </w:p>
        </w:tc>
        <w:tc>
          <w:tcPr>
            <w:tcW w:w="2047" w:type="dxa"/>
            <w:gridSpan w:val="2"/>
            <w:vAlign w:val="bottom"/>
          </w:tcPr>
          <w:p w:rsidR="00A4689B" w:rsidRPr="00C003FA" w:rsidRDefault="00A4689B" w:rsidP="00A4689B">
            <w:pPr>
              <w:pBdr>
                <w:bottom w:val="single" w:sz="4" w:space="1" w:color="auto"/>
              </w:pBdr>
              <w:spacing w:after="60"/>
              <w:jc w:val="center"/>
            </w:pPr>
            <w:r w:rsidRPr="00C003FA">
              <w:t>Spending</w:t>
            </w:r>
          </w:p>
        </w:tc>
        <w:tc>
          <w:tcPr>
            <w:tcW w:w="2047" w:type="dxa"/>
            <w:gridSpan w:val="2"/>
            <w:vAlign w:val="bottom"/>
          </w:tcPr>
          <w:p w:rsidR="00A4689B" w:rsidRPr="00C003FA" w:rsidRDefault="00A4689B" w:rsidP="00A4689B">
            <w:pPr>
              <w:pBdr>
                <w:bottom w:val="single" w:sz="4" w:space="1" w:color="auto"/>
              </w:pBdr>
              <w:spacing w:after="60"/>
              <w:jc w:val="center"/>
            </w:pPr>
            <w:r w:rsidRPr="00C003FA">
              <w:t>Skier Visits</w:t>
            </w:r>
            <w:r w:rsidRPr="00C003FA">
              <w:rPr>
                <w:vertAlign w:val="superscript"/>
              </w:rPr>
              <w:t>3</w:t>
            </w:r>
          </w:p>
        </w:tc>
      </w:tr>
      <w:tr w:rsidR="00A4689B" w:rsidRPr="00C003FA" w:rsidTr="00A4689B">
        <w:trPr>
          <w:jc w:val="center"/>
        </w:trPr>
        <w:tc>
          <w:tcPr>
            <w:tcW w:w="656" w:type="dxa"/>
            <w:vAlign w:val="bottom"/>
          </w:tcPr>
          <w:p w:rsidR="00A4689B" w:rsidRPr="00C003FA" w:rsidRDefault="00A4689B" w:rsidP="00A4689B">
            <w:pPr>
              <w:spacing w:after="120"/>
              <w:jc w:val="center"/>
            </w:pPr>
          </w:p>
        </w:tc>
        <w:tc>
          <w:tcPr>
            <w:tcW w:w="1109" w:type="dxa"/>
            <w:vAlign w:val="bottom"/>
          </w:tcPr>
          <w:p w:rsidR="00A4689B" w:rsidRPr="00C003FA" w:rsidRDefault="00A4689B" w:rsidP="00A4689B">
            <w:pPr>
              <w:pBdr>
                <w:bottom w:val="single" w:sz="4" w:space="1" w:color="auto"/>
              </w:pBdr>
              <w:spacing w:after="120"/>
              <w:jc w:val="center"/>
            </w:pPr>
            <w:r w:rsidRPr="00C003FA">
              <w:t>Number (millions)</w:t>
            </w:r>
          </w:p>
        </w:tc>
        <w:tc>
          <w:tcPr>
            <w:tcW w:w="938" w:type="dxa"/>
            <w:vAlign w:val="bottom"/>
          </w:tcPr>
          <w:p w:rsidR="00A4689B" w:rsidRPr="00C003FA" w:rsidRDefault="00A4689B" w:rsidP="00A4689B">
            <w:pPr>
              <w:pBdr>
                <w:bottom w:val="single" w:sz="4" w:space="1" w:color="auto"/>
              </w:pBdr>
              <w:spacing w:after="120"/>
              <w:jc w:val="center"/>
            </w:pPr>
            <w:r w:rsidRPr="00C003FA">
              <w:t>% Change</w:t>
            </w:r>
          </w:p>
        </w:tc>
        <w:tc>
          <w:tcPr>
            <w:tcW w:w="999" w:type="dxa"/>
            <w:vAlign w:val="bottom"/>
          </w:tcPr>
          <w:p w:rsidR="00A4689B" w:rsidRPr="00C003FA" w:rsidRDefault="00A4689B" w:rsidP="00A4689B">
            <w:pPr>
              <w:pBdr>
                <w:bottom w:val="single" w:sz="4" w:space="1" w:color="auto"/>
              </w:pBdr>
              <w:spacing w:after="120"/>
              <w:jc w:val="center"/>
            </w:pPr>
            <w:r w:rsidRPr="00C003FA">
              <w:t>Number</w:t>
            </w:r>
          </w:p>
        </w:tc>
        <w:tc>
          <w:tcPr>
            <w:tcW w:w="938" w:type="dxa"/>
            <w:vAlign w:val="bottom"/>
          </w:tcPr>
          <w:p w:rsidR="00A4689B" w:rsidRPr="00C003FA" w:rsidRDefault="00A4689B" w:rsidP="00A4689B">
            <w:pPr>
              <w:pBdr>
                <w:bottom w:val="single" w:sz="4" w:space="1" w:color="auto"/>
              </w:pBdr>
              <w:spacing w:after="120"/>
              <w:jc w:val="center"/>
            </w:pPr>
            <w:r w:rsidRPr="00C003FA">
              <w:t>% Change</w:t>
            </w:r>
          </w:p>
        </w:tc>
        <w:tc>
          <w:tcPr>
            <w:tcW w:w="1317" w:type="dxa"/>
            <w:vAlign w:val="bottom"/>
          </w:tcPr>
          <w:p w:rsidR="00A4689B" w:rsidRPr="00C003FA" w:rsidRDefault="00A4689B" w:rsidP="00A4689B">
            <w:pPr>
              <w:pBdr>
                <w:bottom w:val="single" w:sz="4" w:space="1" w:color="auto"/>
              </w:pBdr>
              <w:spacing w:after="120"/>
              <w:jc w:val="center"/>
            </w:pPr>
            <w:r w:rsidRPr="00C003FA">
              <w:t>Number (thousands)</w:t>
            </w:r>
          </w:p>
        </w:tc>
        <w:tc>
          <w:tcPr>
            <w:tcW w:w="1049" w:type="dxa"/>
            <w:vAlign w:val="bottom"/>
          </w:tcPr>
          <w:p w:rsidR="00A4689B" w:rsidRPr="00C003FA" w:rsidRDefault="00A4689B" w:rsidP="00A4689B">
            <w:pPr>
              <w:pBdr>
                <w:bottom w:val="single" w:sz="4" w:space="1" w:color="auto"/>
              </w:pBdr>
              <w:spacing w:after="120"/>
              <w:jc w:val="center"/>
            </w:pPr>
            <w:r w:rsidRPr="00C003FA">
              <w:t>% Change</w:t>
            </w:r>
          </w:p>
        </w:tc>
        <w:tc>
          <w:tcPr>
            <w:tcW w:w="1109" w:type="dxa"/>
            <w:vAlign w:val="bottom"/>
          </w:tcPr>
          <w:p w:rsidR="00A4689B" w:rsidRPr="00C003FA" w:rsidRDefault="00A4689B" w:rsidP="00A4689B">
            <w:pPr>
              <w:pBdr>
                <w:bottom w:val="single" w:sz="4" w:space="1" w:color="auto"/>
              </w:pBdr>
              <w:spacing w:after="120"/>
              <w:jc w:val="center"/>
            </w:pPr>
            <w:r w:rsidRPr="00C003FA">
              <w:t>Amount (millions)</w:t>
            </w:r>
          </w:p>
        </w:tc>
        <w:tc>
          <w:tcPr>
            <w:tcW w:w="938" w:type="dxa"/>
            <w:vAlign w:val="bottom"/>
          </w:tcPr>
          <w:p w:rsidR="00A4689B" w:rsidRPr="00C003FA" w:rsidRDefault="00A4689B" w:rsidP="00A4689B">
            <w:pPr>
              <w:pBdr>
                <w:bottom w:val="single" w:sz="4" w:space="1" w:color="auto"/>
              </w:pBdr>
              <w:spacing w:after="120"/>
              <w:jc w:val="center"/>
            </w:pPr>
            <w:r w:rsidRPr="00C003FA">
              <w:t>% Change</w:t>
            </w:r>
          </w:p>
        </w:tc>
        <w:tc>
          <w:tcPr>
            <w:tcW w:w="1109" w:type="dxa"/>
            <w:vAlign w:val="bottom"/>
          </w:tcPr>
          <w:p w:rsidR="00A4689B" w:rsidRPr="00C003FA" w:rsidRDefault="00A4689B" w:rsidP="00A4689B">
            <w:pPr>
              <w:pBdr>
                <w:bottom w:val="single" w:sz="4" w:space="1" w:color="auto"/>
              </w:pBdr>
              <w:spacing w:after="120"/>
              <w:jc w:val="center"/>
            </w:pPr>
            <w:r w:rsidRPr="00C003FA">
              <w:t>Number (millions)</w:t>
            </w:r>
          </w:p>
        </w:tc>
        <w:tc>
          <w:tcPr>
            <w:tcW w:w="938" w:type="dxa"/>
            <w:vAlign w:val="bottom"/>
          </w:tcPr>
          <w:p w:rsidR="00A4689B" w:rsidRPr="00C003FA" w:rsidRDefault="00A4689B" w:rsidP="00A4689B">
            <w:pPr>
              <w:pBdr>
                <w:bottom w:val="single" w:sz="4" w:space="1" w:color="auto"/>
              </w:pBdr>
              <w:spacing w:after="120"/>
              <w:jc w:val="center"/>
            </w:pPr>
            <w:r w:rsidRPr="00C003FA">
              <w:t>% Change</w:t>
            </w:r>
          </w:p>
        </w:tc>
      </w:tr>
      <w:tr w:rsidR="00A4689B" w:rsidRPr="00C003FA" w:rsidTr="00A4689B">
        <w:trPr>
          <w:jc w:val="center"/>
        </w:trPr>
        <w:tc>
          <w:tcPr>
            <w:tcW w:w="656" w:type="dxa"/>
            <w:vAlign w:val="bottom"/>
          </w:tcPr>
          <w:p w:rsidR="00A4689B" w:rsidRPr="00C003FA" w:rsidRDefault="00A4689B" w:rsidP="00A4689B">
            <w:pPr>
              <w:jc w:val="center"/>
            </w:pPr>
            <w:r w:rsidRPr="00C003FA">
              <w:t>2015</w:t>
            </w:r>
          </w:p>
        </w:tc>
        <w:tc>
          <w:tcPr>
            <w:tcW w:w="1109" w:type="dxa"/>
            <w:vAlign w:val="bottom"/>
          </w:tcPr>
          <w:p w:rsidR="00A4689B" w:rsidRPr="00C003FA" w:rsidRDefault="00A4689B" w:rsidP="00A4689B">
            <w:pPr>
              <w:tabs>
                <w:tab w:val="decimal" w:pos="321"/>
              </w:tabs>
              <w:jc w:val="left"/>
            </w:pPr>
            <w:r w:rsidRPr="00C003FA">
              <w:t>7.08</w:t>
            </w:r>
          </w:p>
        </w:tc>
        <w:tc>
          <w:tcPr>
            <w:tcW w:w="938" w:type="dxa"/>
            <w:vAlign w:val="bottom"/>
          </w:tcPr>
          <w:p w:rsidR="00A4689B" w:rsidRPr="00C003FA" w:rsidRDefault="00A4689B" w:rsidP="00A4689B">
            <w:pPr>
              <w:tabs>
                <w:tab w:val="decimal" w:pos="634"/>
              </w:tabs>
              <w:jc w:val="left"/>
            </w:pPr>
            <w:r w:rsidRPr="00C003FA">
              <w:t>–%</w:t>
            </w:r>
          </w:p>
        </w:tc>
        <w:tc>
          <w:tcPr>
            <w:tcW w:w="999" w:type="dxa"/>
            <w:vAlign w:val="bottom"/>
          </w:tcPr>
          <w:p w:rsidR="00A4689B" w:rsidRPr="00C003FA" w:rsidRDefault="00A4689B" w:rsidP="00A4689B">
            <w:pPr>
              <w:jc w:val="center"/>
            </w:pPr>
            <w:r w:rsidRPr="00C003FA">
              <w:t>73</w:t>
            </w:r>
          </w:p>
        </w:tc>
        <w:tc>
          <w:tcPr>
            <w:tcW w:w="938" w:type="dxa"/>
            <w:vAlign w:val="bottom"/>
          </w:tcPr>
          <w:p w:rsidR="00A4689B" w:rsidRPr="00C003FA" w:rsidRDefault="00A4689B" w:rsidP="00A4689B">
            <w:pPr>
              <w:tabs>
                <w:tab w:val="decimal" w:pos="721"/>
              </w:tabs>
              <w:jc w:val="left"/>
            </w:pPr>
            <w:r w:rsidRPr="00C003FA">
              <w:t>–%</w:t>
            </w:r>
          </w:p>
        </w:tc>
        <w:tc>
          <w:tcPr>
            <w:tcW w:w="1317" w:type="dxa"/>
            <w:vAlign w:val="bottom"/>
          </w:tcPr>
          <w:p w:rsidR="00A4689B" w:rsidRPr="00C003FA" w:rsidRDefault="00A4689B" w:rsidP="00A4689B">
            <w:pPr>
              <w:tabs>
                <w:tab w:val="decimal" w:pos="567"/>
              </w:tabs>
              <w:jc w:val="left"/>
            </w:pPr>
            <w:r w:rsidRPr="00C003FA">
              <w:t>236.8</w:t>
            </w:r>
          </w:p>
        </w:tc>
        <w:tc>
          <w:tcPr>
            <w:tcW w:w="1049" w:type="dxa"/>
            <w:vAlign w:val="bottom"/>
          </w:tcPr>
          <w:p w:rsidR="00A4689B" w:rsidRPr="00C003FA" w:rsidRDefault="00A4689B" w:rsidP="00A4689B">
            <w:pPr>
              <w:tabs>
                <w:tab w:val="decimal" w:pos="750"/>
              </w:tabs>
              <w:jc w:val="left"/>
            </w:pPr>
            <w:r w:rsidRPr="00C003FA">
              <w:t>–%</w:t>
            </w:r>
          </w:p>
        </w:tc>
        <w:tc>
          <w:tcPr>
            <w:tcW w:w="1109" w:type="dxa"/>
            <w:vAlign w:val="bottom"/>
          </w:tcPr>
          <w:p w:rsidR="00A4689B" w:rsidRPr="00C003FA" w:rsidRDefault="00A4689B" w:rsidP="00A4689B">
            <w:pPr>
              <w:tabs>
                <w:tab w:val="decimal" w:pos="506"/>
              </w:tabs>
              <w:jc w:val="left"/>
            </w:pPr>
            <w:r w:rsidRPr="00C003FA">
              <w:t>$546.6</w:t>
            </w:r>
          </w:p>
        </w:tc>
        <w:tc>
          <w:tcPr>
            <w:tcW w:w="938" w:type="dxa"/>
            <w:vAlign w:val="bottom"/>
          </w:tcPr>
          <w:p w:rsidR="00A4689B" w:rsidRPr="00C003FA" w:rsidRDefault="00A4689B" w:rsidP="00A4689B">
            <w:pPr>
              <w:tabs>
                <w:tab w:val="decimal" w:pos="721"/>
              </w:tabs>
              <w:jc w:val="left"/>
            </w:pPr>
            <w:r w:rsidRPr="00C003FA">
              <w:t>–%</w:t>
            </w:r>
          </w:p>
        </w:tc>
        <w:tc>
          <w:tcPr>
            <w:tcW w:w="1109" w:type="dxa"/>
            <w:vAlign w:val="bottom"/>
          </w:tcPr>
          <w:p w:rsidR="00A4689B" w:rsidRPr="00C003FA" w:rsidRDefault="00A4689B" w:rsidP="00A4689B">
            <w:pPr>
              <w:tabs>
                <w:tab w:val="decimal" w:pos="412"/>
              </w:tabs>
              <w:jc w:val="left"/>
            </w:pPr>
            <w:r w:rsidRPr="00C003FA">
              <w:t>12.55</w:t>
            </w:r>
          </w:p>
        </w:tc>
        <w:tc>
          <w:tcPr>
            <w:tcW w:w="938" w:type="dxa"/>
            <w:vAlign w:val="bottom"/>
          </w:tcPr>
          <w:p w:rsidR="00A4689B" w:rsidRPr="00C003FA" w:rsidRDefault="00A4689B" w:rsidP="00A4689B">
            <w:pPr>
              <w:tabs>
                <w:tab w:val="decimal" w:pos="677"/>
              </w:tabs>
              <w:jc w:val="left"/>
            </w:pPr>
            <w:r w:rsidRPr="00C003FA">
              <w:t>–%</w:t>
            </w:r>
          </w:p>
        </w:tc>
      </w:tr>
      <w:tr w:rsidR="00A4689B" w:rsidRPr="00C003FA" w:rsidTr="00A4689B">
        <w:trPr>
          <w:jc w:val="center"/>
        </w:trPr>
        <w:tc>
          <w:tcPr>
            <w:tcW w:w="656" w:type="dxa"/>
            <w:vAlign w:val="bottom"/>
          </w:tcPr>
          <w:p w:rsidR="00A4689B" w:rsidRPr="00C003FA" w:rsidRDefault="00A4689B" w:rsidP="00A4689B">
            <w:pPr>
              <w:jc w:val="center"/>
            </w:pPr>
            <w:r w:rsidRPr="00C003FA">
              <w:t>2016</w:t>
            </w:r>
          </w:p>
        </w:tc>
        <w:tc>
          <w:tcPr>
            <w:tcW w:w="1109" w:type="dxa"/>
            <w:vAlign w:val="bottom"/>
          </w:tcPr>
          <w:p w:rsidR="00A4689B" w:rsidRPr="00C003FA" w:rsidRDefault="00A4689B" w:rsidP="00A4689B">
            <w:pPr>
              <w:tabs>
                <w:tab w:val="decimal" w:pos="321"/>
              </w:tabs>
              <w:jc w:val="left"/>
            </w:pPr>
            <w:r w:rsidRPr="00C003FA">
              <w:t>7.46</w:t>
            </w:r>
          </w:p>
        </w:tc>
        <w:tc>
          <w:tcPr>
            <w:tcW w:w="938" w:type="dxa"/>
            <w:vAlign w:val="bottom"/>
          </w:tcPr>
          <w:p w:rsidR="00A4689B" w:rsidRPr="00C003FA" w:rsidRDefault="00A4689B" w:rsidP="00A4689B">
            <w:pPr>
              <w:tabs>
                <w:tab w:val="decimal" w:pos="347"/>
              </w:tabs>
              <w:jc w:val="left"/>
            </w:pPr>
            <w:r w:rsidRPr="00C003FA">
              <w:t>5.4</w:t>
            </w:r>
          </w:p>
        </w:tc>
        <w:tc>
          <w:tcPr>
            <w:tcW w:w="999" w:type="dxa"/>
            <w:vAlign w:val="bottom"/>
          </w:tcPr>
          <w:p w:rsidR="00A4689B" w:rsidRPr="00C003FA" w:rsidRDefault="00A4689B" w:rsidP="00A4689B">
            <w:pPr>
              <w:jc w:val="center"/>
            </w:pPr>
            <w:r w:rsidRPr="00C003FA">
              <w:t>66</w:t>
            </w:r>
          </w:p>
        </w:tc>
        <w:tc>
          <w:tcPr>
            <w:tcW w:w="938" w:type="dxa"/>
            <w:vAlign w:val="bottom"/>
          </w:tcPr>
          <w:p w:rsidR="00A4689B" w:rsidRPr="00C003FA" w:rsidRDefault="00A4689B" w:rsidP="00A4689B">
            <w:pPr>
              <w:tabs>
                <w:tab w:val="decimal" w:pos="362"/>
              </w:tabs>
              <w:jc w:val="left"/>
            </w:pPr>
            <w:r w:rsidRPr="00C003FA">
              <w:t>-9.96</w:t>
            </w:r>
          </w:p>
        </w:tc>
        <w:tc>
          <w:tcPr>
            <w:tcW w:w="1317" w:type="dxa"/>
            <w:vAlign w:val="bottom"/>
          </w:tcPr>
          <w:p w:rsidR="00A4689B" w:rsidRPr="00C003FA" w:rsidRDefault="00A4689B" w:rsidP="00A4689B">
            <w:pPr>
              <w:tabs>
                <w:tab w:val="decimal" w:pos="567"/>
              </w:tabs>
              <w:jc w:val="left"/>
            </w:pPr>
            <w:r w:rsidRPr="00C003FA">
              <w:t>242.7</w:t>
            </w:r>
          </w:p>
        </w:tc>
        <w:tc>
          <w:tcPr>
            <w:tcW w:w="1049" w:type="dxa"/>
            <w:vAlign w:val="bottom"/>
          </w:tcPr>
          <w:p w:rsidR="00A4689B" w:rsidRPr="00C003FA" w:rsidRDefault="00A4689B" w:rsidP="00A4689B">
            <w:pPr>
              <w:tabs>
                <w:tab w:val="decimal" w:pos="374"/>
              </w:tabs>
              <w:jc w:val="left"/>
            </w:pPr>
            <w:r w:rsidRPr="00C003FA">
              <w:t>2.5</w:t>
            </w:r>
          </w:p>
        </w:tc>
        <w:tc>
          <w:tcPr>
            <w:tcW w:w="1109" w:type="dxa"/>
            <w:vAlign w:val="bottom"/>
          </w:tcPr>
          <w:p w:rsidR="00A4689B" w:rsidRPr="00C003FA" w:rsidRDefault="00A4689B" w:rsidP="00A4689B">
            <w:pPr>
              <w:tabs>
                <w:tab w:val="decimal" w:pos="506"/>
              </w:tabs>
              <w:jc w:val="left"/>
            </w:pPr>
            <w:r w:rsidRPr="00C003FA">
              <w:t>543.4</w:t>
            </w:r>
          </w:p>
        </w:tc>
        <w:tc>
          <w:tcPr>
            <w:tcW w:w="938" w:type="dxa"/>
            <w:vAlign w:val="bottom"/>
          </w:tcPr>
          <w:p w:rsidR="00A4689B" w:rsidRPr="00C003FA" w:rsidRDefault="00A4689B" w:rsidP="00A4689B">
            <w:pPr>
              <w:tabs>
                <w:tab w:val="decimal" w:pos="315"/>
              </w:tabs>
              <w:jc w:val="left"/>
            </w:pPr>
            <w:r w:rsidRPr="00C003FA">
              <w:t>-0.6</w:t>
            </w:r>
          </w:p>
        </w:tc>
        <w:tc>
          <w:tcPr>
            <w:tcW w:w="1109" w:type="dxa"/>
            <w:vAlign w:val="bottom"/>
          </w:tcPr>
          <w:p w:rsidR="00A4689B" w:rsidRPr="00C003FA" w:rsidRDefault="00A4689B" w:rsidP="00A4689B">
            <w:pPr>
              <w:tabs>
                <w:tab w:val="decimal" w:pos="412"/>
              </w:tabs>
              <w:jc w:val="left"/>
            </w:pPr>
            <w:r w:rsidRPr="00C003FA">
              <w:t>13.39</w:t>
            </w:r>
          </w:p>
        </w:tc>
        <w:tc>
          <w:tcPr>
            <w:tcW w:w="938" w:type="dxa"/>
            <w:vAlign w:val="bottom"/>
          </w:tcPr>
          <w:p w:rsidR="00A4689B" w:rsidRPr="00C003FA" w:rsidRDefault="00A4689B" w:rsidP="00A4689B">
            <w:pPr>
              <w:tabs>
                <w:tab w:val="decimal" w:pos="329"/>
              </w:tabs>
              <w:jc w:val="left"/>
            </w:pPr>
            <w:r w:rsidRPr="00C003FA">
              <w:t>6.7</w:t>
            </w:r>
          </w:p>
        </w:tc>
      </w:tr>
      <w:tr w:rsidR="00A4689B" w:rsidRPr="00C003FA" w:rsidTr="00A4689B">
        <w:trPr>
          <w:jc w:val="center"/>
        </w:trPr>
        <w:tc>
          <w:tcPr>
            <w:tcW w:w="656" w:type="dxa"/>
            <w:vAlign w:val="bottom"/>
          </w:tcPr>
          <w:p w:rsidR="00A4689B" w:rsidRPr="00C003FA" w:rsidRDefault="00A4689B" w:rsidP="00A4689B">
            <w:pPr>
              <w:jc w:val="center"/>
            </w:pPr>
            <w:r w:rsidRPr="00C003FA">
              <w:t>2017</w:t>
            </w:r>
          </w:p>
        </w:tc>
        <w:tc>
          <w:tcPr>
            <w:tcW w:w="1109" w:type="dxa"/>
            <w:vAlign w:val="bottom"/>
          </w:tcPr>
          <w:p w:rsidR="00A4689B" w:rsidRPr="00C003FA" w:rsidRDefault="00A4689B" w:rsidP="00A4689B">
            <w:pPr>
              <w:tabs>
                <w:tab w:val="decimal" w:pos="321"/>
              </w:tabs>
              <w:jc w:val="left"/>
            </w:pPr>
            <w:r w:rsidRPr="00C003FA">
              <w:t>7.62</w:t>
            </w:r>
          </w:p>
        </w:tc>
        <w:tc>
          <w:tcPr>
            <w:tcW w:w="938" w:type="dxa"/>
            <w:vAlign w:val="bottom"/>
          </w:tcPr>
          <w:p w:rsidR="00A4689B" w:rsidRPr="00C003FA" w:rsidRDefault="00A4689B" w:rsidP="00A4689B">
            <w:pPr>
              <w:tabs>
                <w:tab w:val="decimal" w:pos="347"/>
              </w:tabs>
              <w:jc w:val="left"/>
            </w:pPr>
            <w:r w:rsidRPr="00C003FA">
              <w:t>2.1</w:t>
            </w:r>
          </w:p>
        </w:tc>
        <w:tc>
          <w:tcPr>
            <w:tcW w:w="999" w:type="dxa"/>
            <w:vAlign w:val="bottom"/>
          </w:tcPr>
          <w:p w:rsidR="00A4689B" w:rsidRPr="00C003FA" w:rsidRDefault="00A4689B" w:rsidP="00A4689B">
            <w:pPr>
              <w:jc w:val="center"/>
            </w:pPr>
            <w:r w:rsidRPr="00C003FA">
              <w:t>84</w:t>
            </w:r>
          </w:p>
        </w:tc>
        <w:tc>
          <w:tcPr>
            <w:tcW w:w="938" w:type="dxa"/>
            <w:vAlign w:val="bottom"/>
          </w:tcPr>
          <w:p w:rsidR="00A4689B" w:rsidRPr="00C003FA" w:rsidRDefault="00A4689B" w:rsidP="00A4689B">
            <w:pPr>
              <w:tabs>
                <w:tab w:val="decimal" w:pos="362"/>
              </w:tabs>
              <w:jc w:val="left"/>
            </w:pPr>
            <w:r w:rsidRPr="00C003FA">
              <w:t>27.3</w:t>
            </w:r>
          </w:p>
        </w:tc>
        <w:tc>
          <w:tcPr>
            <w:tcW w:w="1317" w:type="dxa"/>
            <w:vAlign w:val="bottom"/>
          </w:tcPr>
          <w:p w:rsidR="00A4689B" w:rsidRPr="00C003FA" w:rsidRDefault="00A4689B" w:rsidP="00A4689B">
            <w:pPr>
              <w:tabs>
                <w:tab w:val="decimal" w:pos="567"/>
              </w:tabs>
              <w:jc w:val="left"/>
            </w:pPr>
            <w:r w:rsidRPr="00C003FA">
              <w:t>235.6</w:t>
            </w:r>
          </w:p>
        </w:tc>
        <w:tc>
          <w:tcPr>
            <w:tcW w:w="1049" w:type="dxa"/>
            <w:vAlign w:val="bottom"/>
          </w:tcPr>
          <w:p w:rsidR="00A4689B" w:rsidRPr="00C003FA" w:rsidRDefault="00A4689B" w:rsidP="00A4689B">
            <w:pPr>
              <w:tabs>
                <w:tab w:val="decimal" w:pos="374"/>
              </w:tabs>
              <w:jc w:val="left"/>
            </w:pPr>
            <w:r w:rsidRPr="00C003FA">
              <w:t>-2.9</w:t>
            </w:r>
          </w:p>
        </w:tc>
        <w:tc>
          <w:tcPr>
            <w:tcW w:w="1109" w:type="dxa"/>
            <w:vAlign w:val="bottom"/>
          </w:tcPr>
          <w:p w:rsidR="00A4689B" w:rsidRPr="00C003FA" w:rsidRDefault="00A4689B" w:rsidP="00A4689B">
            <w:pPr>
              <w:tabs>
                <w:tab w:val="decimal" w:pos="506"/>
              </w:tabs>
              <w:jc w:val="left"/>
            </w:pPr>
            <w:r w:rsidRPr="00C003FA">
              <w:t>518.6</w:t>
            </w:r>
          </w:p>
        </w:tc>
        <w:tc>
          <w:tcPr>
            <w:tcW w:w="938" w:type="dxa"/>
            <w:vAlign w:val="bottom"/>
          </w:tcPr>
          <w:p w:rsidR="00A4689B" w:rsidRPr="00C003FA" w:rsidRDefault="00A4689B" w:rsidP="00A4689B">
            <w:pPr>
              <w:tabs>
                <w:tab w:val="decimal" w:pos="315"/>
              </w:tabs>
              <w:jc w:val="left"/>
            </w:pPr>
            <w:r w:rsidRPr="00C003FA">
              <w:t>-4.6</w:t>
            </w:r>
          </w:p>
        </w:tc>
        <w:tc>
          <w:tcPr>
            <w:tcW w:w="1109" w:type="dxa"/>
            <w:vAlign w:val="bottom"/>
          </w:tcPr>
          <w:p w:rsidR="00A4689B" w:rsidRPr="00C003FA" w:rsidRDefault="00A4689B" w:rsidP="00A4689B">
            <w:pPr>
              <w:tabs>
                <w:tab w:val="decimal" w:pos="412"/>
              </w:tabs>
              <w:jc w:val="left"/>
            </w:pPr>
            <w:r w:rsidRPr="00C003FA">
              <w:t>13.12</w:t>
            </w:r>
          </w:p>
        </w:tc>
        <w:tc>
          <w:tcPr>
            <w:tcW w:w="938" w:type="dxa"/>
            <w:vAlign w:val="bottom"/>
          </w:tcPr>
          <w:p w:rsidR="00A4689B" w:rsidRPr="00C003FA" w:rsidRDefault="00A4689B" w:rsidP="00A4689B">
            <w:pPr>
              <w:tabs>
                <w:tab w:val="decimal" w:pos="329"/>
              </w:tabs>
              <w:jc w:val="left"/>
            </w:pPr>
            <w:r w:rsidRPr="00C003FA">
              <w:t>-2.0</w:t>
            </w:r>
          </w:p>
        </w:tc>
      </w:tr>
      <w:tr w:rsidR="00A4689B" w:rsidRPr="00C003FA" w:rsidTr="00A4689B">
        <w:trPr>
          <w:jc w:val="center"/>
        </w:trPr>
        <w:tc>
          <w:tcPr>
            <w:tcW w:w="656" w:type="dxa"/>
            <w:vAlign w:val="bottom"/>
          </w:tcPr>
          <w:p w:rsidR="00A4689B" w:rsidRPr="00C003FA" w:rsidRDefault="00A4689B" w:rsidP="00A4689B">
            <w:pPr>
              <w:jc w:val="center"/>
            </w:pPr>
            <w:r w:rsidRPr="00C003FA">
              <w:t>2018</w:t>
            </w:r>
          </w:p>
        </w:tc>
        <w:tc>
          <w:tcPr>
            <w:tcW w:w="1109" w:type="dxa"/>
            <w:vAlign w:val="bottom"/>
          </w:tcPr>
          <w:p w:rsidR="00A4689B" w:rsidRPr="00C003FA" w:rsidRDefault="00A4689B" w:rsidP="00A4689B">
            <w:pPr>
              <w:tabs>
                <w:tab w:val="decimal" w:pos="321"/>
              </w:tabs>
              <w:jc w:val="left"/>
            </w:pPr>
            <w:r w:rsidRPr="00C003FA">
              <w:t>7.57</w:t>
            </w:r>
          </w:p>
        </w:tc>
        <w:tc>
          <w:tcPr>
            <w:tcW w:w="938" w:type="dxa"/>
            <w:vAlign w:val="bottom"/>
          </w:tcPr>
          <w:p w:rsidR="00A4689B" w:rsidRPr="00C003FA" w:rsidRDefault="00A4689B" w:rsidP="00A4689B">
            <w:pPr>
              <w:tabs>
                <w:tab w:val="decimal" w:pos="347"/>
              </w:tabs>
              <w:jc w:val="left"/>
            </w:pPr>
            <w:r w:rsidRPr="00C003FA">
              <w:t>-0.7</w:t>
            </w:r>
          </w:p>
        </w:tc>
        <w:tc>
          <w:tcPr>
            <w:tcW w:w="999" w:type="dxa"/>
            <w:vAlign w:val="bottom"/>
          </w:tcPr>
          <w:p w:rsidR="00A4689B" w:rsidRPr="00C003FA" w:rsidRDefault="00A4689B" w:rsidP="00A4689B">
            <w:pPr>
              <w:jc w:val="center"/>
            </w:pPr>
            <w:r w:rsidRPr="00C003FA">
              <w:t>67</w:t>
            </w:r>
          </w:p>
        </w:tc>
        <w:tc>
          <w:tcPr>
            <w:tcW w:w="938" w:type="dxa"/>
            <w:vAlign w:val="bottom"/>
          </w:tcPr>
          <w:p w:rsidR="00A4689B" w:rsidRPr="00C003FA" w:rsidRDefault="00A4689B" w:rsidP="00A4689B">
            <w:pPr>
              <w:tabs>
                <w:tab w:val="decimal" w:pos="362"/>
              </w:tabs>
              <w:jc w:val="left"/>
            </w:pPr>
            <w:r w:rsidRPr="00C003FA">
              <w:t>-20.2</w:t>
            </w:r>
          </w:p>
        </w:tc>
        <w:tc>
          <w:tcPr>
            <w:tcW w:w="1317" w:type="dxa"/>
            <w:vAlign w:val="bottom"/>
          </w:tcPr>
          <w:p w:rsidR="00A4689B" w:rsidRPr="00C003FA" w:rsidRDefault="00A4689B" w:rsidP="00A4689B">
            <w:pPr>
              <w:tabs>
                <w:tab w:val="decimal" w:pos="567"/>
              </w:tabs>
              <w:jc w:val="left"/>
            </w:pPr>
            <w:r w:rsidRPr="00C003FA">
              <w:t>269.4</w:t>
            </w:r>
          </w:p>
        </w:tc>
        <w:tc>
          <w:tcPr>
            <w:tcW w:w="1049" w:type="dxa"/>
            <w:vAlign w:val="bottom"/>
          </w:tcPr>
          <w:p w:rsidR="00A4689B" w:rsidRPr="00C003FA" w:rsidRDefault="00A4689B" w:rsidP="00A4689B">
            <w:pPr>
              <w:tabs>
                <w:tab w:val="decimal" w:pos="374"/>
              </w:tabs>
              <w:jc w:val="left"/>
            </w:pPr>
            <w:r w:rsidRPr="00C003FA">
              <w:t>14.4</w:t>
            </w:r>
          </w:p>
        </w:tc>
        <w:tc>
          <w:tcPr>
            <w:tcW w:w="1109" w:type="dxa"/>
            <w:vAlign w:val="bottom"/>
          </w:tcPr>
          <w:p w:rsidR="00A4689B" w:rsidRPr="00C003FA" w:rsidRDefault="00A4689B" w:rsidP="00A4689B">
            <w:pPr>
              <w:tabs>
                <w:tab w:val="decimal" w:pos="506"/>
              </w:tabs>
              <w:jc w:val="left"/>
            </w:pPr>
            <w:r w:rsidRPr="00C003FA">
              <w:t>560.6</w:t>
            </w:r>
          </w:p>
        </w:tc>
        <w:tc>
          <w:tcPr>
            <w:tcW w:w="938" w:type="dxa"/>
            <w:vAlign w:val="bottom"/>
          </w:tcPr>
          <w:p w:rsidR="00A4689B" w:rsidRPr="00C003FA" w:rsidRDefault="00A4689B" w:rsidP="00A4689B">
            <w:pPr>
              <w:tabs>
                <w:tab w:val="decimal" w:pos="315"/>
              </w:tabs>
              <w:jc w:val="left"/>
            </w:pPr>
            <w:r w:rsidRPr="00C003FA">
              <w:t>8.1</w:t>
            </w:r>
          </w:p>
        </w:tc>
        <w:tc>
          <w:tcPr>
            <w:tcW w:w="1109" w:type="dxa"/>
            <w:vAlign w:val="bottom"/>
          </w:tcPr>
          <w:p w:rsidR="00A4689B" w:rsidRPr="00C003FA" w:rsidRDefault="00A4689B" w:rsidP="00A4689B">
            <w:pPr>
              <w:tabs>
                <w:tab w:val="decimal" w:pos="412"/>
              </w:tabs>
              <w:jc w:val="left"/>
            </w:pPr>
            <w:r w:rsidRPr="00C003FA">
              <w:t>12.81</w:t>
            </w:r>
          </w:p>
        </w:tc>
        <w:tc>
          <w:tcPr>
            <w:tcW w:w="938" w:type="dxa"/>
            <w:vAlign w:val="bottom"/>
          </w:tcPr>
          <w:p w:rsidR="00A4689B" w:rsidRPr="00C003FA" w:rsidRDefault="00A4689B" w:rsidP="00A4689B">
            <w:pPr>
              <w:tabs>
                <w:tab w:val="decimal" w:pos="329"/>
              </w:tabs>
              <w:jc w:val="left"/>
            </w:pPr>
            <w:r w:rsidRPr="00C003FA">
              <w:t>-2.4</w:t>
            </w:r>
          </w:p>
        </w:tc>
      </w:tr>
      <w:tr w:rsidR="00A4689B" w:rsidRPr="00C003FA" w:rsidTr="00A4689B">
        <w:trPr>
          <w:jc w:val="center"/>
        </w:trPr>
        <w:tc>
          <w:tcPr>
            <w:tcW w:w="656" w:type="dxa"/>
            <w:vAlign w:val="bottom"/>
          </w:tcPr>
          <w:p w:rsidR="00A4689B" w:rsidRPr="00C003FA" w:rsidRDefault="00A4689B" w:rsidP="00A4689B">
            <w:pPr>
              <w:jc w:val="center"/>
            </w:pPr>
            <w:r w:rsidRPr="00C003FA">
              <w:t>2019</w:t>
            </w:r>
          </w:p>
        </w:tc>
        <w:tc>
          <w:tcPr>
            <w:tcW w:w="1109" w:type="dxa"/>
            <w:vAlign w:val="bottom"/>
          </w:tcPr>
          <w:p w:rsidR="00A4689B" w:rsidRPr="00C003FA" w:rsidRDefault="00A4689B" w:rsidP="00A4689B">
            <w:pPr>
              <w:tabs>
                <w:tab w:val="decimal" w:pos="321"/>
              </w:tabs>
              <w:jc w:val="left"/>
            </w:pPr>
            <w:r w:rsidRPr="00C003FA">
              <w:t>7.76</w:t>
            </w:r>
          </w:p>
        </w:tc>
        <w:tc>
          <w:tcPr>
            <w:tcW w:w="938" w:type="dxa"/>
            <w:vAlign w:val="bottom"/>
          </w:tcPr>
          <w:p w:rsidR="00A4689B" w:rsidRPr="00C003FA" w:rsidRDefault="00A4689B" w:rsidP="00A4689B">
            <w:pPr>
              <w:tabs>
                <w:tab w:val="decimal" w:pos="347"/>
              </w:tabs>
              <w:jc w:val="left"/>
            </w:pPr>
            <w:r w:rsidRPr="00C003FA">
              <w:t>2.6</w:t>
            </w:r>
          </w:p>
        </w:tc>
        <w:tc>
          <w:tcPr>
            <w:tcW w:w="999" w:type="dxa"/>
            <w:vAlign w:val="bottom"/>
          </w:tcPr>
          <w:p w:rsidR="00A4689B" w:rsidRPr="00C003FA" w:rsidRDefault="00A4689B" w:rsidP="00A4689B">
            <w:pPr>
              <w:jc w:val="center"/>
            </w:pPr>
            <w:r w:rsidRPr="00C003FA">
              <w:t>80</w:t>
            </w:r>
          </w:p>
        </w:tc>
        <w:tc>
          <w:tcPr>
            <w:tcW w:w="938" w:type="dxa"/>
            <w:vAlign w:val="bottom"/>
          </w:tcPr>
          <w:p w:rsidR="00A4689B" w:rsidRPr="00C003FA" w:rsidRDefault="00A4689B" w:rsidP="00A4689B">
            <w:pPr>
              <w:tabs>
                <w:tab w:val="decimal" w:pos="362"/>
              </w:tabs>
              <w:jc w:val="left"/>
            </w:pPr>
            <w:r w:rsidRPr="00C003FA">
              <w:t>19.4</w:t>
            </w:r>
          </w:p>
        </w:tc>
        <w:tc>
          <w:tcPr>
            <w:tcW w:w="1317" w:type="dxa"/>
            <w:vAlign w:val="bottom"/>
          </w:tcPr>
          <w:p w:rsidR="00A4689B" w:rsidRPr="00C003FA" w:rsidRDefault="00A4689B" w:rsidP="00A4689B">
            <w:pPr>
              <w:tabs>
                <w:tab w:val="decimal" w:pos="567"/>
              </w:tabs>
              <w:jc w:val="left"/>
            </w:pPr>
            <w:r w:rsidRPr="00C003FA">
              <w:t>254.1</w:t>
            </w:r>
          </w:p>
        </w:tc>
        <w:tc>
          <w:tcPr>
            <w:tcW w:w="1049" w:type="dxa"/>
            <w:vAlign w:val="bottom"/>
          </w:tcPr>
          <w:p w:rsidR="00A4689B" w:rsidRPr="00C003FA" w:rsidRDefault="00A4689B" w:rsidP="00A4689B">
            <w:pPr>
              <w:tabs>
                <w:tab w:val="decimal" w:pos="374"/>
              </w:tabs>
              <w:jc w:val="left"/>
            </w:pPr>
            <w:r w:rsidRPr="00C003FA">
              <w:t>-5.7</w:t>
            </w:r>
          </w:p>
        </w:tc>
        <w:tc>
          <w:tcPr>
            <w:tcW w:w="1109" w:type="dxa"/>
            <w:vAlign w:val="bottom"/>
          </w:tcPr>
          <w:p w:rsidR="00A4689B" w:rsidRPr="00C003FA" w:rsidRDefault="00A4689B" w:rsidP="00A4689B">
            <w:pPr>
              <w:tabs>
                <w:tab w:val="decimal" w:pos="506"/>
              </w:tabs>
              <w:jc w:val="left"/>
            </w:pPr>
            <w:r w:rsidRPr="00C003FA">
              <w:t>555.3</w:t>
            </w:r>
          </w:p>
        </w:tc>
        <w:tc>
          <w:tcPr>
            <w:tcW w:w="938" w:type="dxa"/>
            <w:vAlign w:val="bottom"/>
          </w:tcPr>
          <w:p w:rsidR="00A4689B" w:rsidRPr="00C003FA" w:rsidRDefault="00A4689B" w:rsidP="00A4689B">
            <w:pPr>
              <w:tabs>
                <w:tab w:val="decimal" w:pos="315"/>
              </w:tabs>
              <w:jc w:val="left"/>
            </w:pPr>
            <w:r w:rsidRPr="00C003FA">
              <w:t>-0.9</w:t>
            </w:r>
          </w:p>
        </w:tc>
        <w:tc>
          <w:tcPr>
            <w:tcW w:w="1109" w:type="dxa"/>
            <w:vAlign w:val="bottom"/>
          </w:tcPr>
          <w:p w:rsidR="00A4689B" w:rsidRPr="00C003FA" w:rsidRDefault="00A4689B" w:rsidP="00A4689B">
            <w:pPr>
              <w:tabs>
                <w:tab w:val="decimal" w:pos="412"/>
              </w:tabs>
              <w:jc w:val="left"/>
            </w:pPr>
            <w:r w:rsidRPr="00C003FA">
              <w:t>13.80</w:t>
            </w:r>
          </w:p>
        </w:tc>
        <w:tc>
          <w:tcPr>
            <w:tcW w:w="938" w:type="dxa"/>
            <w:vAlign w:val="bottom"/>
          </w:tcPr>
          <w:p w:rsidR="00A4689B" w:rsidRPr="00C003FA" w:rsidRDefault="00A4689B" w:rsidP="00A4689B">
            <w:pPr>
              <w:tabs>
                <w:tab w:val="decimal" w:pos="329"/>
              </w:tabs>
              <w:jc w:val="left"/>
            </w:pPr>
            <w:r w:rsidRPr="00C003FA">
              <w:t>7.7</w:t>
            </w:r>
          </w:p>
        </w:tc>
      </w:tr>
    </w:tbl>
    <w:p w:rsidR="005162B7" w:rsidRPr="008E459C" w:rsidRDefault="005162B7" w:rsidP="005162B7">
      <w:pPr>
        <w:pStyle w:val="OStablenotes"/>
        <w:keepNext w:val="0"/>
        <w:spacing w:before="80" w:after="0"/>
        <w:rPr>
          <w:spacing w:val="-3"/>
        </w:rPr>
      </w:pPr>
      <w:r>
        <w:rPr>
          <w:spacing w:val="-3"/>
        </w:rPr>
        <w:t>________________________</w:t>
      </w:r>
    </w:p>
    <w:p w:rsidR="002B184F" w:rsidRDefault="005942B3" w:rsidP="00940E5F">
      <w:pPr>
        <w:pStyle w:val="OStablenotes"/>
        <w:spacing w:before="80" w:after="0"/>
      </w:pPr>
      <w:r w:rsidRPr="0077595C">
        <w:rPr>
          <w:vertAlign w:val="superscript"/>
        </w:rPr>
        <w:t>1</w:t>
      </w:r>
      <w:r>
        <w:tab/>
      </w:r>
      <w:r w:rsidR="002B184F">
        <w:t>Includes only those conventions booked by VISIT DENVER and held at the Colorado Convention Center</w:t>
      </w:r>
      <w:r w:rsidR="003A4160">
        <w:t>.</w:t>
      </w:r>
    </w:p>
    <w:p w:rsidR="005942B3" w:rsidRDefault="005942B3" w:rsidP="00940E5F">
      <w:pPr>
        <w:pStyle w:val="OStablenotes"/>
        <w:spacing w:before="80" w:after="0"/>
      </w:pPr>
      <w:r w:rsidRPr="0077595C">
        <w:rPr>
          <w:vertAlign w:val="superscript"/>
        </w:rPr>
        <w:t>2</w:t>
      </w:r>
      <w:r>
        <w:tab/>
      </w:r>
      <w:r w:rsidR="002B184F">
        <w:t>Count of recreational visitors for all of the State’s National Parks Service territories, which include national parks, monuments, historic sites, and recreation areas.</w:t>
      </w:r>
    </w:p>
    <w:p w:rsidR="005942B3" w:rsidRDefault="005942B3" w:rsidP="00940E5F">
      <w:pPr>
        <w:pStyle w:val="OStablenotes"/>
        <w:spacing w:before="80" w:after="0"/>
      </w:pPr>
      <w:r w:rsidRPr="0077595C">
        <w:rPr>
          <w:vertAlign w:val="superscript"/>
        </w:rPr>
        <w:t>3</w:t>
      </w:r>
      <w:r>
        <w:tab/>
        <w:t>Count of skier visits for the season ending in the referenced year.</w:t>
      </w:r>
    </w:p>
    <w:p w:rsidR="005942B3" w:rsidRDefault="005942B3" w:rsidP="00940E5F">
      <w:pPr>
        <w:pStyle w:val="OStablesources"/>
        <w:spacing w:before="80"/>
      </w:pPr>
      <w:r>
        <w:t>Sources:</w:t>
      </w:r>
      <w:r>
        <w:tab/>
        <w:t>National Parks Service; VISIT DENVER, The Convention and Visitor’s Bureau; Colorado Ski Country USA; Vail Resorts, Inc.</w:t>
      </w:r>
    </w:p>
    <w:p w:rsidR="005942B3" w:rsidRDefault="005942B3" w:rsidP="00940E5F">
      <w:pPr>
        <w:pStyle w:val="OSappendixsubheading0"/>
      </w:pPr>
      <w:r>
        <w:t>Residential Housing Starts</w:t>
      </w:r>
    </w:p>
    <w:p w:rsidR="005942B3" w:rsidRDefault="005942B3" w:rsidP="00940E5F">
      <w:pPr>
        <w:pStyle w:val="BodyText1"/>
      </w:pPr>
      <w:r>
        <w:t>The following table provides a five-year history of the State’s residential building permit issuance.</w:t>
      </w:r>
    </w:p>
    <w:tbl>
      <w:tblPr>
        <w:tblStyle w:val="TableGrid20"/>
        <w:tblW w:w="860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6"/>
        <w:gridCol w:w="1195"/>
        <w:gridCol w:w="1124"/>
        <w:gridCol w:w="1124"/>
        <w:gridCol w:w="1139"/>
        <w:gridCol w:w="1706"/>
        <w:gridCol w:w="1178"/>
      </w:tblGrid>
      <w:tr w:rsidR="002B184F" w:rsidRPr="00C003FA" w:rsidTr="007048D5">
        <w:trPr>
          <w:jc w:val="center"/>
        </w:trPr>
        <w:tc>
          <w:tcPr>
            <w:tcW w:w="8602" w:type="dxa"/>
            <w:gridSpan w:val="7"/>
            <w:vAlign w:val="bottom"/>
          </w:tcPr>
          <w:p w:rsidR="002B184F" w:rsidRPr="00C003FA" w:rsidRDefault="002B184F" w:rsidP="007048D5">
            <w:pPr>
              <w:spacing w:after="240"/>
              <w:jc w:val="center"/>
            </w:pPr>
            <w:r w:rsidRPr="00C003FA">
              <w:t>New Privately Owned Housing Units Authorized in Colorado</w:t>
            </w:r>
          </w:p>
        </w:tc>
      </w:tr>
      <w:tr w:rsidR="002B184F" w:rsidRPr="00C003FA" w:rsidTr="007048D5">
        <w:trPr>
          <w:jc w:val="center"/>
        </w:trPr>
        <w:tc>
          <w:tcPr>
            <w:tcW w:w="1136" w:type="dxa"/>
            <w:vAlign w:val="bottom"/>
          </w:tcPr>
          <w:p w:rsidR="002B184F" w:rsidRPr="00C003FA" w:rsidRDefault="002B184F" w:rsidP="007048D5">
            <w:pPr>
              <w:spacing w:after="120"/>
              <w:jc w:val="center"/>
            </w:pPr>
          </w:p>
        </w:tc>
        <w:tc>
          <w:tcPr>
            <w:tcW w:w="1195" w:type="dxa"/>
            <w:vAlign w:val="bottom"/>
          </w:tcPr>
          <w:p w:rsidR="002B184F" w:rsidRPr="00C003FA" w:rsidRDefault="002B184F" w:rsidP="007048D5">
            <w:pPr>
              <w:pBdr>
                <w:bottom w:val="single" w:sz="4" w:space="1" w:color="auto"/>
              </w:pBdr>
              <w:spacing w:after="120"/>
              <w:jc w:val="center"/>
            </w:pPr>
            <w:r w:rsidRPr="00C003FA">
              <w:t>1 Unit</w:t>
            </w:r>
          </w:p>
        </w:tc>
        <w:tc>
          <w:tcPr>
            <w:tcW w:w="1124" w:type="dxa"/>
            <w:vAlign w:val="bottom"/>
          </w:tcPr>
          <w:p w:rsidR="002B184F" w:rsidRPr="00C003FA" w:rsidRDefault="002B184F" w:rsidP="007048D5">
            <w:pPr>
              <w:pBdr>
                <w:bottom w:val="single" w:sz="4" w:space="1" w:color="auto"/>
              </w:pBdr>
              <w:spacing w:after="120"/>
              <w:jc w:val="center"/>
            </w:pPr>
            <w:r w:rsidRPr="00C003FA">
              <w:t>2 Units</w:t>
            </w:r>
          </w:p>
        </w:tc>
        <w:tc>
          <w:tcPr>
            <w:tcW w:w="1124" w:type="dxa"/>
            <w:vAlign w:val="bottom"/>
          </w:tcPr>
          <w:p w:rsidR="002B184F" w:rsidRPr="00C003FA" w:rsidRDefault="002B184F" w:rsidP="007048D5">
            <w:pPr>
              <w:pBdr>
                <w:bottom w:val="single" w:sz="4" w:space="1" w:color="auto"/>
              </w:pBdr>
              <w:spacing w:after="120"/>
              <w:jc w:val="center"/>
            </w:pPr>
            <w:r w:rsidRPr="00C003FA">
              <w:t>3 &amp; 4 Units</w:t>
            </w:r>
          </w:p>
        </w:tc>
        <w:tc>
          <w:tcPr>
            <w:tcW w:w="1139" w:type="dxa"/>
            <w:vAlign w:val="bottom"/>
          </w:tcPr>
          <w:p w:rsidR="002B184F" w:rsidRPr="00C003FA" w:rsidRDefault="002B184F" w:rsidP="007048D5">
            <w:pPr>
              <w:pBdr>
                <w:bottom w:val="single" w:sz="4" w:space="1" w:color="auto"/>
              </w:pBdr>
              <w:spacing w:after="120"/>
              <w:jc w:val="center"/>
            </w:pPr>
            <w:r w:rsidRPr="00C003FA">
              <w:t>5+ Units</w:t>
            </w:r>
          </w:p>
        </w:tc>
        <w:tc>
          <w:tcPr>
            <w:tcW w:w="1706" w:type="dxa"/>
            <w:vAlign w:val="bottom"/>
          </w:tcPr>
          <w:p w:rsidR="002B184F" w:rsidRPr="00C003FA" w:rsidRDefault="002B184F" w:rsidP="007048D5">
            <w:pPr>
              <w:pBdr>
                <w:bottom w:val="single" w:sz="4" w:space="1" w:color="auto"/>
              </w:pBdr>
              <w:spacing w:after="120"/>
              <w:jc w:val="center"/>
            </w:pPr>
            <w:r w:rsidRPr="00C003FA">
              <w:t>Total Building Permits</w:t>
            </w:r>
          </w:p>
        </w:tc>
        <w:tc>
          <w:tcPr>
            <w:tcW w:w="1178" w:type="dxa"/>
            <w:vAlign w:val="bottom"/>
          </w:tcPr>
          <w:p w:rsidR="002B184F" w:rsidRPr="00C003FA" w:rsidRDefault="002B184F" w:rsidP="007048D5">
            <w:pPr>
              <w:pBdr>
                <w:bottom w:val="single" w:sz="4" w:space="1" w:color="auto"/>
              </w:pBdr>
              <w:spacing w:after="120"/>
              <w:jc w:val="center"/>
            </w:pPr>
            <w:r w:rsidRPr="00C003FA">
              <w:t>%</w:t>
            </w:r>
            <w:r w:rsidRPr="00C003FA">
              <w:br/>
              <w:t>Change</w:t>
            </w:r>
          </w:p>
        </w:tc>
      </w:tr>
      <w:tr w:rsidR="002B184F" w:rsidRPr="00C003FA" w:rsidTr="007048D5">
        <w:trPr>
          <w:jc w:val="center"/>
        </w:trPr>
        <w:tc>
          <w:tcPr>
            <w:tcW w:w="1136" w:type="dxa"/>
            <w:vAlign w:val="bottom"/>
          </w:tcPr>
          <w:p w:rsidR="002B184F" w:rsidRPr="00C003FA" w:rsidRDefault="002B184F" w:rsidP="007048D5">
            <w:pPr>
              <w:jc w:val="center"/>
            </w:pPr>
            <w:r w:rsidRPr="00C003FA">
              <w:t>2015</w:t>
            </w:r>
          </w:p>
        </w:tc>
        <w:tc>
          <w:tcPr>
            <w:tcW w:w="1195" w:type="dxa"/>
            <w:vAlign w:val="bottom"/>
          </w:tcPr>
          <w:p w:rsidR="002B184F" w:rsidRPr="00C003FA" w:rsidRDefault="002B184F" w:rsidP="007048D5">
            <w:pPr>
              <w:tabs>
                <w:tab w:val="decimal" w:pos="807"/>
              </w:tabs>
              <w:jc w:val="left"/>
            </w:pPr>
            <w:r w:rsidRPr="00C003FA">
              <w:t>20,025</w:t>
            </w:r>
          </w:p>
        </w:tc>
        <w:tc>
          <w:tcPr>
            <w:tcW w:w="1124" w:type="dxa"/>
            <w:vAlign w:val="bottom"/>
          </w:tcPr>
          <w:p w:rsidR="002B184F" w:rsidRPr="00C003FA" w:rsidRDefault="002B184F" w:rsidP="007048D5">
            <w:pPr>
              <w:tabs>
                <w:tab w:val="decimal" w:pos="599"/>
              </w:tabs>
              <w:jc w:val="left"/>
            </w:pPr>
            <w:r w:rsidRPr="00C003FA">
              <w:t>334</w:t>
            </w:r>
          </w:p>
        </w:tc>
        <w:tc>
          <w:tcPr>
            <w:tcW w:w="1124" w:type="dxa"/>
            <w:vAlign w:val="bottom"/>
          </w:tcPr>
          <w:p w:rsidR="002B184F" w:rsidRPr="00C003FA" w:rsidRDefault="002B184F" w:rsidP="007048D5">
            <w:pPr>
              <w:tabs>
                <w:tab w:val="decimal" w:pos="591"/>
              </w:tabs>
              <w:jc w:val="left"/>
            </w:pPr>
            <w:r w:rsidRPr="00C003FA">
              <w:t>287</w:t>
            </w:r>
          </w:p>
        </w:tc>
        <w:tc>
          <w:tcPr>
            <w:tcW w:w="1139" w:type="dxa"/>
            <w:vAlign w:val="bottom"/>
          </w:tcPr>
          <w:p w:rsidR="002B184F" w:rsidRPr="00C003FA" w:rsidRDefault="002B184F" w:rsidP="007048D5">
            <w:pPr>
              <w:tabs>
                <w:tab w:val="decimal" w:pos="709"/>
              </w:tabs>
              <w:jc w:val="left"/>
            </w:pPr>
            <w:r w:rsidRPr="00C003FA">
              <w:t>11,225</w:t>
            </w:r>
          </w:p>
        </w:tc>
        <w:tc>
          <w:tcPr>
            <w:tcW w:w="1706" w:type="dxa"/>
            <w:vAlign w:val="bottom"/>
          </w:tcPr>
          <w:p w:rsidR="002B184F" w:rsidRPr="00C003FA" w:rsidRDefault="002B184F" w:rsidP="007048D5">
            <w:pPr>
              <w:tabs>
                <w:tab w:val="decimal" w:pos="1010"/>
              </w:tabs>
              <w:jc w:val="left"/>
            </w:pPr>
            <w:r w:rsidRPr="00C003FA">
              <w:t>31,871</w:t>
            </w:r>
          </w:p>
        </w:tc>
        <w:tc>
          <w:tcPr>
            <w:tcW w:w="1178" w:type="dxa"/>
            <w:vAlign w:val="bottom"/>
          </w:tcPr>
          <w:p w:rsidR="002B184F" w:rsidRPr="00C003FA" w:rsidRDefault="002B184F" w:rsidP="007048D5">
            <w:pPr>
              <w:tabs>
                <w:tab w:val="decimal" w:pos="465"/>
              </w:tabs>
              <w:jc w:val="left"/>
            </w:pPr>
            <w:r w:rsidRPr="00C003FA">
              <w:t>4.3%</w:t>
            </w:r>
          </w:p>
        </w:tc>
      </w:tr>
      <w:tr w:rsidR="002B184F" w:rsidRPr="00C003FA" w:rsidTr="007048D5">
        <w:trPr>
          <w:jc w:val="center"/>
        </w:trPr>
        <w:tc>
          <w:tcPr>
            <w:tcW w:w="1136" w:type="dxa"/>
            <w:vAlign w:val="bottom"/>
          </w:tcPr>
          <w:p w:rsidR="002B184F" w:rsidRPr="00C003FA" w:rsidRDefault="002B184F" w:rsidP="007048D5">
            <w:pPr>
              <w:jc w:val="center"/>
            </w:pPr>
            <w:r w:rsidRPr="00C003FA">
              <w:t>2016</w:t>
            </w:r>
          </w:p>
        </w:tc>
        <w:tc>
          <w:tcPr>
            <w:tcW w:w="1195" w:type="dxa"/>
            <w:vAlign w:val="bottom"/>
          </w:tcPr>
          <w:p w:rsidR="002B184F" w:rsidRPr="00C003FA" w:rsidRDefault="002B184F" w:rsidP="007048D5">
            <w:pPr>
              <w:tabs>
                <w:tab w:val="decimal" w:pos="807"/>
              </w:tabs>
              <w:jc w:val="left"/>
            </w:pPr>
            <w:r w:rsidRPr="00C003FA">
              <w:t>21,577</w:t>
            </w:r>
          </w:p>
        </w:tc>
        <w:tc>
          <w:tcPr>
            <w:tcW w:w="1124" w:type="dxa"/>
            <w:vAlign w:val="bottom"/>
          </w:tcPr>
          <w:p w:rsidR="002B184F" w:rsidRPr="00C003FA" w:rsidRDefault="002B184F" w:rsidP="007048D5">
            <w:pPr>
              <w:tabs>
                <w:tab w:val="decimal" w:pos="599"/>
              </w:tabs>
              <w:jc w:val="left"/>
            </w:pPr>
            <w:r w:rsidRPr="00C003FA">
              <w:t>556</w:t>
            </w:r>
          </w:p>
        </w:tc>
        <w:tc>
          <w:tcPr>
            <w:tcW w:w="1124" w:type="dxa"/>
            <w:vAlign w:val="bottom"/>
          </w:tcPr>
          <w:p w:rsidR="002B184F" w:rsidRPr="00C003FA" w:rsidRDefault="002B184F" w:rsidP="007048D5">
            <w:pPr>
              <w:tabs>
                <w:tab w:val="decimal" w:pos="591"/>
              </w:tabs>
              <w:jc w:val="left"/>
            </w:pPr>
            <w:r w:rsidRPr="00C003FA">
              <w:t>242</w:t>
            </w:r>
          </w:p>
        </w:tc>
        <w:tc>
          <w:tcPr>
            <w:tcW w:w="1139" w:type="dxa"/>
            <w:vAlign w:val="bottom"/>
          </w:tcPr>
          <w:p w:rsidR="002B184F" w:rsidRPr="00C003FA" w:rsidRDefault="002B184F" w:rsidP="007048D5">
            <w:pPr>
              <w:tabs>
                <w:tab w:val="decimal" w:pos="709"/>
              </w:tabs>
              <w:jc w:val="left"/>
            </w:pPr>
            <w:r w:rsidRPr="00C003FA">
              <w:t>16,599</w:t>
            </w:r>
          </w:p>
        </w:tc>
        <w:tc>
          <w:tcPr>
            <w:tcW w:w="1706" w:type="dxa"/>
            <w:vAlign w:val="bottom"/>
          </w:tcPr>
          <w:p w:rsidR="002B184F" w:rsidRPr="00C003FA" w:rsidRDefault="002B184F" w:rsidP="007048D5">
            <w:pPr>
              <w:tabs>
                <w:tab w:val="decimal" w:pos="1010"/>
              </w:tabs>
              <w:jc w:val="left"/>
            </w:pPr>
            <w:r w:rsidRPr="00C003FA">
              <w:t>38,974</w:t>
            </w:r>
          </w:p>
        </w:tc>
        <w:tc>
          <w:tcPr>
            <w:tcW w:w="1178" w:type="dxa"/>
            <w:vAlign w:val="bottom"/>
          </w:tcPr>
          <w:p w:rsidR="002B184F" w:rsidRPr="00C003FA" w:rsidRDefault="002B184F" w:rsidP="007048D5">
            <w:pPr>
              <w:tabs>
                <w:tab w:val="decimal" w:pos="465"/>
              </w:tabs>
              <w:jc w:val="left"/>
            </w:pPr>
            <w:r w:rsidRPr="00C003FA">
              <w:t>22.3</w:t>
            </w:r>
          </w:p>
        </w:tc>
      </w:tr>
      <w:tr w:rsidR="002B184F" w:rsidRPr="00C003FA" w:rsidTr="007048D5">
        <w:trPr>
          <w:jc w:val="center"/>
        </w:trPr>
        <w:tc>
          <w:tcPr>
            <w:tcW w:w="1136" w:type="dxa"/>
            <w:vAlign w:val="bottom"/>
          </w:tcPr>
          <w:p w:rsidR="002B184F" w:rsidRPr="00C003FA" w:rsidRDefault="002B184F" w:rsidP="007048D5">
            <w:pPr>
              <w:jc w:val="center"/>
            </w:pPr>
            <w:r w:rsidRPr="00C003FA">
              <w:t>2017</w:t>
            </w:r>
          </w:p>
        </w:tc>
        <w:tc>
          <w:tcPr>
            <w:tcW w:w="1195" w:type="dxa"/>
            <w:vAlign w:val="bottom"/>
          </w:tcPr>
          <w:p w:rsidR="002B184F" w:rsidRPr="00C003FA" w:rsidRDefault="002B184F" w:rsidP="007048D5">
            <w:pPr>
              <w:tabs>
                <w:tab w:val="decimal" w:pos="807"/>
              </w:tabs>
              <w:jc w:val="left"/>
            </w:pPr>
            <w:r w:rsidRPr="00C003FA">
              <w:t>24,338</w:t>
            </w:r>
          </w:p>
        </w:tc>
        <w:tc>
          <w:tcPr>
            <w:tcW w:w="1124" w:type="dxa"/>
            <w:vAlign w:val="bottom"/>
          </w:tcPr>
          <w:p w:rsidR="002B184F" w:rsidRPr="00C003FA" w:rsidRDefault="002B184F" w:rsidP="007048D5">
            <w:pPr>
              <w:tabs>
                <w:tab w:val="decimal" w:pos="599"/>
              </w:tabs>
              <w:jc w:val="left"/>
            </w:pPr>
            <w:r w:rsidRPr="00C003FA">
              <w:t>344</w:t>
            </w:r>
          </w:p>
        </w:tc>
        <w:tc>
          <w:tcPr>
            <w:tcW w:w="1124" w:type="dxa"/>
            <w:vAlign w:val="bottom"/>
          </w:tcPr>
          <w:p w:rsidR="002B184F" w:rsidRPr="00C003FA" w:rsidRDefault="002B184F" w:rsidP="007048D5">
            <w:pPr>
              <w:tabs>
                <w:tab w:val="decimal" w:pos="591"/>
              </w:tabs>
              <w:jc w:val="left"/>
            </w:pPr>
            <w:r w:rsidRPr="00C003FA">
              <w:t>415</w:t>
            </w:r>
          </w:p>
        </w:tc>
        <w:tc>
          <w:tcPr>
            <w:tcW w:w="1139" w:type="dxa"/>
            <w:vAlign w:val="bottom"/>
          </w:tcPr>
          <w:p w:rsidR="002B184F" w:rsidRPr="00C003FA" w:rsidRDefault="002B184F" w:rsidP="007048D5">
            <w:pPr>
              <w:tabs>
                <w:tab w:val="decimal" w:pos="709"/>
              </w:tabs>
              <w:jc w:val="left"/>
            </w:pPr>
            <w:r w:rsidRPr="00C003FA">
              <w:t>15,576</w:t>
            </w:r>
          </w:p>
        </w:tc>
        <w:tc>
          <w:tcPr>
            <w:tcW w:w="1706" w:type="dxa"/>
            <w:vAlign w:val="bottom"/>
          </w:tcPr>
          <w:p w:rsidR="002B184F" w:rsidRPr="00C003FA" w:rsidRDefault="002B184F" w:rsidP="007048D5">
            <w:pPr>
              <w:tabs>
                <w:tab w:val="decimal" w:pos="1010"/>
              </w:tabs>
              <w:jc w:val="left"/>
            </w:pPr>
            <w:r w:rsidRPr="00C003FA">
              <w:t>40,673</w:t>
            </w:r>
          </w:p>
        </w:tc>
        <w:tc>
          <w:tcPr>
            <w:tcW w:w="1178" w:type="dxa"/>
            <w:vAlign w:val="bottom"/>
          </w:tcPr>
          <w:p w:rsidR="002B184F" w:rsidRPr="00C003FA" w:rsidRDefault="002B184F" w:rsidP="007048D5">
            <w:pPr>
              <w:tabs>
                <w:tab w:val="decimal" w:pos="465"/>
              </w:tabs>
              <w:jc w:val="left"/>
            </w:pPr>
            <w:r w:rsidRPr="00C003FA">
              <w:t>4.4</w:t>
            </w:r>
          </w:p>
        </w:tc>
      </w:tr>
      <w:tr w:rsidR="002B184F" w:rsidRPr="00C003FA" w:rsidTr="007048D5">
        <w:trPr>
          <w:jc w:val="center"/>
        </w:trPr>
        <w:tc>
          <w:tcPr>
            <w:tcW w:w="1136" w:type="dxa"/>
            <w:vAlign w:val="bottom"/>
          </w:tcPr>
          <w:p w:rsidR="002B184F" w:rsidRPr="00C003FA" w:rsidRDefault="002B184F" w:rsidP="007048D5">
            <w:pPr>
              <w:jc w:val="center"/>
            </w:pPr>
            <w:r w:rsidRPr="00C003FA">
              <w:t>2018</w:t>
            </w:r>
          </w:p>
        </w:tc>
        <w:tc>
          <w:tcPr>
            <w:tcW w:w="1195" w:type="dxa"/>
            <w:vAlign w:val="bottom"/>
          </w:tcPr>
          <w:p w:rsidR="002B184F" w:rsidRPr="00C003FA" w:rsidRDefault="002B184F" w:rsidP="007048D5">
            <w:pPr>
              <w:tabs>
                <w:tab w:val="decimal" w:pos="807"/>
              </w:tabs>
              <w:jc w:val="left"/>
            </w:pPr>
            <w:r w:rsidRPr="00C003FA">
              <w:t>26,134</w:t>
            </w:r>
          </w:p>
        </w:tc>
        <w:tc>
          <w:tcPr>
            <w:tcW w:w="1124" w:type="dxa"/>
            <w:vAlign w:val="bottom"/>
          </w:tcPr>
          <w:p w:rsidR="002B184F" w:rsidRPr="00C003FA" w:rsidRDefault="002B184F" w:rsidP="007048D5">
            <w:pPr>
              <w:tabs>
                <w:tab w:val="decimal" w:pos="599"/>
              </w:tabs>
              <w:jc w:val="left"/>
            </w:pPr>
            <w:r w:rsidRPr="00C003FA">
              <w:t>374</w:t>
            </w:r>
          </w:p>
        </w:tc>
        <w:tc>
          <w:tcPr>
            <w:tcW w:w="1124" w:type="dxa"/>
            <w:vAlign w:val="bottom"/>
          </w:tcPr>
          <w:p w:rsidR="002B184F" w:rsidRPr="00C003FA" w:rsidRDefault="002B184F" w:rsidP="007048D5">
            <w:pPr>
              <w:tabs>
                <w:tab w:val="decimal" w:pos="591"/>
              </w:tabs>
              <w:jc w:val="left"/>
            </w:pPr>
            <w:r w:rsidRPr="00C003FA">
              <w:t>414</w:t>
            </w:r>
          </w:p>
        </w:tc>
        <w:tc>
          <w:tcPr>
            <w:tcW w:w="1139" w:type="dxa"/>
            <w:vAlign w:val="bottom"/>
          </w:tcPr>
          <w:p w:rsidR="002B184F" w:rsidRPr="00C003FA" w:rsidRDefault="002B184F" w:rsidP="007048D5">
            <w:pPr>
              <w:tabs>
                <w:tab w:val="decimal" w:pos="709"/>
              </w:tabs>
              <w:jc w:val="left"/>
            </w:pPr>
            <w:r w:rsidRPr="00C003FA">
              <w:t>15,705</w:t>
            </w:r>
          </w:p>
        </w:tc>
        <w:tc>
          <w:tcPr>
            <w:tcW w:w="1706" w:type="dxa"/>
            <w:vAlign w:val="bottom"/>
          </w:tcPr>
          <w:p w:rsidR="002B184F" w:rsidRPr="00C003FA" w:rsidRDefault="002B184F" w:rsidP="007048D5">
            <w:pPr>
              <w:tabs>
                <w:tab w:val="decimal" w:pos="1010"/>
              </w:tabs>
              <w:jc w:val="left"/>
            </w:pPr>
            <w:r w:rsidRPr="00C003FA">
              <w:t>42,627</w:t>
            </w:r>
          </w:p>
        </w:tc>
        <w:tc>
          <w:tcPr>
            <w:tcW w:w="1178" w:type="dxa"/>
            <w:vAlign w:val="bottom"/>
          </w:tcPr>
          <w:p w:rsidR="002B184F" w:rsidRPr="00C003FA" w:rsidRDefault="002B184F" w:rsidP="007048D5">
            <w:pPr>
              <w:tabs>
                <w:tab w:val="decimal" w:pos="465"/>
              </w:tabs>
              <w:jc w:val="left"/>
            </w:pPr>
            <w:r w:rsidRPr="00C003FA">
              <w:t>4.8</w:t>
            </w:r>
          </w:p>
        </w:tc>
      </w:tr>
      <w:tr w:rsidR="002B184F" w:rsidRPr="00C003FA" w:rsidTr="007048D5">
        <w:trPr>
          <w:jc w:val="center"/>
        </w:trPr>
        <w:tc>
          <w:tcPr>
            <w:tcW w:w="1136" w:type="dxa"/>
            <w:vAlign w:val="bottom"/>
          </w:tcPr>
          <w:p w:rsidR="002B184F" w:rsidRPr="00C003FA" w:rsidRDefault="002B184F" w:rsidP="007048D5">
            <w:pPr>
              <w:jc w:val="center"/>
            </w:pPr>
            <w:r w:rsidRPr="00C003FA">
              <w:t>2019</w:t>
            </w:r>
          </w:p>
        </w:tc>
        <w:tc>
          <w:tcPr>
            <w:tcW w:w="1195" w:type="dxa"/>
            <w:vAlign w:val="bottom"/>
          </w:tcPr>
          <w:p w:rsidR="002B184F" w:rsidRPr="00C003FA" w:rsidRDefault="002B184F" w:rsidP="007048D5">
            <w:pPr>
              <w:tabs>
                <w:tab w:val="decimal" w:pos="807"/>
              </w:tabs>
              <w:jc w:val="left"/>
            </w:pPr>
            <w:r w:rsidRPr="00C003FA">
              <w:t>28,059</w:t>
            </w:r>
          </w:p>
        </w:tc>
        <w:tc>
          <w:tcPr>
            <w:tcW w:w="1124" w:type="dxa"/>
            <w:vAlign w:val="bottom"/>
          </w:tcPr>
          <w:p w:rsidR="002B184F" w:rsidRPr="00C003FA" w:rsidRDefault="002B184F" w:rsidP="007048D5">
            <w:pPr>
              <w:tabs>
                <w:tab w:val="decimal" w:pos="599"/>
              </w:tabs>
              <w:jc w:val="left"/>
            </w:pPr>
            <w:r w:rsidRPr="00C003FA">
              <w:t>366</w:t>
            </w:r>
          </w:p>
        </w:tc>
        <w:tc>
          <w:tcPr>
            <w:tcW w:w="1124" w:type="dxa"/>
            <w:vAlign w:val="bottom"/>
          </w:tcPr>
          <w:p w:rsidR="002B184F" w:rsidRPr="00C003FA" w:rsidRDefault="002B184F" w:rsidP="007048D5">
            <w:pPr>
              <w:tabs>
                <w:tab w:val="decimal" w:pos="591"/>
              </w:tabs>
              <w:jc w:val="left"/>
            </w:pPr>
            <w:r w:rsidRPr="00C003FA">
              <w:t>448</w:t>
            </w:r>
          </w:p>
        </w:tc>
        <w:tc>
          <w:tcPr>
            <w:tcW w:w="1139" w:type="dxa"/>
            <w:vAlign w:val="bottom"/>
          </w:tcPr>
          <w:p w:rsidR="002B184F" w:rsidRPr="00C003FA" w:rsidRDefault="002B184F" w:rsidP="007048D5">
            <w:pPr>
              <w:tabs>
                <w:tab w:val="decimal" w:pos="709"/>
              </w:tabs>
              <w:jc w:val="left"/>
            </w:pPr>
            <w:r w:rsidRPr="00C003FA">
              <w:t>13,100</w:t>
            </w:r>
          </w:p>
        </w:tc>
        <w:tc>
          <w:tcPr>
            <w:tcW w:w="1706" w:type="dxa"/>
            <w:vAlign w:val="bottom"/>
          </w:tcPr>
          <w:p w:rsidR="002B184F" w:rsidRPr="00C003FA" w:rsidRDefault="002B184F" w:rsidP="007048D5">
            <w:pPr>
              <w:tabs>
                <w:tab w:val="decimal" w:pos="1010"/>
              </w:tabs>
              <w:jc w:val="left"/>
            </w:pPr>
            <w:r w:rsidRPr="00C003FA">
              <w:t>41,973</w:t>
            </w:r>
          </w:p>
        </w:tc>
        <w:tc>
          <w:tcPr>
            <w:tcW w:w="1178" w:type="dxa"/>
            <w:vAlign w:val="bottom"/>
          </w:tcPr>
          <w:p w:rsidR="002B184F" w:rsidRPr="00C003FA" w:rsidRDefault="002B184F" w:rsidP="007048D5">
            <w:pPr>
              <w:tabs>
                <w:tab w:val="decimal" w:pos="465"/>
              </w:tabs>
              <w:jc w:val="left"/>
            </w:pPr>
            <w:r w:rsidRPr="00C003FA">
              <w:t>-1.5</w:t>
            </w:r>
          </w:p>
        </w:tc>
      </w:tr>
      <w:tr w:rsidR="002B184F" w:rsidRPr="00C003FA" w:rsidTr="007048D5">
        <w:trPr>
          <w:jc w:val="center"/>
        </w:trPr>
        <w:tc>
          <w:tcPr>
            <w:tcW w:w="8602" w:type="dxa"/>
            <w:gridSpan w:val="7"/>
            <w:vAlign w:val="bottom"/>
          </w:tcPr>
          <w:p w:rsidR="002B184F" w:rsidRPr="00C003FA" w:rsidRDefault="002B184F" w:rsidP="007048D5">
            <w:pPr>
              <w:jc w:val="left"/>
            </w:pPr>
          </w:p>
        </w:tc>
      </w:tr>
      <w:tr w:rsidR="002B184F" w:rsidRPr="00C003FA" w:rsidTr="007048D5">
        <w:trPr>
          <w:jc w:val="center"/>
        </w:trPr>
        <w:tc>
          <w:tcPr>
            <w:tcW w:w="8602" w:type="dxa"/>
            <w:gridSpan w:val="7"/>
            <w:vAlign w:val="bottom"/>
          </w:tcPr>
          <w:p w:rsidR="002B184F" w:rsidRPr="00C003FA" w:rsidRDefault="002B184F" w:rsidP="007048D5">
            <w:pPr>
              <w:jc w:val="left"/>
            </w:pPr>
            <w:r w:rsidRPr="00C003FA">
              <w:t>Year-to-Date Totals Through April:</w:t>
            </w:r>
          </w:p>
        </w:tc>
      </w:tr>
      <w:tr w:rsidR="002B184F" w:rsidRPr="00C003FA" w:rsidTr="007048D5">
        <w:trPr>
          <w:jc w:val="center"/>
        </w:trPr>
        <w:tc>
          <w:tcPr>
            <w:tcW w:w="1136" w:type="dxa"/>
            <w:vAlign w:val="bottom"/>
          </w:tcPr>
          <w:p w:rsidR="002B184F" w:rsidRPr="00C003FA" w:rsidRDefault="002B184F" w:rsidP="007048D5">
            <w:pPr>
              <w:jc w:val="center"/>
            </w:pPr>
            <w:r w:rsidRPr="00C003FA">
              <w:t>2019</w:t>
            </w:r>
          </w:p>
        </w:tc>
        <w:tc>
          <w:tcPr>
            <w:tcW w:w="1195" w:type="dxa"/>
            <w:vAlign w:val="bottom"/>
          </w:tcPr>
          <w:p w:rsidR="002B184F" w:rsidRPr="00C003FA" w:rsidRDefault="002B184F" w:rsidP="007048D5">
            <w:pPr>
              <w:tabs>
                <w:tab w:val="decimal" w:pos="807"/>
              </w:tabs>
              <w:jc w:val="left"/>
            </w:pPr>
            <w:r w:rsidRPr="00C003FA">
              <w:t>7,754</w:t>
            </w:r>
          </w:p>
        </w:tc>
        <w:tc>
          <w:tcPr>
            <w:tcW w:w="1124" w:type="dxa"/>
            <w:vAlign w:val="bottom"/>
          </w:tcPr>
          <w:p w:rsidR="002B184F" w:rsidRPr="00C003FA" w:rsidRDefault="002B184F" w:rsidP="007048D5">
            <w:pPr>
              <w:tabs>
                <w:tab w:val="decimal" w:pos="599"/>
              </w:tabs>
              <w:jc w:val="left"/>
            </w:pPr>
            <w:r w:rsidRPr="00C003FA">
              <w:t>136</w:t>
            </w:r>
          </w:p>
        </w:tc>
        <w:tc>
          <w:tcPr>
            <w:tcW w:w="1124" w:type="dxa"/>
            <w:vAlign w:val="bottom"/>
          </w:tcPr>
          <w:p w:rsidR="002B184F" w:rsidRPr="00C003FA" w:rsidRDefault="002B184F" w:rsidP="007048D5">
            <w:pPr>
              <w:tabs>
                <w:tab w:val="decimal" w:pos="591"/>
              </w:tabs>
              <w:jc w:val="left"/>
            </w:pPr>
            <w:r w:rsidRPr="00C003FA">
              <w:t>243</w:t>
            </w:r>
          </w:p>
        </w:tc>
        <w:tc>
          <w:tcPr>
            <w:tcW w:w="1139" w:type="dxa"/>
            <w:vAlign w:val="bottom"/>
          </w:tcPr>
          <w:p w:rsidR="002B184F" w:rsidRPr="00C003FA" w:rsidRDefault="002B184F" w:rsidP="007048D5">
            <w:pPr>
              <w:tabs>
                <w:tab w:val="decimal" w:pos="709"/>
              </w:tabs>
              <w:jc w:val="left"/>
            </w:pPr>
            <w:r w:rsidRPr="00C003FA">
              <w:t>4,339</w:t>
            </w:r>
          </w:p>
        </w:tc>
        <w:tc>
          <w:tcPr>
            <w:tcW w:w="1706" w:type="dxa"/>
            <w:vAlign w:val="bottom"/>
          </w:tcPr>
          <w:p w:rsidR="002B184F" w:rsidRPr="00C003FA" w:rsidRDefault="002B184F" w:rsidP="007048D5">
            <w:pPr>
              <w:tabs>
                <w:tab w:val="decimal" w:pos="1010"/>
              </w:tabs>
              <w:jc w:val="left"/>
            </w:pPr>
            <w:r w:rsidRPr="00C003FA">
              <w:t>12,472</w:t>
            </w:r>
          </w:p>
        </w:tc>
        <w:tc>
          <w:tcPr>
            <w:tcW w:w="1178" w:type="dxa"/>
            <w:vAlign w:val="bottom"/>
          </w:tcPr>
          <w:p w:rsidR="002B184F" w:rsidRPr="00C003FA" w:rsidRDefault="002B184F" w:rsidP="007048D5">
            <w:pPr>
              <w:tabs>
                <w:tab w:val="decimal" w:pos="465"/>
              </w:tabs>
              <w:jc w:val="left"/>
            </w:pPr>
          </w:p>
        </w:tc>
      </w:tr>
      <w:tr w:rsidR="002B184F" w:rsidRPr="00C003FA" w:rsidTr="007048D5">
        <w:trPr>
          <w:jc w:val="center"/>
        </w:trPr>
        <w:tc>
          <w:tcPr>
            <w:tcW w:w="1136" w:type="dxa"/>
            <w:vAlign w:val="bottom"/>
          </w:tcPr>
          <w:p w:rsidR="002B184F" w:rsidRPr="00C003FA" w:rsidRDefault="002B184F" w:rsidP="007048D5">
            <w:pPr>
              <w:jc w:val="center"/>
            </w:pPr>
            <w:r w:rsidRPr="00C003FA">
              <w:t>2020</w:t>
            </w:r>
          </w:p>
        </w:tc>
        <w:tc>
          <w:tcPr>
            <w:tcW w:w="1195" w:type="dxa"/>
            <w:vAlign w:val="bottom"/>
          </w:tcPr>
          <w:p w:rsidR="002B184F" w:rsidRPr="00C003FA" w:rsidRDefault="002B184F" w:rsidP="007048D5">
            <w:pPr>
              <w:tabs>
                <w:tab w:val="decimal" w:pos="807"/>
              </w:tabs>
              <w:jc w:val="left"/>
            </w:pPr>
            <w:r w:rsidRPr="00C003FA">
              <w:t>8,955</w:t>
            </w:r>
          </w:p>
        </w:tc>
        <w:tc>
          <w:tcPr>
            <w:tcW w:w="1124" w:type="dxa"/>
            <w:vAlign w:val="bottom"/>
          </w:tcPr>
          <w:p w:rsidR="002B184F" w:rsidRPr="00C003FA" w:rsidRDefault="002B184F" w:rsidP="007048D5">
            <w:pPr>
              <w:tabs>
                <w:tab w:val="decimal" w:pos="599"/>
              </w:tabs>
              <w:jc w:val="left"/>
            </w:pPr>
            <w:r w:rsidRPr="00C003FA">
              <w:t>60</w:t>
            </w:r>
          </w:p>
        </w:tc>
        <w:tc>
          <w:tcPr>
            <w:tcW w:w="1124" w:type="dxa"/>
            <w:vAlign w:val="bottom"/>
          </w:tcPr>
          <w:p w:rsidR="002B184F" w:rsidRPr="00C003FA" w:rsidRDefault="002B184F" w:rsidP="007048D5">
            <w:pPr>
              <w:tabs>
                <w:tab w:val="decimal" w:pos="591"/>
              </w:tabs>
              <w:jc w:val="left"/>
            </w:pPr>
            <w:r w:rsidRPr="00C003FA">
              <w:t>169</w:t>
            </w:r>
          </w:p>
        </w:tc>
        <w:tc>
          <w:tcPr>
            <w:tcW w:w="1139" w:type="dxa"/>
            <w:vAlign w:val="bottom"/>
          </w:tcPr>
          <w:p w:rsidR="002B184F" w:rsidRPr="00C003FA" w:rsidRDefault="002B184F" w:rsidP="007048D5">
            <w:pPr>
              <w:tabs>
                <w:tab w:val="decimal" w:pos="709"/>
              </w:tabs>
              <w:jc w:val="left"/>
            </w:pPr>
            <w:r w:rsidRPr="00C003FA">
              <w:t>3,919</w:t>
            </w:r>
          </w:p>
        </w:tc>
        <w:tc>
          <w:tcPr>
            <w:tcW w:w="1706" w:type="dxa"/>
            <w:vAlign w:val="bottom"/>
          </w:tcPr>
          <w:p w:rsidR="002B184F" w:rsidRPr="00C003FA" w:rsidRDefault="002B184F" w:rsidP="007048D5">
            <w:pPr>
              <w:tabs>
                <w:tab w:val="decimal" w:pos="1010"/>
              </w:tabs>
              <w:jc w:val="left"/>
            </w:pPr>
            <w:r w:rsidRPr="00C003FA">
              <w:t>13,103</w:t>
            </w:r>
          </w:p>
        </w:tc>
        <w:tc>
          <w:tcPr>
            <w:tcW w:w="1178" w:type="dxa"/>
            <w:vAlign w:val="bottom"/>
          </w:tcPr>
          <w:p w:rsidR="002B184F" w:rsidRPr="00C003FA" w:rsidRDefault="002B184F" w:rsidP="007048D5">
            <w:pPr>
              <w:tabs>
                <w:tab w:val="decimal" w:pos="465"/>
              </w:tabs>
              <w:jc w:val="left"/>
            </w:pPr>
          </w:p>
        </w:tc>
      </w:tr>
      <w:tr w:rsidR="002B184F" w:rsidRPr="00C003FA" w:rsidTr="007048D5">
        <w:trPr>
          <w:jc w:val="center"/>
        </w:trPr>
        <w:tc>
          <w:tcPr>
            <w:tcW w:w="1136" w:type="dxa"/>
            <w:vAlign w:val="bottom"/>
          </w:tcPr>
          <w:p w:rsidR="002B184F" w:rsidRPr="00C003FA" w:rsidRDefault="002B184F" w:rsidP="007048D5">
            <w:pPr>
              <w:jc w:val="center"/>
            </w:pPr>
            <w:r w:rsidRPr="00C003FA">
              <w:t>% change</w:t>
            </w:r>
          </w:p>
        </w:tc>
        <w:tc>
          <w:tcPr>
            <w:tcW w:w="1195" w:type="dxa"/>
            <w:vAlign w:val="bottom"/>
          </w:tcPr>
          <w:p w:rsidR="002B184F" w:rsidRPr="00C003FA" w:rsidRDefault="002B184F" w:rsidP="007048D5">
            <w:pPr>
              <w:tabs>
                <w:tab w:val="decimal" w:pos="627"/>
              </w:tabs>
              <w:jc w:val="left"/>
            </w:pPr>
            <w:r w:rsidRPr="00C003FA">
              <w:t>15.5%</w:t>
            </w:r>
          </w:p>
        </w:tc>
        <w:tc>
          <w:tcPr>
            <w:tcW w:w="1124" w:type="dxa"/>
            <w:vAlign w:val="bottom"/>
          </w:tcPr>
          <w:p w:rsidR="002B184F" w:rsidRPr="00C003FA" w:rsidRDefault="002B184F" w:rsidP="007048D5">
            <w:pPr>
              <w:tabs>
                <w:tab w:val="decimal" w:pos="446"/>
              </w:tabs>
              <w:jc w:val="left"/>
            </w:pPr>
            <w:r w:rsidRPr="00C003FA">
              <w:t>-55.9%</w:t>
            </w:r>
          </w:p>
        </w:tc>
        <w:tc>
          <w:tcPr>
            <w:tcW w:w="1124" w:type="dxa"/>
            <w:vAlign w:val="bottom"/>
          </w:tcPr>
          <w:p w:rsidR="002B184F" w:rsidRPr="00C003FA" w:rsidRDefault="002B184F" w:rsidP="007048D5">
            <w:pPr>
              <w:tabs>
                <w:tab w:val="decimal" w:pos="411"/>
              </w:tabs>
              <w:jc w:val="left"/>
            </w:pPr>
            <w:r w:rsidRPr="00C003FA">
              <w:t>-30.5%</w:t>
            </w:r>
          </w:p>
        </w:tc>
        <w:tc>
          <w:tcPr>
            <w:tcW w:w="1139" w:type="dxa"/>
            <w:vAlign w:val="bottom"/>
          </w:tcPr>
          <w:p w:rsidR="002B184F" w:rsidRPr="00C003FA" w:rsidRDefault="002B184F" w:rsidP="007048D5">
            <w:pPr>
              <w:tabs>
                <w:tab w:val="decimal" w:pos="530"/>
              </w:tabs>
              <w:jc w:val="left"/>
            </w:pPr>
            <w:r w:rsidRPr="00C003FA">
              <w:t>-9.7</w:t>
            </w:r>
          </w:p>
        </w:tc>
        <w:tc>
          <w:tcPr>
            <w:tcW w:w="1706" w:type="dxa"/>
            <w:vAlign w:val="bottom"/>
          </w:tcPr>
          <w:p w:rsidR="002B184F" w:rsidRPr="00C003FA" w:rsidRDefault="002B184F" w:rsidP="007048D5">
            <w:pPr>
              <w:tabs>
                <w:tab w:val="decimal" w:pos="815"/>
              </w:tabs>
              <w:jc w:val="left"/>
            </w:pPr>
            <w:r w:rsidRPr="00C003FA">
              <w:t>5.1%</w:t>
            </w:r>
          </w:p>
        </w:tc>
        <w:tc>
          <w:tcPr>
            <w:tcW w:w="1178" w:type="dxa"/>
            <w:vAlign w:val="bottom"/>
          </w:tcPr>
          <w:p w:rsidR="002B184F" w:rsidRPr="00C003FA" w:rsidRDefault="002B184F" w:rsidP="007048D5">
            <w:pPr>
              <w:jc w:val="left"/>
            </w:pPr>
          </w:p>
        </w:tc>
      </w:tr>
    </w:tbl>
    <w:p w:rsidR="0033171A" w:rsidRPr="008E459C" w:rsidRDefault="0033171A" w:rsidP="0033171A">
      <w:pPr>
        <w:pStyle w:val="OStablenotes"/>
        <w:keepNext w:val="0"/>
        <w:spacing w:before="80" w:after="0"/>
        <w:rPr>
          <w:spacing w:val="-3"/>
        </w:rPr>
      </w:pPr>
      <w:r>
        <w:rPr>
          <w:spacing w:val="-3"/>
        </w:rPr>
        <w:t>________________________</w:t>
      </w:r>
    </w:p>
    <w:p w:rsidR="005942B3" w:rsidRDefault="005942B3" w:rsidP="00940E5F">
      <w:pPr>
        <w:pStyle w:val="OStablesources"/>
        <w:spacing w:before="80"/>
      </w:pPr>
      <w:r w:rsidRPr="005942B3">
        <w:t>Source:</w:t>
      </w:r>
      <w:r w:rsidRPr="005942B3">
        <w:tab/>
        <w:t>U.S. Census Bureau.</w:t>
      </w:r>
    </w:p>
    <w:p w:rsidR="005162B7" w:rsidRDefault="005162B7">
      <w:pPr>
        <w:spacing w:after="160" w:line="259" w:lineRule="auto"/>
        <w:jc w:val="left"/>
        <w:rPr>
          <w:rFonts w:eastAsia="Times New Roman" w:cs="Times New Roman"/>
          <w:b/>
          <w:bCs/>
          <w:szCs w:val="22"/>
        </w:rPr>
      </w:pPr>
      <w:r>
        <w:br w:type="page"/>
      </w:r>
    </w:p>
    <w:p w:rsidR="005942B3" w:rsidRDefault="005942B3" w:rsidP="00940E5F">
      <w:pPr>
        <w:pStyle w:val="OSappendixsubheading0"/>
      </w:pPr>
      <w:r>
        <w:t>Residential Foreclosures</w:t>
      </w:r>
    </w:p>
    <w:p w:rsidR="005942B3" w:rsidRDefault="005942B3" w:rsidP="00940E5F">
      <w:pPr>
        <w:pStyle w:val="BodyText1"/>
      </w:pPr>
      <w:r>
        <w:t xml:space="preserve">The following table provides a five-year history of foreclosure filings and sales in Colorado. The foreclosure filing is the event that begins the foreclosure process. In general, a borrower who is at least three months delinquent will receive a filing notice from the Public Trustee for the county in which the property is located. At this point, the property is in foreclosure. </w:t>
      </w:r>
    </w:p>
    <w:p w:rsidR="005942B3" w:rsidRDefault="005942B3" w:rsidP="00940E5F">
      <w:pPr>
        <w:pStyle w:val="BodyText1"/>
      </w:pPr>
      <w:r>
        <w:t>Because a foreclosure filing can be cured or withdrawn before the home is sold at auction, not all filings result in foreclosure sales. Foreclosure sales at auction generally proceed between 110 and 125 days after the initial filing. Once a foreclosure sale is completed, the eviction process begins.</w:t>
      </w:r>
    </w:p>
    <w:tbl>
      <w:tblPr>
        <w:tblStyle w:val="TableGrid20"/>
        <w:tblW w:w="639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0"/>
        <w:gridCol w:w="1405"/>
        <w:gridCol w:w="1065"/>
        <w:gridCol w:w="2040"/>
        <w:gridCol w:w="1065"/>
      </w:tblGrid>
      <w:tr w:rsidR="002B184F" w:rsidRPr="00C003FA" w:rsidTr="007048D5">
        <w:trPr>
          <w:jc w:val="center"/>
        </w:trPr>
        <w:tc>
          <w:tcPr>
            <w:tcW w:w="6395" w:type="dxa"/>
            <w:gridSpan w:val="5"/>
            <w:vAlign w:val="bottom"/>
          </w:tcPr>
          <w:p w:rsidR="002B184F" w:rsidRPr="00C003FA" w:rsidRDefault="002B184F" w:rsidP="007048D5">
            <w:pPr>
              <w:spacing w:after="240"/>
              <w:jc w:val="center"/>
            </w:pPr>
            <w:r w:rsidRPr="00C003FA">
              <w:t>Foreclosure Filings and Sales in Colorado</w:t>
            </w:r>
          </w:p>
        </w:tc>
      </w:tr>
      <w:tr w:rsidR="002B184F" w:rsidRPr="00C003FA" w:rsidTr="007048D5">
        <w:trPr>
          <w:jc w:val="center"/>
        </w:trPr>
        <w:tc>
          <w:tcPr>
            <w:tcW w:w="820" w:type="dxa"/>
            <w:vAlign w:val="bottom"/>
          </w:tcPr>
          <w:p w:rsidR="002B184F" w:rsidRPr="00C003FA" w:rsidRDefault="002B184F" w:rsidP="007048D5">
            <w:pPr>
              <w:spacing w:after="120"/>
              <w:jc w:val="center"/>
            </w:pPr>
          </w:p>
        </w:tc>
        <w:tc>
          <w:tcPr>
            <w:tcW w:w="1405" w:type="dxa"/>
            <w:vAlign w:val="bottom"/>
          </w:tcPr>
          <w:p w:rsidR="002B184F" w:rsidRPr="00C003FA" w:rsidRDefault="002B184F" w:rsidP="002B184F">
            <w:pPr>
              <w:pBdr>
                <w:bottom w:val="single" w:sz="4" w:space="1" w:color="auto"/>
              </w:pBdr>
              <w:spacing w:after="120"/>
              <w:jc w:val="center"/>
            </w:pPr>
            <w:r w:rsidRPr="00C003FA">
              <w:t>Foreclosure Filings</w:t>
            </w:r>
            <w:r>
              <w:rPr>
                <w:vertAlign w:val="superscript"/>
              </w:rPr>
              <w:t>1</w:t>
            </w:r>
          </w:p>
        </w:tc>
        <w:tc>
          <w:tcPr>
            <w:tcW w:w="1065" w:type="dxa"/>
            <w:vAlign w:val="bottom"/>
          </w:tcPr>
          <w:p w:rsidR="002B184F" w:rsidRPr="00C003FA" w:rsidRDefault="002B184F" w:rsidP="007048D5">
            <w:pPr>
              <w:pBdr>
                <w:bottom w:val="single" w:sz="4" w:space="1" w:color="auto"/>
              </w:pBdr>
              <w:spacing w:after="120"/>
              <w:jc w:val="center"/>
            </w:pPr>
            <w:r w:rsidRPr="00C003FA">
              <w:t>%</w:t>
            </w:r>
            <w:r w:rsidRPr="00C003FA">
              <w:br/>
              <w:t>Change</w:t>
            </w:r>
          </w:p>
        </w:tc>
        <w:tc>
          <w:tcPr>
            <w:tcW w:w="2040" w:type="dxa"/>
            <w:vAlign w:val="bottom"/>
          </w:tcPr>
          <w:p w:rsidR="002B184F" w:rsidRPr="00C003FA" w:rsidRDefault="002B184F" w:rsidP="007048D5">
            <w:pPr>
              <w:pBdr>
                <w:bottom w:val="single" w:sz="4" w:space="1" w:color="auto"/>
              </w:pBdr>
              <w:spacing w:after="120"/>
              <w:jc w:val="center"/>
            </w:pPr>
            <w:r w:rsidRPr="00C003FA">
              <w:t>Foreclosure Sales</w:t>
            </w:r>
            <w:r w:rsidRPr="00C003FA">
              <w:br/>
              <w:t>at Auction</w:t>
            </w:r>
          </w:p>
        </w:tc>
        <w:tc>
          <w:tcPr>
            <w:tcW w:w="1065" w:type="dxa"/>
            <w:vAlign w:val="bottom"/>
          </w:tcPr>
          <w:p w:rsidR="002B184F" w:rsidRPr="00C003FA" w:rsidRDefault="002B184F" w:rsidP="007048D5">
            <w:pPr>
              <w:pBdr>
                <w:bottom w:val="single" w:sz="4" w:space="1" w:color="auto"/>
              </w:pBdr>
              <w:spacing w:after="120"/>
              <w:jc w:val="center"/>
            </w:pPr>
            <w:r w:rsidRPr="00C003FA">
              <w:t>%</w:t>
            </w:r>
            <w:r w:rsidRPr="00C003FA">
              <w:br/>
              <w:t>Change</w:t>
            </w:r>
          </w:p>
        </w:tc>
      </w:tr>
      <w:tr w:rsidR="002B184F" w:rsidRPr="00C003FA" w:rsidTr="007048D5">
        <w:trPr>
          <w:jc w:val="center"/>
        </w:trPr>
        <w:tc>
          <w:tcPr>
            <w:tcW w:w="820" w:type="dxa"/>
            <w:vAlign w:val="bottom"/>
          </w:tcPr>
          <w:p w:rsidR="002B184F" w:rsidRPr="00C003FA" w:rsidRDefault="002B184F" w:rsidP="007048D5">
            <w:pPr>
              <w:jc w:val="center"/>
            </w:pPr>
            <w:r w:rsidRPr="00C003FA">
              <w:t>2015</w:t>
            </w:r>
          </w:p>
        </w:tc>
        <w:tc>
          <w:tcPr>
            <w:tcW w:w="1405" w:type="dxa"/>
            <w:vAlign w:val="bottom"/>
          </w:tcPr>
          <w:p w:rsidR="002B184F" w:rsidRPr="00C003FA" w:rsidRDefault="002B184F" w:rsidP="007048D5">
            <w:pPr>
              <w:tabs>
                <w:tab w:val="decimal" w:pos="863"/>
              </w:tabs>
              <w:jc w:val="left"/>
            </w:pPr>
            <w:r w:rsidRPr="00C003FA">
              <w:t>8,241</w:t>
            </w:r>
          </w:p>
        </w:tc>
        <w:tc>
          <w:tcPr>
            <w:tcW w:w="1065" w:type="dxa"/>
            <w:vAlign w:val="bottom"/>
          </w:tcPr>
          <w:p w:rsidR="002B184F" w:rsidRPr="00C003FA" w:rsidRDefault="002B184F" w:rsidP="007048D5">
            <w:pPr>
              <w:tabs>
                <w:tab w:val="decimal" w:pos="466"/>
              </w:tabs>
              <w:jc w:val="left"/>
            </w:pPr>
            <w:r w:rsidRPr="00C003FA">
              <w:t>-26.7%</w:t>
            </w:r>
          </w:p>
        </w:tc>
        <w:tc>
          <w:tcPr>
            <w:tcW w:w="2040" w:type="dxa"/>
            <w:vAlign w:val="bottom"/>
          </w:tcPr>
          <w:p w:rsidR="002B184F" w:rsidRPr="00C003FA" w:rsidRDefault="002B184F" w:rsidP="007048D5">
            <w:pPr>
              <w:tabs>
                <w:tab w:val="decimal" w:pos="1150"/>
              </w:tabs>
              <w:jc w:val="left"/>
            </w:pPr>
            <w:r w:rsidRPr="00C003FA">
              <w:t>4,209</w:t>
            </w:r>
          </w:p>
        </w:tc>
        <w:tc>
          <w:tcPr>
            <w:tcW w:w="1065" w:type="dxa"/>
            <w:vAlign w:val="bottom"/>
          </w:tcPr>
          <w:p w:rsidR="002B184F" w:rsidRPr="00C003FA" w:rsidRDefault="002B184F" w:rsidP="007048D5">
            <w:pPr>
              <w:tabs>
                <w:tab w:val="decimal" w:pos="444"/>
              </w:tabs>
              <w:jc w:val="left"/>
            </w:pPr>
            <w:r w:rsidRPr="00C003FA">
              <w:t>-35.6%</w:t>
            </w:r>
          </w:p>
        </w:tc>
      </w:tr>
      <w:tr w:rsidR="002B184F" w:rsidRPr="00C003FA" w:rsidTr="007048D5">
        <w:trPr>
          <w:jc w:val="center"/>
        </w:trPr>
        <w:tc>
          <w:tcPr>
            <w:tcW w:w="820" w:type="dxa"/>
            <w:vAlign w:val="bottom"/>
          </w:tcPr>
          <w:p w:rsidR="002B184F" w:rsidRPr="00C003FA" w:rsidRDefault="002B184F" w:rsidP="007048D5">
            <w:pPr>
              <w:jc w:val="center"/>
            </w:pPr>
            <w:r w:rsidRPr="00C003FA">
              <w:t>2016</w:t>
            </w:r>
          </w:p>
        </w:tc>
        <w:tc>
          <w:tcPr>
            <w:tcW w:w="1405" w:type="dxa"/>
            <w:vAlign w:val="bottom"/>
          </w:tcPr>
          <w:p w:rsidR="002B184F" w:rsidRPr="00C003FA" w:rsidRDefault="002B184F" w:rsidP="007048D5">
            <w:pPr>
              <w:tabs>
                <w:tab w:val="decimal" w:pos="863"/>
              </w:tabs>
              <w:jc w:val="left"/>
            </w:pPr>
            <w:r w:rsidRPr="00C003FA">
              <w:t>7,666</w:t>
            </w:r>
          </w:p>
        </w:tc>
        <w:tc>
          <w:tcPr>
            <w:tcW w:w="1065" w:type="dxa"/>
            <w:vAlign w:val="bottom"/>
          </w:tcPr>
          <w:p w:rsidR="002B184F" w:rsidRPr="00C003FA" w:rsidRDefault="002B184F" w:rsidP="007048D5">
            <w:pPr>
              <w:tabs>
                <w:tab w:val="decimal" w:pos="466"/>
              </w:tabs>
              <w:jc w:val="left"/>
            </w:pPr>
            <w:r w:rsidRPr="00C003FA">
              <w:t>-7.0</w:t>
            </w:r>
          </w:p>
        </w:tc>
        <w:tc>
          <w:tcPr>
            <w:tcW w:w="2040" w:type="dxa"/>
            <w:vAlign w:val="bottom"/>
          </w:tcPr>
          <w:p w:rsidR="002B184F" w:rsidRPr="00C003FA" w:rsidRDefault="002B184F" w:rsidP="007048D5">
            <w:pPr>
              <w:tabs>
                <w:tab w:val="decimal" w:pos="1150"/>
              </w:tabs>
              <w:jc w:val="left"/>
            </w:pPr>
            <w:r w:rsidRPr="00C003FA">
              <w:t>3,128</w:t>
            </w:r>
          </w:p>
        </w:tc>
        <w:tc>
          <w:tcPr>
            <w:tcW w:w="1065" w:type="dxa"/>
            <w:vAlign w:val="bottom"/>
          </w:tcPr>
          <w:p w:rsidR="002B184F" w:rsidRPr="00C003FA" w:rsidRDefault="002B184F" w:rsidP="007048D5">
            <w:pPr>
              <w:tabs>
                <w:tab w:val="decimal" w:pos="444"/>
              </w:tabs>
              <w:jc w:val="left"/>
            </w:pPr>
            <w:r w:rsidRPr="00C003FA">
              <w:t>-25.7</w:t>
            </w:r>
          </w:p>
        </w:tc>
      </w:tr>
      <w:tr w:rsidR="002B184F" w:rsidRPr="00C003FA" w:rsidTr="007048D5">
        <w:trPr>
          <w:jc w:val="center"/>
        </w:trPr>
        <w:tc>
          <w:tcPr>
            <w:tcW w:w="820" w:type="dxa"/>
            <w:vAlign w:val="bottom"/>
          </w:tcPr>
          <w:p w:rsidR="002B184F" w:rsidRPr="00C003FA" w:rsidRDefault="002B184F" w:rsidP="007048D5">
            <w:pPr>
              <w:jc w:val="center"/>
            </w:pPr>
            <w:r w:rsidRPr="00C003FA">
              <w:t>2017</w:t>
            </w:r>
          </w:p>
        </w:tc>
        <w:tc>
          <w:tcPr>
            <w:tcW w:w="1405" w:type="dxa"/>
            <w:vAlign w:val="bottom"/>
          </w:tcPr>
          <w:p w:rsidR="002B184F" w:rsidRPr="00C003FA" w:rsidRDefault="002B184F" w:rsidP="007048D5">
            <w:pPr>
              <w:tabs>
                <w:tab w:val="decimal" w:pos="863"/>
              </w:tabs>
              <w:jc w:val="left"/>
            </w:pPr>
            <w:r w:rsidRPr="00C003FA">
              <w:t>6,680</w:t>
            </w:r>
          </w:p>
        </w:tc>
        <w:tc>
          <w:tcPr>
            <w:tcW w:w="1065" w:type="dxa"/>
            <w:vAlign w:val="bottom"/>
          </w:tcPr>
          <w:p w:rsidR="002B184F" w:rsidRPr="00C003FA" w:rsidRDefault="002B184F" w:rsidP="007048D5">
            <w:pPr>
              <w:tabs>
                <w:tab w:val="decimal" w:pos="466"/>
              </w:tabs>
              <w:jc w:val="left"/>
            </w:pPr>
            <w:r w:rsidRPr="00C003FA">
              <w:t>-12.9</w:t>
            </w:r>
          </w:p>
        </w:tc>
        <w:tc>
          <w:tcPr>
            <w:tcW w:w="2040" w:type="dxa"/>
            <w:vAlign w:val="bottom"/>
          </w:tcPr>
          <w:p w:rsidR="002B184F" w:rsidRPr="00C003FA" w:rsidRDefault="002B184F" w:rsidP="007048D5">
            <w:pPr>
              <w:tabs>
                <w:tab w:val="decimal" w:pos="1150"/>
              </w:tabs>
              <w:jc w:val="left"/>
            </w:pPr>
            <w:r w:rsidRPr="00C003FA">
              <w:t>2,100</w:t>
            </w:r>
          </w:p>
        </w:tc>
        <w:tc>
          <w:tcPr>
            <w:tcW w:w="1065" w:type="dxa"/>
            <w:vAlign w:val="bottom"/>
          </w:tcPr>
          <w:p w:rsidR="002B184F" w:rsidRPr="00C003FA" w:rsidRDefault="002B184F" w:rsidP="007048D5">
            <w:pPr>
              <w:tabs>
                <w:tab w:val="decimal" w:pos="444"/>
              </w:tabs>
              <w:jc w:val="left"/>
            </w:pPr>
            <w:r w:rsidRPr="00C003FA">
              <w:t>-32.9</w:t>
            </w:r>
          </w:p>
        </w:tc>
      </w:tr>
      <w:tr w:rsidR="002B184F" w:rsidRPr="00C003FA" w:rsidTr="007048D5">
        <w:trPr>
          <w:jc w:val="center"/>
        </w:trPr>
        <w:tc>
          <w:tcPr>
            <w:tcW w:w="820" w:type="dxa"/>
            <w:vAlign w:val="bottom"/>
          </w:tcPr>
          <w:p w:rsidR="002B184F" w:rsidRPr="00C003FA" w:rsidRDefault="002B184F" w:rsidP="007048D5">
            <w:pPr>
              <w:jc w:val="center"/>
            </w:pPr>
            <w:r w:rsidRPr="00C003FA">
              <w:t>2018</w:t>
            </w:r>
          </w:p>
        </w:tc>
        <w:tc>
          <w:tcPr>
            <w:tcW w:w="1405" w:type="dxa"/>
            <w:vAlign w:val="bottom"/>
          </w:tcPr>
          <w:p w:rsidR="002B184F" w:rsidRPr="00C003FA" w:rsidRDefault="002B184F" w:rsidP="007048D5">
            <w:pPr>
              <w:tabs>
                <w:tab w:val="decimal" w:pos="863"/>
              </w:tabs>
              <w:jc w:val="left"/>
            </w:pPr>
            <w:r w:rsidRPr="00C003FA">
              <w:t>5,884</w:t>
            </w:r>
          </w:p>
        </w:tc>
        <w:tc>
          <w:tcPr>
            <w:tcW w:w="1065" w:type="dxa"/>
            <w:vAlign w:val="bottom"/>
          </w:tcPr>
          <w:p w:rsidR="002B184F" w:rsidRPr="00C003FA" w:rsidRDefault="002B184F" w:rsidP="007048D5">
            <w:pPr>
              <w:tabs>
                <w:tab w:val="decimal" w:pos="466"/>
              </w:tabs>
              <w:jc w:val="left"/>
            </w:pPr>
            <w:r w:rsidRPr="00C003FA">
              <w:t>-11.9</w:t>
            </w:r>
          </w:p>
        </w:tc>
        <w:tc>
          <w:tcPr>
            <w:tcW w:w="2040" w:type="dxa"/>
            <w:vAlign w:val="bottom"/>
          </w:tcPr>
          <w:p w:rsidR="002B184F" w:rsidRPr="00C003FA" w:rsidRDefault="002B184F" w:rsidP="007048D5">
            <w:pPr>
              <w:tabs>
                <w:tab w:val="decimal" w:pos="1150"/>
              </w:tabs>
              <w:jc w:val="left"/>
            </w:pPr>
            <w:r w:rsidRPr="00C003FA">
              <w:t>1,461</w:t>
            </w:r>
          </w:p>
        </w:tc>
        <w:tc>
          <w:tcPr>
            <w:tcW w:w="1065" w:type="dxa"/>
            <w:vAlign w:val="bottom"/>
          </w:tcPr>
          <w:p w:rsidR="002B184F" w:rsidRPr="00C003FA" w:rsidRDefault="002B184F" w:rsidP="007048D5">
            <w:pPr>
              <w:tabs>
                <w:tab w:val="decimal" w:pos="444"/>
              </w:tabs>
              <w:jc w:val="left"/>
            </w:pPr>
            <w:r w:rsidRPr="00C003FA">
              <w:t>-30.4</w:t>
            </w:r>
          </w:p>
        </w:tc>
      </w:tr>
      <w:tr w:rsidR="002B184F" w:rsidRPr="00C003FA" w:rsidTr="007048D5">
        <w:trPr>
          <w:jc w:val="center"/>
        </w:trPr>
        <w:tc>
          <w:tcPr>
            <w:tcW w:w="820" w:type="dxa"/>
            <w:vAlign w:val="bottom"/>
          </w:tcPr>
          <w:p w:rsidR="002B184F" w:rsidRPr="00C003FA" w:rsidRDefault="002B184F" w:rsidP="007048D5">
            <w:pPr>
              <w:jc w:val="center"/>
            </w:pPr>
            <w:r w:rsidRPr="00C003FA">
              <w:t>2019</w:t>
            </w:r>
          </w:p>
        </w:tc>
        <w:tc>
          <w:tcPr>
            <w:tcW w:w="1405" w:type="dxa"/>
            <w:vAlign w:val="bottom"/>
          </w:tcPr>
          <w:p w:rsidR="002B184F" w:rsidRPr="00C003FA" w:rsidRDefault="002B184F" w:rsidP="007048D5">
            <w:pPr>
              <w:tabs>
                <w:tab w:val="decimal" w:pos="863"/>
              </w:tabs>
              <w:jc w:val="left"/>
            </w:pPr>
            <w:r w:rsidRPr="00C003FA">
              <w:t>5,610</w:t>
            </w:r>
          </w:p>
        </w:tc>
        <w:tc>
          <w:tcPr>
            <w:tcW w:w="1065" w:type="dxa"/>
            <w:vAlign w:val="bottom"/>
          </w:tcPr>
          <w:p w:rsidR="002B184F" w:rsidRPr="00C003FA" w:rsidRDefault="002B184F" w:rsidP="007048D5">
            <w:pPr>
              <w:tabs>
                <w:tab w:val="decimal" w:pos="466"/>
              </w:tabs>
              <w:jc w:val="left"/>
            </w:pPr>
            <w:r w:rsidRPr="00C003FA">
              <w:t>-4.7</w:t>
            </w:r>
          </w:p>
        </w:tc>
        <w:tc>
          <w:tcPr>
            <w:tcW w:w="2040" w:type="dxa"/>
            <w:vAlign w:val="bottom"/>
          </w:tcPr>
          <w:p w:rsidR="002B184F" w:rsidRPr="00C003FA" w:rsidRDefault="002B184F" w:rsidP="007048D5">
            <w:pPr>
              <w:tabs>
                <w:tab w:val="decimal" w:pos="1150"/>
              </w:tabs>
              <w:jc w:val="left"/>
            </w:pPr>
            <w:r w:rsidRPr="00C003FA">
              <w:t>1,316</w:t>
            </w:r>
          </w:p>
        </w:tc>
        <w:tc>
          <w:tcPr>
            <w:tcW w:w="1065" w:type="dxa"/>
            <w:vAlign w:val="bottom"/>
          </w:tcPr>
          <w:p w:rsidR="002B184F" w:rsidRPr="00C003FA" w:rsidRDefault="002B184F" w:rsidP="007048D5">
            <w:pPr>
              <w:tabs>
                <w:tab w:val="decimal" w:pos="444"/>
              </w:tabs>
              <w:jc w:val="left"/>
            </w:pPr>
            <w:r w:rsidRPr="00C003FA">
              <w:t>-9.9</w:t>
            </w:r>
          </w:p>
        </w:tc>
      </w:tr>
    </w:tbl>
    <w:p w:rsidR="005942B3" w:rsidRDefault="005942B3" w:rsidP="00940E5F">
      <w:pPr>
        <w:jc w:val="center"/>
      </w:pPr>
    </w:p>
    <w:p w:rsidR="0033171A" w:rsidRPr="008E459C" w:rsidRDefault="0033171A" w:rsidP="0033171A">
      <w:pPr>
        <w:pStyle w:val="OStablenotes"/>
        <w:keepNext w:val="0"/>
        <w:spacing w:before="80" w:after="0"/>
        <w:rPr>
          <w:spacing w:val="-3"/>
        </w:rPr>
      </w:pPr>
      <w:r>
        <w:rPr>
          <w:spacing w:val="-3"/>
        </w:rPr>
        <w:t>________________________</w:t>
      </w:r>
    </w:p>
    <w:p w:rsidR="00940E5F" w:rsidRDefault="00940E5F" w:rsidP="00940E5F">
      <w:pPr>
        <w:pStyle w:val="OStablenotes"/>
        <w:spacing w:before="80" w:after="0"/>
      </w:pPr>
      <w:r w:rsidRPr="0077595C">
        <w:rPr>
          <w:vertAlign w:val="superscript"/>
        </w:rPr>
        <w:t>1</w:t>
      </w:r>
      <w:r>
        <w:tab/>
        <w:t>Some filings may have been subsequently cured or withdrawn and may not have resulted in sales at auction.</w:t>
      </w:r>
    </w:p>
    <w:p w:rsidR="005942B3" w:rsidRDefault="00940E5F" w:rsidP="00940E5F">
      <w:pPr>
        <w:pStyle w:val="OStablesources"/>
        <w:spacing w:before="80"/>
      </w:pPr>
      <w:r>
        <w:t>Source:</w:t>
      </w:r>
      <w:r>
        <w:tab/>
        <w:t>Colorado Division of Housing.</w:t>
      </w:r>
    </w:p>
    <w:p w:rsidR="005942B3" w:rsidRDefault="005942B3" w:rsidP="005942B3">
      <w:pPr>
        <w:jc w:val="left"/>
      </w:pPr>
    </w:p>
    <w:p w:rsidR="005942B3" w:rsidRDefault="005942B3" w:rsidP="0056094E">
      <w:pPr>
        <w:jc w:val="center"/>
        <w:sectPr w:rsidR="005942B3" w:rsidSect="003E61BE">
          <w:footnotePr>
            <w:numRestart w:val="eachPage"/>
          </w:footnotePr>
          <w:pgSz w:w="12240" w:h="15840"/>
          <w:pgMar w:top="1440" w:right="1440" w:bottom="1440" w:left="1440" w:header="720" w:footer="720" w:gutter="0"/>
          <w:cols w:space="720"/>
          <w:titlePg/>
          <w:docGrid w:linePitch="360"/>
        </w:sectPr>
      </w:pPr>
    </w:p>
    <w:p w:rsidR="0056094E" w:rsidRDefault="006123A1" w:rsidP="0056094E">
      <w:pPr>
        <w:jc w:val="center"/>
      </w:pPr>
      <w:r w:rsidRPr="0056094E">
        <w:rPr>
          <w:b/>
        </w:rPr>
        <w:t>APPENDIX J</w:t>
      </w:r>
    </w:p>
    <w:p w:rsidR="0056094E" w:rsidRPr="0056094E" w:rsidRDefault="0056094E" w:rsidP="0056094E">
      <w:pPr>
        <w:jc w:val="center"/>
        <w:rPr>
          <w:b/>
        </w:rPr>
      </w:pPr>
    </w:p>
    <w:p w:rsidR="006123A1" w:rsidRPr="0056094E" w:rsidRDefault="006123A1" w:rsidP="0056094E">
      <w:pPr>
        <w:jc w:val="center"/>
        <w:rPr>
          <w:b/>
        </w:rPr>
      </w:pPr>
      <w:r w:rsidRPr="0056094E">
        <w:rPr>
          <w:b/>
        </w:rPr>
        <w:t>STATE PENSION SYSTEM</w:t>
      </w:r>
    </w:p>
    <w:p w:rsidR="0056094E" w:rsidRDefault="0056094E" w:rsidP="006123A1"/>
    <w:p w:rsidR="00CE5CF8" w:rsidRPr="00151799" w:rsidRDefault="00CE5CF8" w:rsidP="00CE5CF8">
      <w:pPr>
        <w:pStyle w:val="BodyText1"/>
        <w:rPr>
          <w:i/>
        </w:rPr>
      </w:pPr>
      <w:r w:rsidRPr="00151799">
        <w:rPr>
          <w:i/>
        </w:rPr>
        <w:t>The information included in this Appendix is based on information compiled and presented in the Public Employees’ Retirement Association (“PERA”) Comprehensive Annual Financial Report for the Plan Year ended December 31, 2019 (the “PERA 2019 CAFR”).  The PERA 2019 CAFR was prepared by PERA staff employees and the firm of Segal Consulting, PERA’s independent actuary, and audited by CliftonLarsonAllen LLP, PERA’s independent public accounting firm.  The valuations and other assessments of PERA constitute forward looking information as described in the Notices on the inside cover page of this Official Statement because they are based on assumptions about future events.  The assumptions underlying the valuations and assessments may prove to be inaccurate and may be changed by PERA and its representatives and consultants to reflect actual results and future projections as additional information becomes available.  Further, the PERA 2019 CAFR notes that the duration and full effects of the COVID-19 pandemic are currently unknown, as the global picture continues to evolve, and that although unprecedented federal fiscal and monetary stimulus have helped to stabilize and soften the impact of economic contraction, the near-term negative impact on PERA’S investment portfolio, as well as the short medium term impact on PERA’S membership and demographics, remains uncertain.  The State does not take any responsibility for the accuracy, validity or completeness of such information, valuations and assessments.  The PERA 2019 CAFR is not incorporated in this Official Statement by reference or otherwise, and the State does not make any representations regarding the accuracy of the information in the PERA 2019 CAFR.</w:t>
      </w:r>
    </w:p>
    <w:p w:rsidR="00CE5CF8" w:rsidRDefault="00CE5CF8" w:rsidP="00CE5CF8">
      <w:pPr>
        <w:pStyle w:val="BodyText1"/>
      </w:pPr>
      <w:r>
        <w:t>The information in the State’s Fiscal Year 2018-19 CAFR regarding PERA is derived from the PERA Comprehensive Annual Financial Report for the Plan Year ended December 31, 2018, while the information in this Official Statement regarding PERA is derived from the PERA 2019 CAFR.</w:t>
      </w:r>
    </w:p>
    <w:p w:rsidR="00CE5CF8" w:rsidRDefault="00CE5CF8" w:rsidP="00151799">
      <w:pPr>
        <w:pStyle w:val="OSappendixsubheading0"/>
      </w:pPr>
      <w:r>
        <w:t>General Description</w:t>
      </w:r>
    </w:p>
    <w:p w:rsidR="00CE5CF8" w:rsidRDefault="00CE5CF8" w:rsidP="00CE5CF8">
      <w:pPr>
        <w:pStyle w:val="BodyText1"/>
      </w:pPr>
      <w:r w:rsidRPr="00151799">
        <w:rPr>
          <w:b/>
          <w:i/>
        </w:rPr>
        <w:t>Overview</w:t>
      </w:r>
      <w:r>
        <w:t>.  The State, like most other state and local governments, provides post-employment benefits to its employees based on their work tenure and earnings history.  By statute, the State created PERA, which administers cost-sharing, multiple-employer defined benefit plans to provide retirement, death and disability benefits through the State Division Trust Fund (generally for State employees) (the “State Division”), the School Division Trust Fund (for employees of school districts, other than for Denver County School District No. 1 (commonly known as Denver Public Schools), the Local Government Division Trust Fund (for employees of numerous municipalities and other local governmental entities), the Judicial Division Trust Fund (for judges in the State) and the Denver Public Schools Division (for employees of Denver Public Schools).  The defined benefit plan for the State Division is referred to herein as the “State Division Plan.”</w:t>
      </w:r>
    </w:p>
    <w:p w:rsidR="00CE5CF8" w:rsidRDefault="00CE5CF8" w:rsidP="00CE5CF8">
      <w:pPr>
        <w:pStyle w:val="BodyText1"/>
      </w:pPr>
      <w:r>
        <w:t>As described in more detail under the caption “Funding of the State Division Plan” below, the State Division Plan is funded with payments made by the State and by each employee the amounts of which are determined and established by statute.  Benefits provided through the State Division Plan are paid from the State Division Trust Fund.  State employees hired after 2005 may, in lieu of participating in the State Division Plan, elect to participate in a defined contribution plan (the “State Division DC Plan”) which is also administered by PERA.  However, the majority of State employees participate in the State Division Plan.  The State has no obligation to make contributions or fund benefits in Divisions other than the State Division and Judicial Division of PERA.  See Notes 1 and 8 to the financial statements in the PERA 2019 CAFR for a discussion of the membership in the State Division Plan and the State Division DC Plan, respectively.  See also Management’s Discussion and Analysis and Notes 6-8 to the financial statements in the State’s Fiscal Year 2018-19 CAFR appended to this Official Statement for a description of the State Division Plan and the State Division DC Plan.</w:t>
      </w:r>
    </w:p>
    <w:p w:rsidR="00CE5CF8" w:rsidRDefault="00CE5CF8" w:rsidP="00151799">
      <w:pPr>
        <w:pStyle w:val="BodyText1"/>
      </w:pPr>
      <w:r>
        <w:t>Because the majority of State employees participate in the State Division Plan and not in the State Division DC Plan, and the number of judges employed by the State that participate in the Judicial Division is relatively small in comparison to the number of other State employees, the disclosure in “</w:t>
      </w:r>
      <w:r w:rsidR="00151799">
        <w:t xml:space="preserve">STATE FINANCIAL INFORMATION – </w:t>
      </w:r>
      <w:r>
        <w:t xml:space="preserve">Pension and Other Post-Employment Benefits” in the forepart of this Official Statement and in this Appendix relates only to the State Division Plan.  </w:t>
      </w:r>
    </w:p>
    <w:p w:rsidR="00CE5CF8" w:rsidRDefault="00CE5CF8" w:rsidP="00CE5CF8">
      <w:pPr>
        <w:pStyle w:val="BodyText1"/>
      </w:pPr>
      <w:r>
        <w:t>The State does not participate in the federal Old-Age, Survivors and Disability Insurance (Social Security) program.</w:t>
      </w:r>
    </w:p>
    <w:p w:rsidR="00CE5CF8" w:rsidRDefault="00CE5CF8" w:rsidP="00CE5CF8">
      <w:pPr>
        <w:pStyle w:val="BodyText1"/>
      </w:pPr>
      <w:r w:rsidRPr="00151799">
        <w:rPr>
          <w:b/>
          <w:i/>
        </w:rPr>
        <w:t>PERA</w:t>
      </w:r>
      <w:r>
        <w:t>.  PERA is a legal entity created by statute in 1931 that is separate from the State as further described in Article 51 of Title 24, C.R.S. (the “PERA Act”).  Management of PERA is vested in a 16 member Board of Trustees (the “PERA Board”).  PERA has fiduciary responsibility for several separate divisions, including the State Division, the School Division, the Local Government Division, the Judicial Division and the Denver Public Schools Division.  The State represents the majority, but not all, of the State Division employers and employees.  Each Division operates as a separate legal trust.  PERA also operates two cost-sharing, multiple-employer post-employment benefit plans through the Health Care Trust Fund and the Denver Public Schools Health Care Trust Fund that provide health care premium subsidies to participating PERA benefit recipients who choose to enroll in one of PERA’s health care plans.  PERA’s financial statements, which include all of its Divisions and trusts, may be obtained by writing to PERA at P.O. Box 5800, Denver, Colorado 80217-5800, by calling the PERA Infoline at 1 800-759-7372 or by visiting http://www.copera.org.  The reference to PERA’s website is included herein for informational purposes only, and information available on such website or in PERA’s financial statements, or any other information provided by PERA, is not incorporated in this Official Statement by reference or otherwise, nor does the State make any representations regarding the accuracy of any such information.</w:t>
      </w:r>
    </w:p>
    <w:p w:rsidR="00CE5CF8" w:rsidRDefault="00CE5CF8" w:rsidP="00151799">
      <w:pPr>
        <w:pStyle w:val="OSappendixsubheading0"/>
      </w:pPr>
      <w:r>
        <w:t xml:space="preserve">Basic Provisions of the State Division Plan </w:t>
      </w:r>
    </w:p>
    <w:p w:rsidR="00CE5CF8" w:rsidRDefault="00CE5CF8" w:rsidP="00CE5CF8">
      <w:pPr>
        <w:pStyle w:val="BodyText1"/>
      </w:pPr>
      <w:r>
        <w:t>Members of the State Division Plan who meet minimum age and service requirements are eligible to receive a monthly retirement benefit based on their employment and earnings history with the State.  Calculation of retirement benefits, and eligibility requirements, differ depending on the employee’s original hire date.  In response to funding challenges, the General Assembly has enacted changes to State Division Plan benefits at various times.  Some of such changes have been applied prospectively to newly hired employees.  As a result, there are several tiers of employee benefits and related provisions that are based on employee hire dates and other factors.  See Notes 6-8 to the financial statements in the State’s Fiscal Year 2018-19 CAFR appended to this Official Statement, the PERA 2019 CAFR and the PERA Act for a discussion of eligibility requirements and the various tiers of benefits under the State Division Plan.  See also the Statistical Section of the PERA 2019 CAFR for various statistics regarding members, retirees, survivors and benefit payments for the State Division Plan.</w:t>
      </w:r>
    </w:p>
    <w:p w:rsidR="00CE5CF8" w:rsidRDefault="00CE5CF8" w:rsidP="00151799">
      <w:pPr>
        <w:pStyle w:val="OSappendixsubheading0"/>
      </w:pPr>
      <w:r>
        <w:t>Implementation by PERA of GASB 67</w:t>
      </w:r>
    </w:p>
    <w:p w:rsidR="00CE5CF8" w:rsidRDefault="00CE5CF8" w:rsidP="00CE5CF8">
      <w:pPr>
        <w:pStyle w:val="BodyText1"/>
      </w:pPr>
      <w:r>
        <w:t xml:space="preserve">In 2012, GASB issued Statement No. 67, “Financial Reporting for Pension Plans – An Amendment of GASB Statement No. 25” (“GASB 67”), which establishes new standards for financial reporting and note disclosure by defined benefit pension plans administered through qualified trusts, and note disclosure requirements for defined contribution pension plans administered through qualified trusts.  GASB 67 is effective for accounting periods beginning after June 15, 2013, and, accordingly, PERA implemented GASB 67 beginning with its Comprehensive Annual Financial Report for the Plan Year ended December 31, 2014. </w:t>
      </w:r>
    </w:p>
    <w:p w:rsidR="00CE5CF8" w:rsidRDefault="00CE5CF8" w:rsidP="00CE5CF8">
      <w:pPr>
        <w:pStyle w:val="BodyText1"/>
      </w:pPr>
      <w:r>
        <w:t xml:space="preserve">The objective of GASB 67 as stated therein is to improve financial reporting by state and local governmental pension plans.  The requirements of GASB 67 are intended to improve financial reporting primarily through enhanced note disclosures and schedules of required supplementary information.  A related statement, GASB Statement No. 68, “Accounting and Financial Reporting for Pensions,” applies to governmental employers and was implemented by the State beginning with the State’s Fiscal Year 2014-15 CAFR.  See “—Implementation of Changes in Pension Accounting Standards Applicable to the State – GASB 68 and GASB 75” below. </w:t>
      </w:r>
    </w:p>
    <w:p w:rsidR="00CE5CF8" w:rsidRDefault="00CE5CF8" w:rsidP="00CE5CF8">
      <w:pPr>
        <w:pStyle w:val="BodyText1"/>
      </w:pPr>
      <w:r>
        <w:t>GASB 67 establishes a shift in financial disclosure requirements from a funding-based approach to an accounting-based approach.  Implementation of GASB 67 requires the preparation of two actuarial valuations, one for funding purposes and one for accounting and financial disclosure purposes.  The purpose of the funding valuation is to guide the PERA Board’s actions necessary to ensure the long-term sustainability of PERA’s trust funds.  The funding valuation aids this action by allowing PERA to assess the sufficiency of the current statutory contribution rates and analyze the sufficiency of future contributions to meet current and future benefit obligations.  The actuarial valuation for accounting purposes emphasizes the obligation an employer incurs to employees through the employment-exchange process.  The primary purpose of the valuation for accounting purposes is to provide a consistent, standardized methodology that allows comparability of amounts and increased transparency of the pension liability across U.S. pension plans complying with this new reporting standard.  To accomplish this, GASB 67 requires a different approach for determining net pension liability as compared to the previously disclosed unfunded actuarial accrued liability</w:t>
      </w:r>
      <w:r w:rsidR="00D75179">
        <w:rPr>
          <w:rStyle w:val="FootnoteReference"/>
        </w:rPr>
        <w:footnoteReference w:id="6"/>
      </w:r>
      <w:r>
        <w:t xml:space="preserve"> (“UAAL”).  Net pension liability is to be measured as the total pension liability</w:t>
      </w:r>
      <w:r w:rsidR="00D75179">
        <w:rPr>
          <w:rStyle w:val="FootnoteReference"/>
        </w:rPr>
        <w:footnoteReference w:id="7"/>
      </w:r>
      <w:r>
        <w:t xml:space="preserve"> of the plan less the amount of the plan’s fiduciary net position</w:t>
      </w:r>
      <w:r w:rsidR="00D75179">
        <w:rPr>
          <w:rStyle w:val="FootnoteReference"/>
        </w:rPr>
        <w:footnoteReference w:id="8"/>
      </w:r>
      <w:r>
        <w:t>.</w:t>
      </w:r>
    </w:p>
    <w:p w:rsidR="00CE5CF8" w:rsidRDefault="00CE5CF8" w:rsidP="00CE5CF8">
      <w:pPr>
        <w:pStyle w:val="BodyText1"/>
      </w:pPr>
      <w:r>
        <w:t>Another major change in the new standard is the rate used to discount projected benefit payments.  The new standard states the long-term expected rate of return on the investments of the plan should be applied only to available plan assets that are expected to be invested using a strategy to achieve that return.  If there comes a point in the projections when plan fiduciary net position and contributions related to active and inactive employees are no longer projected to be greater than or equal to projected benefit payments related to those employees and administrative expenses (crossover point), then from that point forward the plan will be required to discount the projected benefit payments after the crossover point using a yield or index rate for 20-year, tax-exempt general obligation municipal bonds with an average rating of AA/Aa or higher (or equivalent quality on another rating scale).</w:t>
      </w:r>
    </w:p>
    <w:p w:rsidR="00CE5CF8" w:rsidRDefault="00CE5CF8" w:rsidP="00CE5CF8">
      <w:pPr>
        <w:pStyle w:val="BodyText1"/>
      </w:pPr>
      <w:r>
        <w:t>GASB 67 also enhances the standards for footnote disclosure and required supplementary information for pension plans, including, among other things, disclosing the plan’s net pension liability, ratio of fiduciary net position to total pension liability and actuarial methods and assumptions.</w:t>
      </w:r>
    </w:p>
    <w:p w:rsidR="00CE5CF8" w:rsidRDefault="00CE5CF8" w:rsidP="00151799">
      <w:pPr>
        <w:pStyle w:val="OSappendixsubheading0"/>
      </w:pPr>
      <w:r>
        <w:t>Actuarial Valuations</w:t>
      </w:r>
    </w:p>
    <w:p w:rsidR="00CE5CF8" w:rsidRDefault="00CE5CF8" w:rsidP="00CE5CF8">
      <w:pPr>
        <w:pStyle w:val="BodyText1"/>
      </w:pPr>
      <w:r>
        <w:t xml:space="preserve">Many of the measures used to determine and evaluate the financial condition and funding status of the State Division Plan are based on actuarial valuations.  An actuarial valuation is the determination, as of the actuarial valuation date, of the service cost, total pension liability and related actuarial present value of projected benefit payments for pensions performed in conformity with Actuarial Standards of Practice unless otherwise specified by GASB.  Actuarial valuations involve estimates of the value of reported amounts and assumptions about the probability of events far into the future, and actuarially determined amounts are subject to continual revision as actual results are compared to past expectations and new estimates are made about the future. </w:t>
      </w:r>
    </w:p>
    <w:p w:rsidR="00CE5CF8" w:rsidRDefault="00CE5CF8" w:rsidP="00CE5CF8">
      <w:pPr>
        <w:pStyle w:val="BodyText1"/>
      </w:pPr>
      <w:r>
        <w:t>The actuarial valuations for each of PERA’s defined benefit plans, including the State Division Plan, are prepared by PERA’s actuaries based on a set of actuarial methods and assumptions that by State law are the responsibility of the PERA Board.  The valuations for the State Division Plan examine the assets of the Plan compared to actuarial liabilities, compare past and future trends and determine the net pension liability of the Plan.  The actuarial valuation for funding purposes applies an asset valuation method that recognizes a four-year smoothed market value of assets for purposes of determining the UAAL, while the actuarial valuation for accounting and financial reporting purposes applies the fair value of assets (determined in conformity with GASB standards) to determine the net pension liability.  See the Actuarial Section of the PERA 2019 CAFR for a discussion of other actuarial methods and assumptions used in the actuarial valuations of the State Division Plan.</w:t>
      </w:r>
    </w:p>
    <w:p w:rsidR="00CE5CF8" w:rsidRDefault="00CE5CF8" w:rsidP="00CE5CF8">
      <w:pPr>
        <w:pStyle w:val="BodyText1"/>
      </w:pPr>
      <w:r>
        <w:t xml:space="preserve">The PERA 2019 CAFR states that the PERA Board studies all economic and demographic actuarial assumptions at least every five years and approves changes to those assumptions.  Recently, the PERA Board has reviewed the economic assumptions on a more frequent basis.  The PERA Board last completed an experience study in 2016. </w:t>
      </w:r>
    </w:p>
    <w:p w:rsidR="00CE5CF8" w:rsidRDefault="00CE5CF8" w:rsidP="00CE5CF8">
      <w:pPr>
        <w:pStyle w:val="BodyText1"/>
      </w:pPr>
      <w:r>
        <w:t>No assurance can be given that any of the assumptions underlying the actuarial valuations of the State Division Plan will reflect the actual results experienced by the Plan.  Variances between the assumptions and actual results may cause an increase or decrease in the actuarial value of Plan assets, the net pension liability of the Plan and other valuation and performance measures determined on the basis of such actuarial valuations.</w:t>
      </w:r>
    </w:p>
    <w:p w:rsidR="00CE5CF8" w:rsidRDefault="00CE5CF8" w:rsidP="00151799">
      <w:pPr>
        <w:pStyle w:val="OSappendixsubheading0"/>
      </w:pPr>
      <w:r>
        <w:t>Funding of the State Division Plan</w:t>
      </w:r>
    </w:p>
    <w:p w:rsidR="00CE5CF8" w:rsidRDefault="00CE5CF8" w:rsidP="00CE5CF8">
      <w:pPr>
        <w:pStyle w:val="BodyText1"/>
      </w:pPr>
      <w:r w:rsidRPr="00151799">
        <w:rPr>
          <w:b/>
          <w:i/>
        </w:rPr>
        <w:t>Statutorily Required Contributions</w:t>
      </w:r>
      <w:r>
        <w:t xml:space="preserve">.  The State Division Plan is funded with payments made by the State and by each eligible employee as provided in the PERA Act.  The State’s contributions to the Plan are based on percentages of employee wages and are set by statute.  These contribution percentages are referred to herein as the statutorily required contribution, or “SRC,” of the State.  </w:t>
      </w:r>
    </w:p>
    <w:p w:rsidR="00CE5CF8" w:rsidRDefault="00CE5CF8" w:rsidP="00CE5CF8">
      <w:pPr>
        <w:pStyle w:val="BodyText1"/>
      </w:pPr>
      <w:r>
        <w:t xml:space="preserve">Effective July 1, 2019, the baseline SRC that is required to be made by the State for most State employees was increased from 10.15% to 10.40% of includable compensation (from 12.85% to 13.10% for State Troopers and Colorado Bureau of Investigation (“CBI”) agents).  As required by statute, participants in the State Division Plan are also required to contribute a portion of their wages to the Plan.  Per S.B. 18-200 discussed in the next paragraph, the participant contribution rate is to increase incrementally a total of 2% over a period of three years commencing July 1, 2019, which resulted in an increase in the member contribution rate effective July 1, 2019, from 8.0% to 8.75% of includable compensation (from 10.0% to 10.75% of includable compensation for State Troopers and CBI agents).  See the PERA 2019 CAFR for additional information, as well as historical SRC and participant contribution rates.  </w:t>
      </w:r>
    </w:p>
    <w:p w:rsidR="00CE5CF8" w:rsidRDefault="00CE5CF8" w:rsidP="00151799">
      <w:pPr>
        <w:pStyle w:val="BodyText1"/>
      </w:pPr>
      <w:r>
        <w:t>The General Assembly enacted legislation in 2004, 2006 and 2010 to gradually increase employer contributions to the State Division Plan by authorizing the Amortization Equalization Disbursement (“AED”) and the Supplemental Amortization Equalization Disbursement (“SAED”) in order to shorten the amount of time over which the unfunded liability of the Plan is amortized.  Both the AED and the SAED are paid by the State as contributions to the State Division Plan as a percentage of employee wages, but the SAED payment comes from moneys that would otherwise have been used to provide market-based salary increases to employees.  The AED and the SAED applicable to the State Division Plan were effective as of January 1, 2006, and January 1, 2008, respectively, and were each initially payable at the rate of 0.5% of total covered payroll with annual increases in the contribution rate through 2017.  As of July 1, 2019, the AED and SAED rates applicable to the State Division Plan were each 5.0%, and the total SRC applicable to the State Division Plan (net of 1.02% apportioned to the Health Care Trust Fund per the PERA Act) was 19.38% of employee wages (22.08% for State Troopers and CBI agents).  In addition, S.B. 18-200, enacted by the General Assembly in 2018, provides for automatic adjustments to employee and employer contribution rates within certain statutory parameters so as to stay within the legislation’s 30 year</w:t>
      </w:r>
      <w:r w:rsidR="00151799">
        <w:t xml:space="preserve"> funding goal as discussed in “ – </w:t>
      </w:r>
      <w:r>
        <w:t>Funding Status of the State Division Plan” below.  Previously, such adjustments required action by the General Assembly.  S.B. 18-200 also provides that effective January 1, 2021, and every year thereafter, employer contribution rates for the State Division Plan are to be adjusted to include a defined contribution supplement.  See also Note 6 to the State’s Fiscal Year 2018-19 CAFR appended to this Official Statement, as well as the Management’s Discussion and Analysis and Note 4 to the financial statements in the PERA 2019 CAFR.</w:t>
      </w:r>
    </w:p>
    <w:p w:rsidR="00CE5CF8" w:rsidRDefault="00CE5CF8" w:rsidP="00CE5CF8">
      <w:pPr>
        <w:pStyle w:val="BodyText1"/>
      </w:pPr>
      <w:r>
        <w:t xml:space="preserve">S.B. 18-200 further requires the State to make an annual direct distribution to PERA of $225 million (actual dollars) from State funds beginning in Fiscal Year 2018-19 and continuing annually on July 1 until there are no unfunded actuarial accrued liabilities in the trust fund of any Division that receives such distribution.  PERA is to allocate the distribution to the State Division Trust Fund, the School Division Trust Fund, the Judicial Division Trust Fund and the Denver Public Schools Division Trust Fund based upon the covered payroll of each such Division.  </w:t>
      </w:r>
      <w:r w:rsidRPr="00151799">
        <w:rPr>
          <w:i/>
        </w:rPr>
        <w:t>However, per H.B. 20-1379, due to the actual and forecast impact of COVID-19 on the State’s revenues in Fiscal Years 2019-20 and 2020-21, this distribution has been suspended for Fiscal Year 2020-21 only, and thus PERA will not receive a direct distribution from the State until the payment scheduled for July 1, 2021</w:t>
      </w:r>
      <w:r>
        <w:t>.</w:t>
      </w:r>
    </w:p>
    <w:p w:rsidR="00CE5CF8" w:rsidRDefault="00CE5CF8" w:rsidP="00CE5CF8">
      <w:pPr>
        <w:pStyle w:val="BodyText1"/>
      </w:pPr>
      <w:r>
        <w:t>Changes to the statutorily required contributions to the State Division Plan by the State and its employees, or to other provisions of the Plan, could be made by the General Assembly through future legislative action, which changes could impact the SRC, the funding status and/or the financial condition of the Plan as described herein.  The State cannot predict if or when any such legislative changes might be enacted or the impact that any such changes, if enacted, might have on the State Division Plan or the State’s funding obligations with respect to the Plan.</w:t>
      </w:r>
    </w:p>
    <w:p w:rsidR="00CE5CF8" w:rsidRDefault="00CE5CF8" w:rsidP="00151799">
      <w:pPr>
        <w:pStyle w:val="BodyText1"/>
      </w:pPr>
      <w:r>
        <w:t xml:space="preserve">The SRC is paid from the State General Fund as well as from certain federal funds and State cash funds and is typically paid from the same funding source as the employee’s salary and other benefits.  Although the rate of the SRC is set by statute, payment of the SRC nevertheless is subject to annual appropriation through the State budgeting process as described </w:t>
      </w:r>
      <w:r w:rsidR="00151799">
        <w:t xml:space="preserve">in “STATE FINANCIAL INFORMATION – </w:t>
      </w:r>
      <w:r>
        <w:t>Budget Process and Other Considerations” in the body of this Official Statement.  The State has consistently contributed the full amount of the SRC to the State Division Plan.</w:t>
      </w:r>
    </w:p>
    <w:p w:rsidR="00CE5CF8" w:rsidRDefault="00CE5CF8" w:rsidP="00CE5CF8">
      <w:pPr>
        <w:pStyle w:val="BodyText1"/>
      </w:pPr>
      <w:r w:rsidRPr="00151799">
        <w:rPr>
          <w:b/>
          <w:i/>
        </w:rPr>
        <w:t>Actuarially Determined Contribution</w:t>
      </w:r>
      <w:r>
        <w:t>.  As a result of the shift in financial disclosure requirements under GASB 67 from a funding-based approach to an accounting-based approach, the historical disclosure and use of the annual required contribution</w:t>
      </w:r>
      <w:r w:rsidR="00983ED6">
        <w:rPr>
          <w:rStyle w:val="FootnoteReference"/>
        </w:rPr>
        <w:footnoteReference w:id="9"/>
      </w:r>
      <w:r>
        <w:t>, or “ARC,” as a funding benchmark by PERA was no longer required.  Rather, this philosophical shift necessitated the development and use of a plan specific actuarially determined contribution (“ADC”) benchmark against which to gauge the adequacy of the SRC for the State Division Plan.  The ADC represents the amount needed to fund benefits over time, and constitutes a target or recommended employer contribution for the reporting period determined in conformity with (i) Actuarial Standards of Practice based on the most recent measurement available when the contribution for the reporting period was adopted, and (ii) the PERA Board’s funding policies.  The ADC for each trust fund is developed annually and reported by management to be used as a benchmark for contributions two years in the future.  An ADC deficiency arises when actual employer contributions are less than the ADC, and interest accrues on the ADC deficiency at the plan’s expected long term rate of return.  See “Historical ADC and State Contributions” below.</w:t>
      </w:r>
    </w:p>
    <w:p w:rsidR="00CE5CF8" w:rsidRDefault="00CE5CF8" w:rsidP="00CE5CF8">
      <w:pPr>
        <w:pStyle w:val="BodyText1"/>
      </w:pPr>
      <w:r w:rsidRPr="00151799">
        <w:rPr>
          <w:b/>
          <w:i/>
        </w:rPr>
        <w:t>Change in PERA Funding Policy</w:t>
      </w:r>
      <w:r>
        <w:t>.  In response to the new GASB 67 standards, the PERA Board adopted a revised pension funding policy in March 2015 (and last revised in November 2018) with regard to its trust funds.  The purpose of the revised funding policy, as stated in the PERA 2019 CAFR, is to: (i) define the overall funding benchmarks of PERA’s defined benefit pension trust funds; (ii) assess the adequacy of the contribution rates which are set by the General Assembly by comparing these rates to an ADC rate; and (iii) define the annual actuarial metrics that will assist the PERA Board in assessing the sustainability of the plan.  The results of these three items are intended to guide the PERA Board when considering whether to pursue or support proposed legislation pertaining to changes in plan contribution and/or benefit provisions.  See “Statutorily Required Contributions” above.</w:t>
      </w:r>
    </w:p>
    <w:p w:rsidR="00CE5CF8" w:rsidRDefault="00CE5CF8" w:rsidP="00CE5CF8">
      <w:pPr>
        <w:pStyle w:val="BodyText1"/>
      </w:pPr>
      <w:r w:rsidRPr="00151799">
        <w:rPr>
          <w:b/>
          <w:i/>
        </w:rPr>
        <w:t>Historical ADC and State Contributions</w:t>
      </w:r>
      <w:r>
        <w:t>.  The following table sets forth for each of the past ten years (i) the ADC for the State Division Plan, (ii) the annual contribution deficiency and (iii) the actual contribution as a percentage of covered employee payroll.  The State annually contributes the full amount of the SRC to the State Division Plan; however, these amounts have been less than the applicable ARC or ADC.  During this period the State has not made any contributions to the State Division Plan in excess of the SRC.</w:t>
      </w:r>
    </w:p>
    <w:p w:rsidR="00CE5CF8" w:rsidRDefault="00CE5CF8" w:rsidP="00CE5CF8">
      <w:pPr>
        <w:pStyle w:val="BodyText1"/>
      </w:pPr>
      <w:r>
        <w:t xml:space="preserve">The ADC rates, as a percentage of covered payroll, used to determine the ADC amounts in Table 1 below are calculated as of December 31 two years prior to the end of the year in which the ADC amounts are reported.  The following actuarial methods and assumptions from the December 31, 2017, actuarial valuation were used to determine contribution rates reported in the table for the year ended December 31, 2019: (i) the actuarial cost method is based on the entry age of participants; (ii) the Plan’s amortization period is based on a level percent of payroll over a 30-year closed period layered 28 years; (iii) for valuation purposes the actuarial value of assets is based on gains and losses smoothed in over a four-year period as permitted by GASB standards; (iv) price inflation is assumed to be 2.40%; (v) real wage growth is assumed to be 1.10%; (vi) salary increases (including assumed wage inflation of 3.50%) are projected to range from 3.50% to 10.45%; (vii) the long-term investment rate of return (net of pension plan investment expense, including price inflation) is assumed to be 7.25%; and (viii) cost of living adjustments for pre-2007 hires are assumed to be 1.50% per year and cost of living adjustments for post-2006 hires are assumed to be financed by the Annual Increase Reserve described in footnote 2 to the table.  Other assumptions include, without limitation, future retiree participation and contribution rates and mortality rates.  For further information, see Note 3 to the required supplementary information for the Division trust funds and the Actuarial Section in the PERA 2019 CAFR.  </w:t>
      </w:r>
    </w:p>
    <w:p w:rsidR="00CE5CF8" w:rsidRDefault="00CE5CF8" w:rsidP="00CE5CF8">
      <w:pPr>
        <w:pStyle w:val="BodyText1"/>
      </w:pPr>
    </w:p>
    <w:p w:rsidR="00CE5CF8" w:rsidRDefault="00CE5CF8" w:rsidP="00CE5CF8">
      <w:pPr>
        <w:pStyle w:val="BodyText1"/>
      </w:pPr>
    </w:p>
    <w:p w:rsidR="00CE5CF8" w:rsidRDefault="00CE5CF8" w:rsidP="00CE5CF8">
      <w:pPr>
        <w:jc w:val="center"/>
      </w:pPr>
      <w:r>
        <w:t>[Remainder of page intentionally left blank]</w:t>
      </w:r>
    </w:p>
    <w:p w:rsidR="00CE5CF8" w:rsidRDefault="00CE5CF8" w:rsidP="00347EFC"/>
    <w:p w:rsidR="00D11B62" w:rsidRDefault="00D11B62" w:rsidP="00347EFC"/>
    <w:p w:rsidR="00D11B62" w:rsidRDefault="00D11B62">
      <w:pPr>
        <w:spacing w:after="160" w:line="259" w:lineRule="auto"/>
        <w:jc w:val="left"/>
      </w:pPr>
      <w:r>
        <w:br w:type="page"/>
      </w:r>
    </w:p>
    <w:p w:rsidR="00D11B62" w:rsidRDefault="00D11B62" w:rsidP="00347EFC"/>
    <w:tbl>
      <w:tblPr>
        <w:tblStyle w:val="TableGrid30"/>
        <w:tblW w:w="117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0"/>
        <w:gridCol w:w="1012"/>
        <w:gridCol w:w="1334"/>
        <w:gridCol w:w="1604"/>
        <w:gridCol w:w="1552"/>
        <w:gridCol w:w="1716"/>
        <w:gridCol w:w="1451"/>
        <w:gridCol w:w="1769"/>
      </w:tblGrid>
      <w:tr w:rsidR="00D11B62" w:rsidRPr="00584315" w:rsidTr="00D11B62">
        <w:trPr>
          <w:trHeight w:val="333"/>
          <w:jc w:val="center"/>
        </w:trPr>
        <w:tc>
          <w:tcPr>
            <w:tcW w:w="11748" w:type="dxa"/>
            <w:gridSpan w:val="8"/>
            <w:vAlign w:val="bottom"/>
          </w:tcPr>
          <w:p w:rsidR="00D11B62" w:rsidRPr="00584315" w:rsidRDefault="00D11B62" w:rsidP="00D11B62">
            <w:pPr>
              <w:keepNext/>
              <w:keepLines/>
              <w:widowControl w:val="0"/>
              <w:spacing w:after="240"/>
              <w:jc w:val="center"/>
            </w:pPr>
            <w:r w:rsidRPr="00584315">
              <w:t>Table 1</w:t>
            </w:r>
            <w:r w:rsidRPr="00584315">
              <w:br/>
              <w:t>Employer Contributions</w:t>
            </w:r>
            <w:r w:rsidRPr="00584315">
              <w:br/>
              <w:t>State Division</w:t>
            </w:r>
            <w:r w:rsidRPr="00584315">
              <w:br/>
              <w:t>(Dollar Amounts in Thousands)</w:t>
            </w:r>
          </w:p>
        </w:tc>
      </w:tr>
      <w:tr w:rsidR="00D11B62" w:rsidRPr="00584315" w:rsidTr="00D11B62">
        <w:trPr>
          <w:jc w:val="center"/>
        </w:trPr>
        <w:tc>
          <w:tcPr>
            <w:tcW w:w="1310" w:type="dxa"/>
            <w:vAlign w:val="bottom"/>
          </w:tcPr>
          <w:p w:rsidR="00D11B62" w:rsidRPr="00584315" w:rsidRDefault="00D11B62" w:rsidP="00D11B62">
            <w:pPr>
              <w:keepNext/>
              <w:keepLines/>
              <w:widowControl w:val="0"/>
              <w:pBdr>
                <w:bottom w:val="single" w:sz="4" w:space="1" w:color="auto"/>
              </w:pBdr>
              <w:spacing w:after="120"/>
              <w:jc w:val="center"/>
            </w:pPr>
            <w:r w:rsidRPr="00584315">
              <w:t>Calendar Year</w:t>
            </w:r>
          </w:p>
        </w:tc>
        <w:tc>
          <w:tcPr>
            <w:tcW w:w="1012" w:type="dxa"/>
            <w:vAlign w:val="bottom"/>
          </w:tcPr>
          <w:p w:rsidR="00D11B62" w:rsidRPr="00584315" w:rsidRDefault="00D11B62" w:rsidP="00D11B62">
            <w:pPr>
              <w:keepNext/>
              <w:keepLines/>
              <w:widowControl w:val="0"/>
              <w:pBdr>
                <w:bottom w:val="single" w:sz="4" w:space="1" w:color="auto"/>
              </w:pBdr>
              <w:spacing w:after="120"/>
              <w:jc w:val="center"/>
            </w:pPr>
            <w:r w:rsidRPr="00584315">
              <w:t>ADC Rate</w:t>
            </w:r>
            <w:r w:rsidRPr="00584315">
              <w:rPr>
                <w:vertAlign w:val="superscript"/>
              </w:rPr>
              <w:t>1</w:t>
            </w:r>
          </w:p>
        </w:tc>
        <w:tc>
          <w:tcPr>
            <w:tcW w:w="1334" w:type="dxa"/>
            <w:vAlign w:val="bottom"/>
          </w:tcPr>
          <w:p w:rsidR="00D11B62" w:rsidRPr="00584315" w:rsidRDefault="00D11B62" w:rsidP="00D11B62">
            <w:pPr>
              <w:keepNext/>
              <w:keepLines/>
              <w:widowControl w:val="0"/>
              <w:pBdr>
                <w:bottom w:val="single" w:sz="4" w:space="1" w:color="auto"/>
              </w:pBdr>
              <w:spacing w:after="120"/>
              <w:jc w:val="center"/>
            </w:pPr>
            <w:r w:rsidRPr="00584315">
              <w:t>Covered Employee Payroll</w:t>
            </w:r>
          </w:p>
        </w:tc>
        <w:tc>
          <w:tcPr>
            <w:tcW w:w="1604" w:type="dxa"/>
            <w:vAlign w:val="bottom"/>
          </w:tcPr>
          <w:p w:rsidR="00D11B62" w:rsidRPr="00584315" w:rsidRDefault="00D11B62" w:rsidP="00D11B62">
            <w:pPr>
              <w:keepNext/>
              <w:keepLines/>
              <w:widowControl w:val="0"/>
              <w:pBdr>
                <w:bottom w:val="single" w:sz="4" w:space="1" w:color="auto"/>
              </w:pBdr>
              <w:spacing w:after="120"/>
              <w:jc w:val="center"/>
            </w:pPr>
            <w:r w:rsidRPr="00584315">
              <w:t>Annual Increase Reserve Contribution</w:t>
            </w:r>
            <w:r w:rsidRPr="00584315">
              <w:rPr>
                <w:vertAlign w:val="superscript"/>
              </w:rPr>
              <w:t>2</w:t>
            </w:r>
          </w:p>
        </w:tc>
        <w:tc>
          <w:tcPr>
            <w:tcW w:w="1552" w:type="dxa"/>
            <w:vAlign w:val="bottom"/>
          </w:tcPr>
          <w:p w:rsidR="00D11B62" w:rsidRPr="00584315" w:rsidRDefault="00D11B62" w:rsidP="00D11B62">
            <w:pPr>
              <w:keepNext/>
              <w:keepLines/>
              <w:widowControl w:val="0"/>
              <w:pBdr>
                <w:bottom w:val="single" w:sz="4" w:space="1" w:color="auto"/>
              </w:pBdr>
              <w:spacing w:after="120"/>
              <w:jc w:val="center"/>
            </w:pPr>
            <w:r w:rsidRPr="00584315">
              <w:t>ADC Contribution</w:t>
            </w:r>
            <w:r w:rsidRPr="00584315">
              <w:rPr>
                <w:vertAlign w:val="superscript"/>
              </w:rPr>
              <w:t>3</w:t>
            </w:r>
          </w:p>
        </w:tc>
        <w:tc>
          <w:tcPr>
            <w:tcW w:w="1716" w:type="dxa"/>
            <w:vAlign w:val="bottom"/>
          </w:tcPr>
          <w:p w:rsidR="00D11B62" w:rsidRPr="00584315" w:rsidRDefault="00D11B62" w:rsidP="00D11B62">
            <w:pPr>
              <w:keepNext/>
              <w:keepLines/>
              <w:widowControl w:val="0"/>
              <w:pBdr>
                <w:bottom w:val="single" w:sz="4" w:space="1" w:color="auto"/>
              </w:pBdr>
              <w:spacing w:after="120"/>
              <w:jc w:val="center"/>
            </w:pPr>
            <w:r w:rsidRPr="00584315">
              <w:t>Contributions in Relation to the ADC</w:t>
            </w:r>
          </w:p>
        </w:tc>
        <w:tc>
          <w:tcPr>
            <w:tcW w:w="1451" w:type="dxa"/>
            <w:vAlign w:val="bottom"/>
          </w:tcPr>
          <w:p w:rsidR="00D11B62" w:rsidRPr="00584315" w:rsidRDefault="00D11B62" w:rsidP="00D11B62">
            <w:pPr>
              <w:keepNext/>
              <w:keepLines/>
              <w:widowControl w:val="0"/>
              <w:pBdr>
                <w:bottom w:val="single" w:sz="4" w:space="1" w:color="auto"/>
              </w:pBdr>
              <w:spacing w:after="120"/>
              <w:jc w:val="center"/>
            </w:pPr>
            <w:r w:rsidRPr="00584315">
              <w:t>Annual Contribution Deficiency</w:t>
            </w:r>
          </w:p>
        </w:tc>
        <w:tc>
          <w:tcPr>
            <w:tcW w:w="1769" w:type="dxa"/>
            <w:vAlign w:val="bottom"/>
          </w:tcPr>
          <w:p w:rsidR="00D11B62" w:rsidRPr="00584315" w:rsidRDefault="00D11B62" w:rsidP="00D11B62">
            <w:pPr>
              <w:keepNext/>
              <w:keepLines/>
              <w:widowControl w:val="0"/>
              <w:pBdr>
                <w:bottom w:val="single" w:sz="4" w:space="1" w:color="auto"/>
              </w:pBdr>
              <w:spacing w:after="120"/>
              <w:jc w:val="center"/>
            </w:pPr>
            <w:r w:rsidRPr="00584315">
              <w:t>Actual Contribution as a Percentage of Covered Employee Payroll</w:t>
            </w:r>
          </w:p>
        </w:tc>
      </w:tr>
      <w:tr w:rsidR="00D11B62" w:rsidRPr="00584315" w:rsidTr="00D11B62">
        <w:trPr>
          <w:jc w:val="center"/>
        </w:trPr>
        <w:tc>
          <w:tcPr>
            <w:tcW w:w="1310" w:type="dxa"/>
            <w:vAlign w:val="bottom"/>
          </w:tcPr>
          <w:p w:rsidR="00D11B62" w:rsidRPr="00584315" w:rsidRDefault="00D11B62" w:rsidP="00D11B62">
            <w:pPr>
              <w:keepNext/>
              <w:keepLines/>
              <w:widowControl w:val="0"/>
              <w:jc w:val="center"/>
            </w:pPr>
            <w:r w:rsidRPr="00584315">
              <w:t>2019</w:t>
            </w:r>
          </w:p>
        </w:tc>
        <w:tc>
          <w:tcPr>
            <w:tcW w:w="1012" w:type="dxa"/>
            <w:vAlign w:val="bottom"/>
          </w:tcPr>
          <w:p w:rsidR="00D11B62" w:rsidRPr="00584315" w:rsidRDefault="00D11B62" w:rsidP="00D11B62">
            <w:pPr>
              <w:keepNext/>
              <w:keepLines/>
              <w:widowControl w:val="0"/>
              <w:tabs>
                <w:tab w:val="decimal" w:pos="337"/>
              </w:tabs>
              <w:jc w:val="left"/>
            </w:pPr>
            <w:r w:rsidRPr="00584315">
              <w:t>23.28%</w:t>
            </w:r>
          </w:p>
        </w:tc>
        <w:tc>
          <w:tcPr>
            <w:tcW w:w="1334" w:type="dxa"/>
            <w:vAlign w:val="bottom"/>
          </w:tcPr>
          <w:p w:rsidR="00D11B62" w:rsidRPr="00584315" w:rsidRDefault="00D11B62" w:rsidP="00D11B62">
            <w:pPr>
              <w:keepNext/>
              <w:keepLines/>
              <w:widowControl w:val="0"/>
              <w:tabs>
                <w:tab w:val="decimal" w:pos="995"/>
              </w:tabs>
              <w:jc w:val="left"/>
            </w:pPr>
            <w:r w:rsidRPr="00584315">
              <w:t>$2,995,453</w:t>
            </w:r>
          </w:p>
        </w:tc>
        <w:tc>
          <w:tcPr>
            <w:tcW w:w="1604" w:type="dxa"/>
            <w:vAlign w:val="bottom"/>
          </w:tcPr>
          <w:p w:rsidR="00D11B62" w:rsidRPr="00584315" w:rsidRDefault="00D11B62" w:rsidP="00D11B62">
            <w:pPr>
              <w:keepNext/>
              <w:keepLines/>
              <w:widowControl w:val="0"/>
              <w:tabs>
                <w:tab w:val="decimal" w:pos="1003"/>
              </w:tabs>
              <w:jc w:val="left"/>
            </w:pPr>
            <w:r w:rsidRPr="00584315">
              <w:t>$17,663</w:t>
            </w:r>
          </w:p>
        </w:tc>
        <w:tc>
          <w:tcPr>
            <w:tcW w:w="1552" w:type="dxa"/>
            <w:vAlign w:val="bottom"/>
          </w:tcPr>
          <w:p w:rsidR="00D11B62" w:rsidRPr="00584315" w:rsidRDefault="00D11B62" w:rsidP="00D11B62">
            <w:pPr>
              <w:keepNext/>
              <w:keepLines/>
              <w:widowControl w:val="0"/>
              <w:tabs>
                <w:tab w:val="decimal" w:pos="1010"/>
              </w:tabs>
              <w:jc w:val="left"/>
            </w:pPr>
            <w:r w:rsidRPr="00584315">
              <w:t>$715,004</w:t>
            </w:r>
          </w:p>
        </w:tc>
        <w:tc>
          <w:tcPr>
            <w:tcW w:w="1716" w:type="dxa"/>
            <w:vAlign w:val="bottom"/>
          </w:tcPr>
          <w:p w:rsidR="00D11B62" w:rsidRPr="00584315" w:rsidRDefault="00D11B62" w:rsidP="00D11B62">
            <w:pPr>
              <w:keepNext/>
              <w:keepLines/>
              <w:widowControl w:val="0"/>
              <w:tabs>
                <w:tab w:val="decimal" w:pos="1159"/>
              </w:tabs>
              <w:jc w:val="left"/>
            </w:pPr>
            <w:r w:rsidRPr="00584315">
              <w:t>$689,370</w:t>
            </w:r>
          </w:p>
        </w:tc>
        <w:tc>
          <w:tcPr>
            <w:tcW w:w="1451" w:type="dxa"/>
            <w:vAlign w:val="bottom"/>
          </w:tcPr>
          <w:p w:rsidR="00D11B62" w:rsidRPr="00584315" w:rsidRDefault="00D11B62" w:rsidP="00D11B62">
            <w:pPr>
              <w:keepNext/>
              <w:keepLines/>
              <w:widowControl w:val="0"/>
              <w:tabs>
                <w:tab w:val="decimal" w:pos="1018"/>
              </w:tabs>
              <w:jc w:val="left"/>
            </w:pPr>
            <w:r w:rsidRPr="00584315">
              <w:t>$  25,634</w:t>
            </w:r>
          </w:p>
        </w:tc>
        <w:tc>
          <w:tcPr>
            <w:tcW w:w="1769" w:type="dxa"/>
            <w:vAlign w:val="bottom"/>
          </w:tcPr>
          <w:p w:rsidR="00D11B62" w:rsidRPr="00584315" w:rsidRDefault="00D11B62" w:rsidP="00D11B62">
            <w:pPr>
              <w:keepNext/>
              <w:keepLines/>
              <w:widowControl w:val="0"/>
              <w:tabs>
                <w:tab w:val="decimal" w:pos="701"/>
              </w:tabs>
              <w:jc w:val="left"/>
            </w:pPr>
            <w:r w:rsidRPr="00584315">
              <w:t>23.01%</w:t>
            </w:r>
          </w:p>
        </w:tc>
      </w:tr>
      <w:tr w:rsidR="00D11B62" w:rsidRPr="00584315" w:rsidTr="00D11B62">
        <w:trPr>
          <w:jc w:val="center"/>
        </w:trPr>
        <w:tc>
          <w:tcPr>
            <w:tcW w:w="1310" w:type="dxa"/>
            <w:vAlign w:val="bottom"/>
          </w:tcPr>
          <w:p w:rsidR="00D11B62" w:rsidRPr="00584315" w:rsidRDefault="00D11B62" w:rsidP="00D11B62">
            <w:pPr>
              <w:keepNext/>
              <w:keepLines/>
              <w:widowControl w:val="0"/>
              <w:jc w:val="center"/>
            </w:pPr>
            <w:r w:rsidRPr="00584315">
              <w:t>2018</w:t>
            </w:r>
          </w:p>
        </w:tc>
        <w:tc>
          <w:tcPr>
            <w:tcW w:w="1012" w:type="dxa"/>
            <w:vAlign w:val="bottom"/>
          </w:tcPr>
          <w:p w:rsidR="00D11B62" w:rsidRPr="00584315" w:rsidRDefault="00D11B62" w:rsidP="00D11B62">
            <w:pPr>
              <w:keepNext/>
              <w:keepLines/>
              <w:widowControl w:val="0"/>
              <w:tabs>
                <w:tab w:val="decimal" w:pos="337"/>
              </w:tabs>
              <w:jc w:val="left"/>
            </w:pPr>
            <w:r w:rsidRPr="00584315">
              <w:t>26.30</w:t>
            </w:r>
          </w:p>
        </w:tc>
        <w:tc>
          <w:tcPr>
            <w:tcW w:w="1334" w:type="dxa"/>
            <w:vAlign w:val="bottom"/>
          </w:tcPr>
          <w:p w:rsidR="00D11B62" w:rsidRPr="00584315" w:rsidRDefault="00D11B62" w:rsidP="00D11B62">
            <w:pPr>
              <w:keepNext/>
              <w:keepLines/>
              <w:widowControl w:val="0"/>
              <w:tabs>
                <w:tab w:val="decimal" w:pos="995"/>
              </w:tabs>
              <w:jc w:val="left"/>
            </w:pPr>
            <w:r w:rsidRPr="00584315">
              <w:t>2,898,827</w:t>
            </w:r>
          </w:p>
        </w:tc>
        <w:tc>
          <w:tcPr>
            <w:tcW w:w="1604" w:type="dxa"/>
            <w:vAlign w:val="bottom"/>
          </w:tcPr>
          <w:p w:rsidR="00D11B62" w:rsidRPr="00584315" w:rsidRDefault="00D11B62" w:rsidP="00D11B62">
            <w:pPr>
              <w:keepNext/>
              <w:keepLines/>
              <w:widowControl w:val="0"/>
              <w:tabs>
                <w:tab w:val="decimal" w:pos="1003"/>
              </w:tabs>
              <w:jc w:val="left"/>
            </w:pPr>
            <w:r w:rsidRPr="00584315">
              <w:t>15,919</w:t>
            </w:r>
          </w:p>
        </w:tc>
        <w:tc>
          <w:tcPr>
            <w:tcW w:w="1552" w:type="dxa"/>
            <w:vAlign w:val="bottom"/>
          </w:tcPr>
          <w:p w:rsidR="00D11B62" w:rsidRPr="00584315" w:rsidRDefault="00D11B62" w:rsidP="00D11B62">
            <w:pPr>
              <w:keepNext/>
              <w:keepLines/>
              <w:widowControl w:val="0"/>
              <w:tabs>
                <w:tab w:val="decimal" w:pos="1010"/>
              </w:tabs>
              <w:jc w:val="left"/>
            </w:pPr>
            <w:r w:rsidRPr="00584315">
              <w:t>778,311</w:t>
            </w:r>
          </w:p>
        </w:tc>
        <w:tc>
          <w:tcPr>
            <w:tcW w:w="1716" w:type="dxa"/>
            <w:vAlign w:val="bottom"/>
          </w:tcPr>
          <w:p w:rsidR="00D11B62" w:rsidRPr="00584315" w:rsidRDefault="00D11B62" w:rsidP="00D11B62">
            <w:pPr>
              <w:keepNext/>
              <w:keepLines/>
              <w:widowControl w:val="0"/>
              <w:tabs>
                <w:tab w:val="decimal" w:pos="1159"/>
              </w:tabs>
              <w:jc w:val="left"/>
            </w:pPr>
            <w:r w:rsidRPr="00584315">
              <w:t>661,653</w:t>
            </w:r>
          </w:p>
        </w:tc>
        <w:tc>
          <w:tcPr>
            <w:tcW w:w="1451" w:type="dxa"/>
            <w:vAlign w:val="bottom"/>
          </w:tcPr>
          <w:p w:rsidR="00D11B62" w:rsidRPr="00584315" w:rsidRDefault="00D11B62" w:rsidP="00D11B62">
            <w:pPr>
              <w:keepNext/>
              <w:keepLines/>
              <w:widowControl w:val="0"/>
              <w:tabs>
                <w:tab w:val="decimal" w:pos="1018"/>
              </w:tabs>
              <w:jc w:val="left"/>
            </w:pPr>
            <w:r w:rsidRPr="00584315">
              <w:t>116,658</w:t>
            </w:r>
          </w:p>
        </w:tc>
        <w:tc>
          <w:tcPr>
            <w:tcW w:w="1769" w:type="dxa"/>
            <w:vAlign w:val="bottom"/>
          </w:tcPr>
          <w:p w:rsidR="00D11B62" w:rsidRPr="00584315" w:rsidRDefault="00D11B62" w:rsidP="00D11B62">
            <w:pPr>
              <w:keepNext/>
              <w:keepLines/>
              <w:widowControl w:val="0"/>
              <w:tabs>
                <w:tab w:val="decimal" w:pos="701"/>
              </w:tabs>
              <w:jc w:val="left"/>
            </w:pPr>
            <w:r w:rsidRPr="00584315">
              <w:t>22.82</w:t>
            </w:r>
          </w:p>
        </w:tc>
      </w:tr>
      <w:tr w:rsidR="00D11B62" w:rsidRPr="00584315" w:rsidTr="00D11B62">
        <w:trPr>
          <w:jc w:val="center"/>
        </w:trPr>
        <w:tc>
          <w:tcPr>
            <w:tcW w:w="1310" w:type="dxa"/>
            <w:vAlign w:val="bottom"/>
          </w:tcPr>
          <w:p w:rsidR="00D11B62" w:rsidRPr="00584315" w:rsidRDefault="00D11B62" w:rsidP="00D11B62">
            <w:pPr>
              <w:keepNext/>
              <w:keepLines/>
              <w:widowControl w:val="0"/>
              <w:jc w:val="center"/>
            </w:pPr>
            <w:r w:rsidRPr="00584315">
              <w:t>2017</w:t>
            </w:r>
          </w:p>
        </w:tc>
        <w:tc>
          <w:tcPr>
            <w:tcW w:w="1012" w:type="dxa"/>
            <w:vAlign w:val="bottom"/>
          </w:tcPr>
          <w:p w:rsidR="00D11B62" w:rsidRPr="00584315" w:rsidRDefault="00D11B62" w:rsidP="00D11B62">
            <w:pPr>
              <w:keepNext/>
              <w:keepLines/>
              <w:widowControl w:val="0"/>
              <w:tabs>
                <w:tab w:val="decimal" w:pos="337"/>
              </w:tabs>
              <w:jc w:val="left"/>
            </w:pPr>
            <w:r w:rsidRPr="00584315">
              <w:t>22.71</w:t>
            </w:r>
          </w:p>
        </w:tc>
        <w:tc>
          <w:tcPr>
            <w:tcW w:w="1334" w:type="dxa"/>
            <w:vAlign w:val="bottom"/>
          </w:tcPr>
          <w:p w:rsidR="00D11B62" w:rsidRPr="00584315" w:rsidRDefault="00D11B62" w:rsidP="00D11B62">
            <w:pPr>
              <w:keepNext/>
              <w:keepLines/>
              <w:widowControl w:val="0"/>
              <w:tabs>
                <w:tab w:val="decimal" w:pos="995"/>
              </w:tabs>
              <w:jc w:val="left"/>
            </w:pPr>
            <w:r w:rsidRPr="00584315">
              <w:t>2,774,207</w:t>
            </w:r>
          </w:p>
        </w:tc>
        <w:tc>
          <w:tcPr>
            <w:tcW w:w="1604" w:type="dxa"/>
            <w:vAlign w:val="bottom"/>
          </w:tcPr>
          <w:p w:rsidR="00D11B62" w:rsidRPr="00584315" w:rsidRDefault="00D11B62" w:rsidP="00D11B62">
            <w:pPr>
              <w:keepNext/>
              <w:keepLines/>
              <w:widowControl w:val="0"/>
              <w:tabs>
                <w:tab w:val="decimal" w:pos="1003"/>
              </w:tabs>
              <w:jc w:val="left"/>
            </w:pPr>
            <w:r w:rsidRPr="00584315">
              <w:t>14,355</w:t>
            </w:r>
          </w:p>
        </w:tc>
        <w:tc>
          <w:tcPr>
            <w:tcW w:w="1552" w:type="dxa"/>
            <w:vAlign w:val="bottom"/>
          </w:tcPr>
          <w:p w:rsidR="00D11B62" w:rsidRPr="00584315" w:rsidRDefault="00D11B62" w:rsidP="00D11B62">
            <w:pPr>
              <w:keepNext/>
              <w:keepLines/>
              <w:widowControl w:val="0"/>
              <w:tabs>
                <w:tab w:val="decimal" w:pos="1010"/>
              </w:tabs>
              <w:jc w:val="left"/>
            </w:pPr>
            <w:r w:rsidRPr="00584315">
              <w:t>644,377</w:t>
            </w:r>
          </w:p>
        </w:tc>
        <w:tc>
          <w:tcPr>
            <w:tcW w:w="1716" w:type="dxa"/>
            <w:vAlign w:val="bottom"/>
          </w:tcPr>
          <w:p w:rsidR="00D11B62" w:rsidRPr="00584315" w:rsidRDefault="00D11B62" w:rsidP="00D11B62">
            <w:pPr>
              <w:keepNext/>
              <w:keepLines/>
              <w:widowControl w:val="0"/>
              <w:tabs>
                <w:tab w:val="decimal" w:pos="1159"/>
              </w:tabs>
              <w:jc w:val="left"/>
            </w:pPr>
            <w:r w:rsidRPr="00584315">
              <w:t>563,977</w:t>
            </w:r>
          </w:p>
        </w:tc>
        <w:tc>
          <w:tcPr>
            <w:tcW w:w="1451" w:type="dxa"/>
            <w:vAlign w:val="bottom"/>
          </w:tcPr>
          <w:p w:rsidR="00D11B62" w:rsidRPr="00584315" w:rsidRDefault="00D11B62" w:rsidP="00D11B62">
            <w:pPr>
              <w:keepNext/>
              <w:keepLines/>
              <w:widowControl w:val="0"/>
              <w:tabs>
                <w:tab w:val="decimal" w:pos="1018"/>
              </w:tabs>
              <w:jc w:val="left"/>
            </w:pPr>
            <w:r w:rsidRPr="00584315">
              <w:t>80,400</w:t>
            </w:r>
          </w:p>
        </w:tc>
        <w:tc>
          <w:tcPr>
            <w:tcW w:w="1769" w:type="dxa"/>
            <w:vAlign w:val="bottom"/>
          </w:tcPr>
          <w:p w:rsidR="00D11B62" w:rsidRPr="00584315" w:rsidRDefault="00D11B62" w:rsidP="00D11B62">
            <w:pPr>
              <w:keepNext/>
              <w:keepLines/>
              <w:widowControl w:val="0"/>
              <w:tabs>
                <w:tab w:val="decimal" w:pos="701"/>
              </w:tabs>
              <w:jc w:val="left"/>
            </w:pPr>
            <w:r w:rsidRPr="00584315">
              <w:t>20.33</w:t>
            </w:r>
          </w:p>
        </w:tc>
      </w:tr>
      <w:tr w:rsidR="00D11B62" w:rsidRPr="00584315" w:rsidTr="00D11B62">
        <w:trPr>
          <w:jc w:val="center"/>
        </w:trPr>
        <w:tc>
          <w:tcPr>
            <w:tcW w:w="1310" w:type="dxa"/>
            <w:vAlign w:val="bottom"/>
          </w:tcPr>
          <w:p w:rsidR="00D11B62" w:rsidRPr="00584315" w:rsidRDefault="00D11B62" w:rsidP="00D11B62">
            <w:pPr>
              <w:keepNext/>
              <w:keepLines/>
              <w:widowControl w:val="0"/>
              <w:jc w:val="center"/>
            </w:pPr>
            <w:r w:rsidRPr="00584315">
              <w:t>2016</w:t>
            </w:r>
          </w:p>
        </w:tc>
        <w:tc>
          <w:tcPr>
            <w:tcW w:w="1012" w:type="dxa"/>
            <w:vAlign w:val="bottom"/>
          </w:tcPr>
          <w:p w:rsidR="00D11B62" w:rsidRPr="00584315" w:rsidRDefault="00D11B62" w:rsidP="00D11B62">
            <w:pPr>
              <w:keepNext/>
              <w:keepLines/>
              <w:widowControl w:val="0"/>
              <w:tabs>
                <w:tab w:val="decimal" w:pos="337"/>
              </w:tabs>
              <w:jc w:val="left"/>
            </w:pPr>
            <w:r w:rsidRPr="00584315">
              <w:t>22.31</w:t>
            </w:r>
          </w:p>
        </w:tc>
        <w:tc>
          <w:tcPr>
            <w:tcW w:w="1334" w:type="dxa"/>
            <w:vAlign w:val="bottom"/>
          </w:tcPr>
          <w:p w:rsidR="00D11B62" w:rsidRPr="00584315" w:rsidRDefault="00D11B62" w:rsidP="00D11B62">
            <w:pPr>
              <w:keepNext/>
              <w:keepLines/>
              <w:widowControl w:val="0"/>
              <w:tabs>
                <w:tab w:val="decimal" w:pos="995"/>
              </w:tabs>
              <w:jc w:val="left"/>
            </w:pPr>
            <w:r w:rsidRPr="00584315">
              <w:t>2,710,651</w:t>
            </w:r>
          </w:p>
        </w:tc>
        <w:tc>
          <w:tcPr>
            <w:tcW w:w="1604" w:type="dxa"/>
            <w:vAlign w:val="bottom"/>
          </w:tcPr>
          <w:p w:rsidR="00D11B62" w:rsidRPr="00584315" w:rsidRDefault="00D11B62" w:rsidP="00D11B62">
            <w:pPr>
              <w:keepNext/>
              <w:keepLines/>
              <w:widowControl w:val="0"/>
              <w:tabs>
                <w:tab w:val="decimal" w:pos="1003"/>
              </w:tabs>
              <w:jc w:val="left"/>
            </w:pPr>
            <w:r w:rsidRPr="00584315">
              <w:t>12,838</w:t>
            </w:r>
          </w:p>
        </w:tc>
        <w:tc>
          <w:tcPr>
            <w:tcW w:w="1552" w:type="dxa"/>
            <w:vAlign w:val="bottom"/>
          </w:tcPr>
          <w:p w:rsidR="00D11B62" w:rsidRPr="00584315" w:rsidRDefault="00D11B62" w:rsidP="00D11B62">
            <w:pPr>
              <w:keepNext/>
              <w:keepLines/>
              <w:widowControl w:val="0"/>
              <w:tabs>
                <w:tab w:val="decimal" w:pos="1010"/>
              </w:tabs>
              <w:jc w:val="left"/>
            </w:pPr>
            <w:r w:rsidRPr="00584315">
              <w:t>617,584</w:t>
            </w:r>
          </w:p>
        </w:tc>
        <w:tc>
          <w:tcPr>
            <w:tcW w:w="1716" w:type="dxa"/>
            <w:vAlign w:val="bottom"/>
          </w:tcPr>
          <w:p w:rsidR="00D11B62" w:rsidRPr="00584315" w:rsidRDefault="00D11B62" w:rsidP="00D11B62">
            <w:pPr>
              <w:keepNext/>
              <w:keepLines/>
              <w:widowControl w:val="0"/>
              <w:tabs>
                <w:tab w:val="decimal" w:pos="1159"/>
              </w:tabs>
              <w:jc w:val="left"/>
            </w:pPr>
            <w:r w:rsidRPr="00584315">
              <w:t>521,804</w:t>
            </w:r>
          </w:p>
        </w:tc>
        <w:tc>
          <w:tcPr>
            <w:tcW w:w="1451" w:type="dxa"/>
            <w:vAlign w:val="bottom"/>
          </w:tcPr>
          <w:p w:rsidR="00D11B62" w:rsidRPr="00584315" w:rsidRDefault="00D11B62" w:rsidP="00D11B62">
            <w:pPr>
              <w:keepNext/>
              <w:keepLines/>
              <w:widowControl w:val="0"/>
              <w:tabs>
                <w:tab w:val="decimal" w:pos="1018"/>
              </w:tabs>
              <w:jc w:val="left"/>
            </w:pPr>
            <w:r w:rsidRPr="00584315">
              <w:t>95,780</w:t>
            </w:r>
          </w:p>
        </w:tc>
        <w:tc>
          <w:tcPr>
            <w:tcW w:w="1769" w:type="dxa"/>
            <w:vAlign w:val="bottom"/>
          </w:tcPr>
          <w:p w:rsidR="00D11B62" w:rsidRPr="00584315" w:rsidRDefault="00D11B62" w:rsidP="00D11B62">
            <w:pPr>
              <w:keepNext/>
              <w:keepLines/>
              <w:widowControl w:val="0"/>
              <w:tabs>
                <w:tab w:val="decimal" w:pos="701"/>
              </w:tabs>
              <w:jc w:val="left"/>
            </w:pPr>
            <w:r w:rsidRPr="00584315">
              <w:t>19.25</w:t>
            </w:r>
          </w:p>
        </w:tc>
      </w:tr>
      <w:tr w:rsidR="00D11B62" w:rsidRPr="00584315" w:rsidTr="00D11B62">
        <w:trPr>
          <w:jc w:val="center"/>
        </w:trPr>
        <w:tc>
          <w:tcPr>
            <w:tcW w:w="1310" w:type="dxa"/>
            <w:vAlign w:val="bottom"/>
          </w:tcPr>
          <w:p w:rsidR="00D11B62" w:rsidRPr="00584315" w:rsidRDefault="00D11B62" w:rsidP="00D11B62">
            <w:pPr>
              <w:keepNext/>
              <w:keepLines/>
              <w:widowControl w:val="0"/>
              <w:jc w:val="center"/>
            </w:pPr>
            <w:r w:rsidRPr="00584315">
              <w:t>2015</w:t>
            </w:r>
          </w:p>
        </w:tc>
        <w:tc>
          <w:tcPr>
            <w:tcW w:w="1012" w:type="dxa"/>
            <w:vAlign w:val="bottom"/>
          </w:tcPr>
          <w:p w:rsidR="00D11B62" w:rsidRPr="00584315" w:rsidRDefault="00D11B62" w:rsidP="00D11B62">
            <w:pPr>
              <w:keepNext/>
              <w:keepLines/>
              <w:widowControl w:val="0"/>
              <w:tabs>
                <w:tab w:val="decimal" w:pos="337"/>
              </w:tabs>
              <w:jc w:val="left"/>
            </w:pPr>
            <w:r w:rsidRPr="00584315">
              <w:t>22.35</w:t>
            </w:r>
          </w:p>
        </w:tc>
        <w:tc>
          <w:tcPr>
            <w:tcW w:w="1334" w:type="dxa"/>
            <w:vAlign w:val="bottom"/>
          </w:tcPr>
          <w:p w:rsidR="00D11B62" w:rsidRPr="00584315" w:rsidRDefault="00D11B62" w:rsidP="00D11B62">
            <w:pPr>
              <w:keepNext/>
              <w:keepLines/>
              <w:widowControl w:val="0"/>
              <w:tabs>
                <w:tab w:val="decimal" w:pos="995"/>
              </w:tabs>
              <w:jc w:val="left"/>
            </w:pPr>
            <w:r w:rsidRPr="00584315">
              <w:t>2,641,867</w:t>
            </w:r>
          </w:p>
        </w:tc>
        <w:tc>
          <w:tcPr>
            <w:tcW w:w="1604" w:type="dxa"/>
            <w:vAlign w:val="bottom"/>
          </w:tcPr>
          <w:p w:rsidR="00D11B62" w:rsidRPr="00584315" w:rsidRDefault="00D11B62" w:rsidP="00D11B62">
            <w:pPr>
              <w:keepNext/>
              <w:keepLines/>
              <w:widowControl w:val="0"/>
              <w:tabs>
                <w:tab w:val="decimal" w:pos="1003"/>
              </w:tabs>
              <w:jc w:val="left"/>
            </w:pPr>
            <w:r w:rsidRPr="00584315">
              <w:t>11,400</w:t>
            </w:r>
          </w:p>
        </w:tc>
        <w:tc>
          <w:tcPr>
            <w:tcW w:w="1552" w:type="dxa"/>
            <w:vAlign w:val="bottom"/>
          </w:tcPr>
          <w:p w:rsidR="00D11B62" w:rsidRPr="00584315" w:rsidRDefault="00D11B62" w:rsidP="00D11B62">
            <w:pPr>
              <w:keepNext/>
              <w:keepLines/>
              <w:widowControl w:val="0"/>
              <w:tabs>
                <w:tab w:val="decimal" w:pos="1010"/>
              </w:tabs>
              <w:jc w:val="left"/>
            </w:pPr>
            <w:r w:rsidRPr="00584315">
              <w:t>601,857</w:t>
            </w:r>
          </w:p>
        </w:tc>
        <w:tc>
          <w:tcPr>
            <w:tcW w:w="1716" w:type="dxa"/>
            <w:vAlign w:val="bottom"/>
          </w:tcPr>
          <w:p w:rsidR="00D11B62" w:rsidRPr="00584315" w:rsidRDefault="00D11B62" w:rsidP="00D11B62">
            <w:pPr>
              <w:keepNext/>
              <w:keepLines/>
              <w:widowControl w:val="0"/>
              <w:tabs>
                <w:tab w:val="decimal" w:pos="1159"/>
              </w:tabs>
              <w:jc w:val="left"/>
            </w:pPr>
            <w:r w:rsidRPr="00584315">
              <w:t>484,005</w:t>
            </w:r>
          </w:p>
        </w:tc>
        <w:tc>
          <w:tcPr>
            <w:tcW w:w="1451" w:type="dxa"/>
            <w:vAlign w:val="bottom"/>
          </w:tcPr>
          <w:p w:rsidR="00D11B62" w:rsidRPr="00584315" w:rsidRDefault="00D11B62" w:rsidP="00D11B62">
            <w:pPr>
              <w:keepNext/>
              <w:keepLines/>
              <w:widowControl w:val="0"/>
              <w:tabs>
                <w:tab w:val="decimal" w:pos="1018"/>
              </w:tabs>
              <w:jc w:val="left"/>
            </w:pPr>
            <w:r w:rsidRPr="00584315">
              <w:t>117,852</w:t>
            </w:r>
          </w:p>
        </w:tc>
        <w:tc>
          <w:tcPr>
            <w:tcW w:w="1769" w:type="dxa"/>
            <w:vAlign w:val="bottom"/>
          </w:tcPr>
          <w:p w:rsidR="00D11B62" w:rsidRPr="00584315" w:rsidRDefault="00D11B62" w:rsidP="00D11B62">
            <w:pPr>
              <w:keepNext/>
              <w:keepLines/>
              <w:widowControl w:val="0"/>
              <w:tabs>
                <w:tab w:val="decimal" w:pos="701"/>
              </w:tabs>
              <w:jc w:val="left"/>
            </w:pPr>
            <w:r w:rsidRPr="00584315">
              <w:t>18.32</w:t>
            </w:r>
          </w:p>
        </w:tc>
      </w:tr>
      <w:tr w:rsidR="00D11B62" w:rsidRPr="00584315" w:rsidTr="00D11B62">
        <w:trPr>
          <w:jc w:val="center"/>
        </w:trPr>
        <w:tc>
          <w:tcPr>
            <w:tcW w:w="1310" w:type="dxa"/>
            <w:vAlign w:val="bottom"/>
          </w:tcPr>
          <w:p w:rsidR="00D11B62" w:rsidRPr="00584315" w:rsidRDefault="00D11B62" w:rsidP="00D11B62">
            <w:pPr>
              <w:keepNext/>
              <w:keepLines/>
              <w:widowControl w:val="0"/>
              <w:jc w:val="center"/>
            </w:pPr>
            <w:r w:rsidRPr="00584315">
              <w:t>2014</w:t>
            </w:r>
          </w:p>
        </w:tc>
        <w:tc>
          <w:tcPr>
            <w:tcW w:w="1012" w:type="dxa"/>
            <w:vAlign w:val="bottom"/>
          </w:tcPr>
          <w:p w:rsidR="00D11B62" w:rsidRPr="00584315" w:rsidRDefault="00D11B62" w:rsidP="00D11B62">
            <w:pPr>
              <w:keepNext/>
              <w:keepLines/>
              <w:widowControl w:val="0"/>
              <w:tabs>
                <w:tab w:val="decimal" w:pos="337"/>
              </w:tabs>
              <w:jc w:val="left"/>
            </w:pPr>
            <w:r w:rsidRPr="00584315">
              <w:t>20.45</w:t>
            </w:r>
          </w:p>
        </w:tc>
        <w:tc>
          <w:tcPr>
            <w:tcW w:w="1334" w:type="dxa"/>
            <w:vAlign w:val="bottom"/>
          </w:tcPr>
          <w:p w:rsidR="00D11B62" w:rsidRPr="00584315" w:rsidRDefault="00D11B62" w:rsidP="00D11B62">
            <w:pPr>
              <w:keepNext/>
              <w:keepLines/>
              <w:widowControl w:val="0"/>
              <w:tabs>
                <w:tab w:val="decimal" w:pos="995"/>
              </w:tabs>
              <w:jc w:val="left"/>
            </w:pPr>
            <w:r w:rsidRPr="00584315">
              <w:t>2,564,670</w:t>
            </w:r>
          </w:p>
        </w:tc>
        <w:tc>
          <w:tcPr>
            <w:tcW w:w="1604" w:type="dxa"/>
            <w:vAlign w:val="bottom"/>
          </w:tcPr>
          <w:p w:rsidR="00D11B62" w:rsidRPr="00584315" w:rsidRDefault="00D11B62" w:rsidP="00D11B62">
            <w:pPr>
              <w:keepNext/>
              <w:keepLines/>
              <w:widowControl w:val="0"/>
              <w:tabs>
                <w:tab w:val="decimal" w:pos="1003"/>
              </w:tabs>
              <w:jc w:val="left"/>
            </w:pPr>
            <w:r w:rsidRPr="00584315">
              <w:t>9,984</w:t>
            </w:r>
          </w:p>
        </w:tc>
        <w:tc>
          <w:tcPr>
            <w:tcW w:w="1552" w:type="dxa"/>
            <w:vAlign w:val="bottom"/>
          </w:tcPr>
          <w:p w:rsidR="00D11B62" w:rsidRPr="00584315" w:rsidRDefault="00D11B62" w:rsidP="00D11B62">
            <w:pPr>
              <w:keepNext/>
              <w:keepLines/>
              <w:widowControl w:val="0"/>
              <w:tabs>
                <w:tab w:val="decimal" w:pos="1010"/>
              </w:tabs>
              <w:jc w:val="left"/>
            </w:pPr>
            <w:r w:rsidRPr="00584315">
              <w:t>534,459</w:t>
            </w:r>
          </w:p>
        </w:tc>
        <w:tc>
          <w:tcPr>
            <w:tcW w:w="1716" w:type="dxa"/>
            <w:vAlign w:val="bottom"/>
          </w:tcPr>
          <w:p w:rsidR="00D11B62" w:rsidRPr="00584315" w:rsidRDefault="00D11B62" w:rsidP="00D11B62">
            <w:pPr>
              <w:keepNext/>
              <w:keepLines/>
              <w:widowControl w:val="0"/>
              <w:tabs>
                <w:tab w:val="decimal" w:pos="1159"/>
              </w:tabs>
              <w:jc w:val="left"/>
            </w:pPr>
            <w:r w:rsidRPr="00584315">
              <w:t>444,372</w:t>
            </w:r>
          </w:p>
        </w:tc>
        <w:tc>
          <w:tcPr>
            <w:tcW w:w="1451" w:type="dxa"/>
            <w:vAlign w:val="bottom"/>
          </w:tcPr>
          <w:p w:rsidR="00D11B62" w:rsidRPr="00584315" w:rsidRDefault="00D11B62" w:rsidP="00D11B62">
            <w:pPr>
              <w:keepNext/>
              <w:keepLines/>
              <w:widowControl w:val="0"/>
              <w:tabs>
                <w:tab w:val="decimal" w:pos="1018"/>
              </w:tabs>
              <w:jc w:val="left"/>
            </w:pPr>
            <w:r w:rsidRPr="00584315">
              <w:t>90,087</w:t>
            </w:r>
          </w:p>
        </w:tc>
        <w:tc>
          <w:tcPr>
            <w:tcW w:w="1769" w:type="dxa"/>
            <w:vAlign w:val="bottom"/>
          </w:tcPr>
          <w:p w:rsidR="00D11B62" w:rsidRPr="00584315" w:rsidRDefault="00D11B62" w:rsidP="00D11B62">
            <w:pPr>
              <w:keepNext/>
              <w:keepLines/>
              <w:widowControl w:val="0"/>
              <w:tabs>
                <w:tab w:val="decimal" w:pos="701"/>
              </w:tabs>
              <w:jc w:val="left"/>
            </w:pPr>
            <w:r w:rsidRPr="00584315">
              <w:t>17.33</w:t>
            </w:r>
          </w:p>
        </w:tc>
      </w:tr>
      <w:tr w:rsidR="00D11B62" w:rsidRPr="00584315" w:rsidTr="00D11B62">
        <w:trPr>
          <w:jc w:val="center"/>
        </w:trPr>
        <w:tc>
          <w:tcPr>
            <w:tcW w:w="1310" w:type="dxa"/>
            <w:vAlign w:val="bottom"/>
          </w:tcPr>
          <w:p w:rsidR="00D11B62" w:rsidRPr="00584315" w:rsidRDefault="00D11B62" w:rsidP="00D11B62">
            <w:pPr>
              <w:keepNext/>
              <w:keepLines/>
              <w:widowControl w:val="0"/>
              <w:jc w:val="center"/>
            </w:pPr>
            <w:r w:rsidRPr="00584315">
              <w:t>2013</w:t>
            </w:r>
          </w:p>
        </w:tc>
        <w:tc>
          <w:tcPr>
            <w:tcW w:w="1012" w:type="dxa"/>
            <w:vAlign w:val="bottom"/>
          </w:tcPr>
          <w:p w:rsidR="00D11B62" w:rsidRPr="00584315" w:rsidRDefault="00D11B62" w:rsidP="00D11B62">
            <w:pPr>
              <w:keepNext/>
              <w:keepLines/>
              <w:widowControl w:val="0"/>
              <w:tabs>
                <w:tab w:val="decimal" w:pos="337"/>
              </w:tabs>
              <w:jc w:val="left"/>
            </w:pPr>
            <w:r w:rsidRPr="00584315">
              <w:t>20.01</w:t>
            </w:r>
          </w:p>
        </w:tc>
        <w:tc>
          <w:tcPr>
            <w:tcW w:w="1334" w:type="dxa"/>
            <w:vAlign w:val="bottom"/>
          </w:tcPr>
          <w:p w:rsidR="00D11B62" w:rsidRPr="00584315" w:rsidRDefault="00D11B62" w:rsidP="00D11B62">
            <w:pPr>
              <w:keepNext/>
              <w:keepLines/>
              <w:widowControl w:val="0"/>
              <w:tabs>
                <w:tab w:val="decimal" w:pos="995"/>
              </w:tabs>
              <w:jc w:val="left"/>
            </w:pPr>
            <w:r w:rsidRPr="00584315">
              <w:t>2,474,965</w:t>
            </w:r>
          </w:p>
        </w:tc>
        <w:tc>
          <w:tcPr>
            <w:tcW w:w="1604" w:type="dxa"/>
            <w:vAlign w:val="bottom"/>
          </w:tcPr>
          <w:p w:rsidR="00D11B62" w:rsidRPr="00584315" w:rsidRDefault="00D11B62" w:rsidP="00D11B62">
            <w:pPr>
              <w:keepNext/>
              <w:keepLines/>
              <w:widowControl w:val="0"/>
              <w:tabs>
                <w:tab w:val="decimal" w:pos="1003"/>
              </w:tabs>
              <w:jc w:val="left"/>
            </w:pPr>
            <w:r w:rsidRPr="00584315">
              <w:t>–</w:t>
            </w:r>
          </w:p>
        </w:tc>
        <w:tc>
          <w:tcPr>
            <w:tcW w:w="1552" w:type="dxa"/>
            <w:vAlign w:val="bottom"/>
          </w:tcPr>
          <w:p w:rsidR="00D11B62" w:rsidRPr="00584315" w:rsidRDefault="00D11B62" w:rsidP="00D11B62">
            <w:pPr>
              <w:keepNext/>
              <w:keepLines/>
              <w:widowControl w:val="0"/>
              <w:tabs>
                <w:tab w:val="decimal" w:pos="1010"/>
              </w:tabs>
              <w:jc w:val="left"/>
            </w:pPr>
            <w:r w:rsidRPr="00584315">
              <w:t>495,241</w:t>
            </w:r>
          </w:p>
        </w:tc>
        <w:tc>
          <w:tcPr>
            <w:tcW w:w="1716" w:type="dxa"/>
            <w:vAlign w:val="bottom"/>
          </w:tcPr>
          <w:p w:rsidR="00D11B62" w:rsidRPr="00584315" w:rsidRDefault="00D11B62" w:rsidP="00D11B62">
            <w:pPr>
              <w:keepNext/>
              <w:keepLines/>
              <w:widowControl w:val="0"/>
              <w:tabs>
                <w:tab w:val="decimal" w:pos="1159"/>
              </w:tabs>
              <w:jc w:val="left"/>
            </w:pPr>
            <w:r w:rsidRPr="00584315">
              <w:t>393,218</w:t>
            </w:r>
          </w:p>
        </w:tc>
        <w:tc>
          <w:tcPr>
            <w:tcW w:w="1451" w:type="dxa"/>
            <w:vAlign w:val="bottom"/>
          </w:tcPr>
          <w:p w:rsidR="00D11B62" w:rsidRPr="00584315" w:rsidRDefault="00D11B62" w:rsidP="00D11B62">
            <w:pPr>
              <w:keepNext/>
              <w:keepLines/>
              <w:widowControl w:val="0"/>
              <w:tabs>
                <w:tab w:val="decimal" w:pos="1018"/>
              </w:tabs>
              <w:jc w:val="left"/>
            </w:pPr>
            <w:r w:rsidRPr="00584315">
              <w:t>102,023</w:t>
            </w:r>
          </w:p>
        </w:tc>
        <w:tc>
          <w:tcPr>
            <w:tcW w:w="1769" w:type="dxa"/>
            <w:vAlign w:val="bottom"/>
          </w:tcPr>
          <w:p w:rsidR="00D11B62" w:rsidRPr="00584315" w:rsidRDefault="00D11B62" w:rsidP="00D11B62">
            <w:pPr>
              <w:keepNext/>
              <w:keepLines/>
              <w:widowControl w:val="0"/>
              <w:tabs>
                <w:tab w:val="decimal" w:pos="701"/>
              </w:tabs>
              <w:jc w:val="left"/>
            </w:pPr>
            <w:r w:rsidRPr="00584315">
              <w:t>15.89</w:t>
            </w:r>
          </w:p>
        </w:tc>
      </w:tr>
      <w:tr w:rsidR="00D11B62" w:rsidRPr="00584315" w:rsidTr="00D11B62">
        <w:trPr>
          <w:jc w:val="center"/>
        </w:trPr>
        <w:tc>
          <w:tcPr>
            <w:tcW w:w="1310" w:type="dxa"/>
            <w:vAlign w:val="bottom"/>
          </w:tcPr>
          <w:p w:rsidR="00D11B62" w:rsidRPr="00584315" w:rsidRDefault="00D11B62" w:rsidP="00D11B62">
            <w:pPr>
              <w:keepNext/>
              <w:keepLines/>
              <w:widowControl w:val="0"/>
              <w:jc w:val="center"/>
            </w:pPr>
            <w:r w:rsidRPr="00584315">
              <w:t>2012</w:t>
            </w:r>
          </w:p>
        </w:tc>
        <w:tc>
          <w:tcPr>
            <w:tcW w:w="1012" w:type="dxa"/>
            <w:vAlign w:val="bottom"/>
          </w:tcPr>
          <w:p w:rsidR="00D11B62" w:rsidRPr="00584315" w:rsidRDefault="00D11B62" w:rsidP="00D11B62">
            <w:pPr>
              <w:keepNext/>
              <w:keepLines/>
              <w:widowControl w:val="0"/>
              <w:tabs>
                <w:tab w:val="decimal" w:pos="337"/>
              </w:tabs>
              <w:jc w:val="left"/>
            </w:pPr>
            <w:r w:rsidRPr="00584315">
              <w:t>16.52</w:t>
            </w:r>
          </w:p>
        </w:tc>
        <w:tc>
          <w:tcPr>
            <w:tcW w:w="1334" w:type="dxa"/>
            <w:vAlign w:val="bottom"/>
          </w:tcPr>
          <w:p w:rsidR="00D11B62" w:rsidRPr="00584315" w:rsidRDefault="00D11B62" w:rsidP="00D11B62">
            <w:pPr>
              <w:keepNext/>
              <w:keepLines/>
              <w:widowControl w:val="0"/>
              <w:tabs>
                <w:tab w:val="decimal" w:pos="995"/>
              </w:tabs>
              <w:jc w:val="left"/>
            </w:pPr>
            <w:r w:rsidRPr="00584315">
              <w:t>2,384,934</w:t>
            </w:r>
          </w:p>
        </w:tc>
        <w:tc>
          <w:tcPr>
            <w:tcW w:w="1604" w:type="dxa"/>
            <w:vAlign w:val="bottom"/>
          </w:tcPr>
          <w:p w:rsidR="00D11B62" w:rsidRPr="00584315" w:rsidRDefault="00D11B62" w:rsidP="00D11B62">
            <w:pPr>
              <w:keepNext/>
              <w:keepLines/>
              <w:widowControl w:val="0"/>
              <w:tabs>
                <w:tab w:val="decimal" w:pos="1003"/>
              </w:tabs>
              <w:jc w:val="left"/>
            </w:pPr>
            <w:r w:rsidRPr="00584315">
              <w:t>–</w:t>
            </w:r>
          </w:p>
        </w:tc>
        <w:tc>
          <w:tcPr>
            <w:tcW w:w="1552" w:type="dxa"/>
            <w:vAlign w:val="bottom"/>
          </w:tcPr>
          <w:p w:rsidR="00D11B62" w:rsidRPr="00584315" w:rsidRDefault="00D11B62" w:rsidP="00D11B62">
            <w:pPr>
              <w:keepNext/>
              <w:keepLines/>
              <w:widowControl w:val="0"/>
              <w:tabs>
                <w:tab w:val="decimal" w:pos="1010"/>
              </w:tabs>
              <w:jc w:val="left"/>
            </w:pPr>
            <w:r w:rsidRPr="00584315">
              <w:t>393,991</w:t>
            </w:r>
          </w:p>
        </w:tc>
        <w:tc>
          <w:tcPr>
            <w:tcW w:w="1716" w:type="dxa"/>
            <w:vAlign w:val="bottom"/>
          </w:tcPr>
          <w:p w:rsidR="00D11B62" w:rsidRPr="00584315" w:rsidRDefault="00D11B62" w:rsidP="00D11B62">
            <w:pPr>
              <w:keepNext/>
              <w:keepLines/>
              <w:widowControl w:val="0"/>
              <w:tabs>
                <w:tab w:val="decimal" w:pos="1159"/>
              </w:tabs>
              <w:jc w:val="left"/>
            </w:pPr>
            <w:r w:rsidRPr="00584315">
              <w:t>328,055</w:t>
            </w:r>
          </w:p>
        </w:tc>
        <w:tc>
          <w:tcPr>
            <w:tcW w:w="1451" w:type="dxa"/>
            <w:vAlign w:val="bottom"/>
          </w:tcPr>
          <w:p w:rsidR="00D11B62" w:rsidRPr="00584315" w:rsidRDefault="00D11B62" w:rsidP="00D11B62">
            <w:pPr>
              <w:keepNext/>
              <w:keepLines/>
              <w:widowControl w:val="0"/>
              <w:tabs>
                <w:tab w:val="decimal" w:pos="1018"/>
              </w:tabs>
              <w:jc w:val="left"/>
            </w:pPr>
            <w:r w:rsidRPr="00584315">
              <w:t>65,936</w:t>
            </w:r>
          </w:p>
        </w:tc>
        <w:tc>
          <w:tcPr>
            <w:tcW w:w="1769" w:type="dxa"/>
            <w:vAlign w:val="bottom"/>
          </w:tcPr>
          <w:p w:rsidR="00D11B62" w:rsidRPr="00584315" w:rsidRDefault="00D11B62" w:rsidP="00D11B62">
            <w:pPr>
              <w:keepNext/>
              <w:keepLines/>
              <w:widowControl w:val="0"/>
              <w:tabs>
                <w:tab w:val="decimal" w:pos="701"/>
              </w:tabs>
              <w:jc w:val="left"/>
            </w:pPr>
            <w:r w:rsidRPr="00584315">
              <w:t>13.76</w:t>
            </w:r>
          </w:p>
        </w:tc>
      </w:tr>
      <w:tr w:rsidR="00D11B62" w:rsidRPr="00584315" w:rsidTr="00D11B62">
        <w:trPr>
          <w:jc w:val="center"/>
        </w:trPr>
        <w:tc>
          <w:tcPr>
            <w:tcW w:w="1310" w:type="dxa"/>
            <w:vAlign w:val="bottom"/>
          </w:tcPr>
          <w:p w:rsidR="00D11B62" w:rsidRPr="00584315" w:rsidRDefault="00D11B62" w:rsidP="00D11B62">
            <w:pPr>
              <w:keepNext/>
              <w:keepLines/>
              <w:widowControl w:val="0"/>
              <w:jc w:val="center"/>
            </w:pPr>
            <w:r w:rsidRPr="00584315">
              <w:t>2011</w:t>
            </w:r>
          </w:p>
        </w:tc>
        <w:tc>
          <w:tcPr>
            <w:tcW w:w="1012" w:type="dxa"/>
            <w:vAlign w:val="bottom"/>
          </w:tcPr>
          <w:p w:rsidR="00D11B62" w:rsidRPr="00584315" w:rsidRDefault="00D11B62" w:rsidP="00D11B62">
            <w:pPr>
              <w:keepNext/>
              <w:keepLines/>
              <w:widowControl w:val="0"/>
              <w:tabs>
                <w:tab w:val="decimal" w:pos="337"/>
              </w:tabs>
              <w:jc w:val="left"/>
            </w:pPr>
            <w:r w:rsidRPr="00584315">
              <w:t>13.63</w:t>
            </w:r>
          </w:p>
        </w:tc>
        <w:tc>
          <w:tcPr>
            <w:tcW w:w="1334" w:type="dxa"/>
            <w:vAlign w:val="bottom"/>
          </w:tcPr>
          <w:p w:rsidR="00D11B62" w:rsidRPr="00584315" w:rsidRDefault="00D11B62" w:rsidP="00D11B62">
            <w:pPr>
              <w:keepNext/>
              <w:keepLines/>
              <w:widowControl w:val="0"/>
              <w:tabs>
                <w:tab w:val="decimal" w:pos="995"/>
              </w:tabs>
              <w:jc w:val="left"/>
            </w:pPr>
            <w:r w:rsidRPr="00584315">
              <w:t>2,393,791</w:t>
            </w:r>
          </w:p>
        </w:tc>
        <w:tc>
          <w:tcPr>
            <w:tcW w:w="1604" w:type="dxa"/>
            <w:vAlign w:val="bottom"/>
          </w:tcPr>
          <w:p w:rsidR="00D11B62" w:rsidRPr="00584315" w:rsidRDefault="00D11B62" w:rsidP="00D11B62">
            <w:pPr>
              <w:keepNext/>
              <w:keepLines/>
              <w:widowControl w:val="0"/>
              <w:tabs>
                <w:tab w:val="decimal" w:pos="1003"/>
              </w:tabs>
              <w:jc w:val="left"/>
            </w:pPr>
            <w:r w:rsidRPr="00584315">
              <w:t>–</w:t>
            </w:r>
          </w:p>
        </w:tc>
        <w:tc>
          <w:tcPr>
            <w:tcW w:w="1552" w:type="dxa"/>
            <w:vAlign w:val="bottom"/>
          </w:tcPr>
          <w:p w:rsidR="00D11B62" w:rsidRPr="00584315" w:rsidRDefault="00D11B62" w:rsidP="00D11B62">
            <w:pPr>
              <w:keepNext/>
              <w:keepLines/>
              <w:widowControl w:val="0"/>
              <w:tabs>
                <w:tab w:val="decimal" w:pos="1010"/>
              </w:tabs>
              <w:jc w:val="left"/>
            </w:pPr>
            <w:r w:rsidRPr="00584315">
              <w:t>326,274</w:t>
            </w:r>
          </w:p>
        </w:tc>
        <w:tc>
          <w:tcPr>
            <w:tcW w:w="1716" w:type="dxa"/>
            <w:vAlign w:val="bottom"/>
          </w:tcPr>
          <w:p w:rsidR="00D11B62" w:rsidRPr="00584315" w:rsidRDefault="00D11B62" w:rsidP="00D11B62">
            <w:pPr>
              <w:keepNext/>
              <w:keepLines/>
              <w:widowControl w:val="0"/>
              <w:tabs>
                <w:tab w:val="decimal" w:pos="1159"/>
              </w:tabs>
              <w:jc w:val="left"/>
            </w:pPr>
            <w:r w:rsidRPr="00584315">
              <w:t>277,122</w:t>
            </w:r>
          </w:p>
        </w:tc>
        <w:tc>
          <w:tcPr>
            <w:tcW w:w="1451" w:type="dxa"/>
            <w:vAlign w:val="bottom"/>
          </w:tcPr>
          <w:p w:rsidR="00D11B62" w:rsidRPr="00584315" w:rsidRDefault="00D11B62" w:rsidP="00D11B62">
            <w:pPr>
              <w:keepNext/>
              <w:keepLines/>
              <w:widowControl w:val="0"/>
              <w:tabs>
                <w:tab w:val="decimal" w:pos="1018"/>
              </w:tabs>
              <w:jc w:val="left"/>
            </w:pPr>
            <w:r w:rsidRPr="00584315">
              <w:t>49,152</w:t>
            </w:r>
          </w:p>
        </w:tc>
        <w:tc>
          <w:tcPr>
            <w:tcW w:w="1769" w:type="dxa"/>
            <w:vAlign w:val="bottom"/>
          </w:tcPr>
          <w:p w:rsidR="00D11B62" w:rsidRPr="00584315" w:rsidRDefault="00D11B62" w:rsidP="00D11B62">
            <w:pPr>
              <w:keepNext/>
              <w:keepLines/>
              <w:widowControl w:val="0"/>
              <w:tabs>
                <w:tab w:val="decimal" w:pos="701"/>
              </w:tabs>
              <w:jc w:val="left"/>
            </w:pPr>
            <w:r w:rsidRPr="00584315">
              <w:t>11.58</w:t>
            </w:r>
          </w:p>
        </w:tc>
      </w:tr>
      <w:tr w:rsidR="00D11B62" w:rsidRPr="00584315" w:rsidTr="00D11B62">
        <w:trPr>
          <w:jc w:val="center"/>
        </w:trPr>
        <w:tc>
          <w:tcPr>
            <w:tcW w:w="1310" w:type="dxa"/>
            <w:vAlign w:val="bottom"/>
          </w:tcPr>
          <w:p w:rsidR="00D11B62" w:rsidRPr="00584315" w:rsidRDefault="00D11B62" w:rsidP="00D11B62">
            <w:pPr>
              <w:keepNext/>
              <w:keepLines/>
              <w:widowControl w:val="0"/>
              <w:jc w:val="center"/>
            </w:pPr>
            <w:r w:rsidRPr="00584315">
              <w:t>2010</w:t>
            </w:r>
          </w:p>
        </w:tc>
        <w:tc>
          <w:tcPr>
            <w:tcW w:w="1012" w:type="dxa"/>
            <w:vAlign w:val="bottom"/>
          </w:tcPr>
          <w:p w:rsidR="00D11B62" w:rsidRPr="00584315" w:rsidRDefault="00D11B62" w:rsidP="00D11B62">
            <w:pPr>
              <w:keepNext/>
              <w:keepLines/>
              <w:widowControl w:val="0"/>
              <w:tabs>
                <w:tab w:val="decimal" w:pos="337"/>
              </w:tabs>
              <w:jc w:val="left"/>
            </w:pPr>
            <w:r w:rsidRPr="00584315">
              <w:t>18.93</w:t>
            </w:r>
          </w:p>
        </w:tc>
        <w:tc>
          <w:tcPr>
            <w:tcW w:w="1334" w:type="dxa"/>
            <w:vAlign w:val="bottom"/>
          </w:tcPr>
          <w:p w:rsidR="00D11B62" w:rsidRPr="00584315" w:rsidRDefault="00D11B62" w:rsidP="00D11B62">
            <w:pPr>
              <w:keepNext/>
              <w:keepLines/>
              <w:widowControl w:val="0"/>
              <w:tabs>
                <w:tab w:val="decimal" w:pos="995"/>
              </w:tabs>
              <w:jc w:val="left"/>
            </w:pPr>
            <w:r w:rsidRPr="00584315">
              <w:t>2,392,080</w:t>
            </w:r>
          </w:p>
        </w:tc>
        <w:tc>
          <w:tcPr>
            <w:tcW w:w="1604" w:type="dxa"/>
            <w:vAlign w:val="bottom"/>
          </w:tcPr>
          <w:p w:rsidR="00D11B62" w:rsidRPr="00584315" w:rsidRDefault="00D11B62" w:rsidP="00D11B62">
            <w:pPr>
              <w:keepNext/>
              <w:keepLines/>
              <w:widowControl w:val="0"/>
              <w:tabs>
                <w:tab w:val="decimal" w:pos="1003"/>
              </w:tabs>
              <w:jc w:val="left"/>
            </w:pPr>
            <w:r w:rsidRPr="00584315">
              <w:t>–</w:t>
            </w:r>
          </w:p>
        </w:tc>
        <w:tc>
          <w:tcPr>
            <w:tcW w:w="1552" w:type="dxa"/>
            <w:vAlign w:val="bottom"/>
          </w:tcPr>
          <w:p w:rsidR="00D11B62" w:rsidRPr="00584315" w:rsidRDefault="00D11B62" w:rsidP="00D11B62">
            <w:pPr>
              <w:keepNext/>
              <w:keepLines/>
              <w:widowControl w:val="0"/>
              <w:tabs>
                <w:tab w:val="decimal" w:pos="1010"/>
              </w:tabs>
              <w:jc w:val="left"/>
            </w:pPr>
            <w:r w:rsidRPr="00584315">
              <w:t>452,821</w:t>
            </w:r>
          </w:p>
        </w:tc>
        <w:tc>
          <w:tcPr>
            <w:tcW w:w="1716" w:type="dxa"/>
            <w:vAlign w:val="bottom"/>
          </w:tcPr>
          <w:p w:rsidR="00D11B62" w:rsidRPr="00584315" w:rsidRDefault="00D11B62" w:rsidP="00D11B62">
            <w:pPr>
              <w:keepNext/>
              <w:keepLines/>
              <w:widowControl w:val="0"/>
              <w:tabs>
                <w:tab w:val="decimal" w:pos="1159"/>
              </w:tabs>
              <w:jc w:val="left"/>
            </w:pPr>
            <w:r w:rsidRPr="00584315">
              <w:t>282,640</w:t>
            </w:r>
          </w:p>
        </w:tc>
        <w:tc>
          <w:tcPr>
            <w:tcW w:w="1451" w:type="dxa"/>
            <w:vAlign w:val="bottom"/>
          </w:tcPr>
          <w:p w:rsidR="00D11B62" w:rsidRPr="00584315" w:rsidRDefault="00D11B62" w:rsidP="00D11B62">
            <w:pPr>
              <w:keepNext/>
              <w:keepLines/>
              <w:widowControl w:val="0"/>
              <w:tabs>
                <w:tab w:val="decimal" w:pos="1018"/>
              </w:tabs>
              <w:jc w:val="left"/>
            </w:pPr>
            <w:r w:rsidRPr="00584315">
              <w:t>170,181</w:t>
            </w:r>
          </w:p>
        </w:tc>
        <w:tc>
          <w:tcPr>
            <w:tcW w:w="1769" w:type="dxa"/>
            <w:vAlign w:val="bottom"/>
          </w:tcPr>
          <w:p w:rsidR="00D11B62" w:rsidRPr="00584315" w:rsidRDefault="00D11B62" w:rsidP="00D11B62">
            <w:pPr>
              <w:keepNext/>
              <w:keepLines/>
              <w:widowControl w:val="0"/>
              <w:tabs>
                <w:tab w:val="decimal" w:pos="701"/>
              </w:tabs>
              <w:jc w:val="left"/>
            </w:pPr>
            <w:r w:rsidRPr="00584315">
              <w:t>11.82</w:t>
            </w:r>
          </w:p>
        </w:tc>
      </w:tr>
      <w:tr w:rsidR="00D11B62" w:rsidRPr="00584315" w:rsidTr="00D11B62">
        <w:trPr>
          <w:jc w:val="center"/>
        </w:trPr>
        <w:tc>
          <w:tcPr>
            <w:tcW w:w="11748" w:type="dxa"/>
            <w:gridSpan w:val="8"/>
            <w:vAlign w:val="bottom"/>
          </w:tcPr>
          <w:p w:rsidR="00D11B62" w:rsidRPr="00584315" w:rsidRDefault="00D11B62" w:rsidP="00D11B62">
            <w:pPr>
              <w:keepNext/>
              <w:keepLines/>
              <w:widowControl w:val="0"/>
              <w:rPr>
                <w:sz w:val="18"/>
                <w:szCs w:val="18"/>
              </w:rPr>
            </w:pPr>
            <w:r w:rsidRPr="00584315">
              <w:rPr>
                <w:sz w:val="18"/>
                <w:szCs w:val="18"/>
              </w:rPr>
              <w:t>____________________</w:t>
            </w:r>
          </w:p>
          <w:p w:rsidR="00D11B62" w:rsidRPr="00584315" w:rsidRDefault="00D11B62" w:rsidP="00D11B62">
            <w:pPr>
              <w:keepNext/>
              <w:keepLines/>
              <w:widowControl w:val="0"/>
              <w:ind w:left="190" w:hanging="190"/>
              <w:rPr>
                <w:sz w:val="18"/>
                <w:szCs w:val="18"/>
              </w:rPr>
            </w:pPr>
            <w:r w:rsidRPr="00584315">
              <w:rPr>
                <w:sz w:val="18"/>
                <w:szCs w:val="18"/>
                <w:vertAlign w:val="superscript"/>
              </w:rPr>
              <w:t>1</w:t>
            </w:r>
            <w:r w:rsidRPr="00584315">
              <w:rPr>
                <w:sz w:val="18"/>
                <w:szCs w:val="18"/>
              </w:rPr>
              <w:t xml:space="preserve"> </w:t>
            </w:r>
            <w:r w:rsidRPr="00584315">
              <w:rPr>
                <w:sz w:val="18"/>
                <w:szCs w:val="18"/>
              </w:rPr>
              <w:tab/>
              <w:t>See the discussion preceding this table regarding the actuarial methods and assumptions used in determining the ADC rates.</w:t>
            </w:r>
          </w:p>
          <w:p w:rsidR="00D11B62" w:rsidRPr="00584315" w:rsidRDefault="00D11B62" w:rsidP="00D11B62">
            <w:pPr>
              <w:keepNext/>
              <w:keepLines/>
              <w:widowControl w:val="0"/>
              <w:ind w:left="190" w:hanging="190"/>
              <w:rPr>
                <w:sz w:val="18"/>
                <w:szCs w:val="18"/>
              </w:rPr>
            </w:pPr>
            <w:r w:rsidRPr="00584315">
              <w:rPr>
                <w:sz w:val="18"/>
                <w:szCs w:val="18"/>
                <w:vertAlign w:val="superscript"/>
              </w:rPr>
              <w:t>2</w:t>
            </w:r>
            <w:r w:rsidRPr="00584315">
              <w:rPr>
                <w:sz w:val="18"/>
                <w:szCs w:val="18"/>
              </w:rPr>
              <w:t xml:space="preserve"> </w:t>
            </w:r>
            <w:r w:rsidRPr="00584315">
              <w:rPr>
                <w:sz w:val="18"/>
                <w:szCs w:val="18"/>
              </w:rPr>
              <w:tab/>
              <w:t>The Annual Increase Reserve, or “AIR,” was established in 2007 and is used to provide post-retirement benefit increases for members hired on or after January 1, 2007.  The AIR is financed by an allocation from employer statutory contributions made on behalf of such members equal to 100% of pensionable payroll and through an allocation of purchase of service dollars.  For further information see the PERA 2019 CAFR.</w:t>
            </w:r>
          </w:p>
          <w:p w:rsidR="00D11B62" w:rsidRPr="00584315" w:rsidRDefault="00D11B62" w:rsidP="00D11B62">
            <w:pPr>
              <w:keepNext/>
              <w:keepLines/>
              <w:widowControl w:val="0"/>
              <w:ind w:left="190" w:hanging="190"/>
              <w:rPr>
                <w:sz w:val="18"/>
                <w:szCs w:val="18"/>
              </w:rPr>
            </w:pPr>
            <w:r w:rsidRPr="00584315">
              <w:rPr>
                <w:sz w:val="18"/>
                <w:szCs w:val="18"/>
                <w:vertAlign w:val="superscript"/>
              </w:rPr>
              <w:t>3</w:t>
            </w:r>
            <w:r w:rsidRPr="00584315">
              <w:rPr>
                <w:sz w:val="18"/>
                <w:szCs w:val="18"/>
              </w:rPr>
              <w:t xml:space="preserve"> </w:t>
            </w:r>
            <w:r w:rsidRPr="00584315">
              <w:rPr>
                <w:sz w:val="18"/>
                <w:szCs w:val="18"/>
              </w:rPr>
              <w:tab/>
              <w:t>The ADC contribution equals the sum of (a) the ADC rate times the covered employee payroll, plus (b) the AIR.</w:t>
            </w:r>
          </w:p>
          <w:p w:rsidR="00D11B62" w:rsidRPr="00584315" w:rsidRDefault="00D11B62" w:rsidP="00D11B62">
            <w:pPr>
              <w:keepNext/>
              <w:keepLines/>
              <w:widowControl w:val="0"/>
              <w:rPr>
                <w:sz w:val="18"/>
                <w:szCs w:val="18"/>
              </w:rPr>
            </w:pPr>
            <w:r w:rsidRPr="00584315">
              <w:rPr>
                <w:sz w:val="18"/>
                <w:szCs w:val="18"/>
              </w:rPr>
              <w:t>Source: PERA 2019 CAFR</w:t>
            </w:r>
          </w:p>
        </w:tc>
      </w:tr>
    </w:tbl>
    <w:p w:rsidR="00D11B62" w:rsidRDefault="00D11B62" w:rsidP="00347EFC"/>
    <w:p w:rsidR="00D11B62" w:rsidRDefault="00D11B62" w:rsidP="00D11B62">
      <w:pPr>
        <w:pStyle w:val="BodyText1"/>
      </w:pPr>
      <w:r>
        <w:t>For historical information regarding employer contributions based on the ARC, see PERA’s Comprehensive Annual Financial Report for calendar year 2013 and Note 6 to the State’s Fiscal Year 2018-19 CAFR appended to this Official Statement.</w:t>
      </w:r>
    </w:p>
    <w:p w:rsidR="00D11B62" w:rsidRDefault="00D11B62" w:rsidP="00D11B62">
      <w:pPr>
        <w:pStyle w:val="OSappendixsubheading0"/>
      </w:pPr>
      <w:r>
        <w:t>Funding Status of the State Division Plan</w:t>
      </w:r>
    </w:p>
    <w:p w:rsidR="00D11B62" w:rsidRDefault="00D11B62" w:rsidP="00D11B62">
      <w:pPr>
        <w:pStyle w:val="BodyText1"/>
      </w:pPr>
      <w:r>
        <w:t>The State Division Plan currently is significantly underfunded.  As discussed in “ – Funding of the State Division Plan – Statutorily Required Contributions” above, the AED and SAED were implemented in 2006 and 2008, respectively, and other changes were made to the Plan design by S.B. 10-001, all in an effort to improve the funding status of the State Division Plan.  However, investment returns on Plan assets declined following the global economic downturn that began in 2008.  As a result, the actuarial assumptions as to the investment rate of return on Plan assets and the discount rate on actuarially accrued liabilities were lowered by the PERA Board from 8.50% to 8.00% in 2009, to 7.50% at the end of 2013 and to 7.25% as of December 31, 2017, and other economic assumptions, including the amortization period, were changed over this period as well, to reflect actual results and new estimates about the future.  Notwithstanding these changes, PERA reported that at December 31, 2016, the State Division Plan a UAAL of approximately $11.644 billion and a funded ratio (i.e., the actuarial value of Plan assets divided by the AAL) of only 54.6%, which UAAL would have amortized over a 65-year period based on contribution rates as of the date of calculation.</w:t>
      </w:r>
    </w:p>
    <w:p w:rsidR="00D11B62" w:rsidRDefault="00D11B62" w:rsidP="00D11B62">
      <w:pPr>
        <w:pStyle w:val="BodyText1"/>
      </w:pPr>
      <w:r>
        <w:t>In order to address the funding status of PERA’s defined benefit plans, including the State Division Plan, in 2018 the General Assembly enacted S.B. 18-200 which made changes to the defined benefit plans administered by PERA with the goal of eliminating the UAAL of such plans, and thereby reach a 100% funded ratio for each of such plans, within a 30-year period.  Among other things, S.B. 18-200 phases-in a 2% increase in contribution rates for most employees, suspended the cost of living adjustment for retirees through 2019, changes the definition of salary and highest average salary, reduces maximum annual cost of living adjustments, adjusts employee and employer contribution rates, funds unfunded PERA liability from political subdivisions that terminate their affiliation with PERA and provides for a direct annual distribution to PERA from the State General Fund of $225 million (actual dollars) beginning with Fiscal Year 2018-19, although, per H.B. 20-1379, due to the actual and forecast impact of the COVID-19 pandemic on the State’s revenues in Fiscal Years 2019-20 and 2020-21, this distribution has been suspended for Fiscal Year 2020-21, as discussed in “ – Funding of the State Division Plan – Statutorily Required Contributions” above.  S.B. 18-200 also provides for automatic adjustments to employee and employer contribution rates, annual cost of living increases and the State’s annual direct contribution to PERA within certain statutory parameters so as to stay within the 30-year funding goal.  Previously, such adjustments required action by the General Assembly.  For further information regarding S.B. 18-200, see Note 6 to the State’s Fiscal Year 2018-19 CAFR appended to this Official Statement and the PERA 2019 CAFR.</w:t>
      </w:r>
    </w:p>
    <w:p w:rsidR="00D11B62" w:rsidRDefault="00D11B62" w:rsidP="00D11B62">
      <w:pPr>
        <w:pStyle w:val="BodyText1"/>
      </w:pPr>
      <w:r>
        <w:t>The PERA 2019 CAFR reports that, at December 31, 2019, the actuarial value of assets of the State Division Plan was approximately $14.922 billion and the AAL of the Plan was approximately $25.718 billion, resulting in a UAAL of approximately $10.796 billion, a funded ratio of 58.0% and an amortization period, both before and after consideration of H.B. 20-1379, of 27 years</w:t>
      </w:r>
      <w:r>
        <w:rPr>
          <w:rStyle w:val="FootnoteReference"/>
        </w:rPr>
        <w:footnoteReference w:id="10"/>
      </w:r>
      <w:r>
        <w:t>.  The actuarial value of assets of the State Division Plan is determined by using an asset valuation method of smoothing the difference between the market value of assets and the actuarial value of assets over a four-year period to prevent extreme fluctuations that may result from short term or cyclical economic and market conditions.  Based on the market value of assets of the State Division Plan, the PERA 2019 CAFR reports that at December 31, 2019, the UAAL of the Plan was approximately $9.898 billion and the funded ratio was 61.5%.</w:t>
      </w:r>
    </w:p>
    <w:p w:rsidR="00D11B62" w:rsidRDefault="00D11B62" w:rsidP="00D11B62">
      <w:pPr>
        <w:pStyle w:val="BodyText1"/>
      </w:pPr>
      <w:r>
        <w:t>For further information, see Management’s Discussion and Analysis in the State’s Fiscal Year 2018-19 CAFR appended to this Official Statement, as well as Management’s Discussion and Analysis, Notes 10 and 12 to the financial statements, Note 2 to the required supplementary information for the Division trust funds and the Actuarial Section in the PERA 2019 CAFR.</w:t>
      </w:r>
    </w:p>
    <w:p w:rsidR="00D11B62" w:rsidRDefault="00D11B62" w:rsidP="00D11B62">
      <w:pPr>
        <w:pStyle w:val="BodyText1"/>
      </w:pPr>
      <w:r>
        <w:t xml:space="preserve">Table 2 below sets forth for each of the past ten years the UAAL, the funded ratio and related information for the State Division Plan based on the actuarial value of Plan assets, and Table 3 below sets forth such information based on the market value of Plan assets.  </w:t>
      </w:r>
    </w:p>
    <w:p w:rsidR="00D11B62" w:rsidRDefault="00D11B62" w:rsidP="00D11B62">
      <w:pPr>
        <w:pStyle w:val="BodyText1"/>
      </w:pPr>
      <w:r>
        <w:t>The actuarial valuation for funding purposes in the PERA 2019 CAFR was performed as of December 31, 2019, and the actuarial valuation for accounting and financial reporting purposes in the PERA 2019 CAFR was performed as of December 31, 2018, and the total pension liability was rolled forward to the measurement date of December 31, 2019, utilizing generally accepted actuarial techniques.</w:t>
      </w:r>
    </w:p>
    <w:p w:rsidR="00D11B62" w:rsidRDefault="00D11B62" w:rsidP="00D11B62">
      <w:pPr>
        <w:pStyle w:val="BodyText1"/>
      </w:pPr>
      <w:r>
        <w:t>When calculating the AAL of the State Division Plan in Tables 2 and 3 below, the following actuarial methods, assumptions and inputs, among others, were used: (i) price inflation is assumed to be 2.40%; (ii) real wage growth is assumed to be 1.10%; (iii) salary increases (including assumed wage inflation of 3.50%) are projected to range from 3.50% to 9.17%; (iv) the long term investment rate of return (net of pension plan investment expense, including price inflation) and discount rate are assumed to be 7.25%; and (v) cost of living adjustments for pre-2007 hires are assumed to be 0% through 2019 and 1.25% per year compounded annually thereafter, and cost of living adjustments for post 2006 hires are assumed to be financed by the AIR.  Other assumptions include, without limitation, future retiree participation and contribution rates and mortality rates.  For further information, see Note 10 to the financial statements and the Actuarial Section in the PERA 2019 CAFR.</w:t>
      </w:r>
    </w:p>
    <w:tbl>
      <w:tblPr>
        <w:tblStyle w:val="TableGrid30"/>
        <w:tblW w:w="110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3"/>
        <w:gridCol w:w="1573"/>
        <w:gridCol w:w="1573"/>
        <w:gridCol w:w="1573"/>
        <w:gridCol w:w="1573"/>
        <w:gridCol w:w="1573"/>
        <w:gridCol w:w="1574"/>
      </w:tblGrid>
      <w:tr w:rsidR="00D11B62" w:rsidRPr="00584315" w:rsidTr="00D11B62">
        <w:trPr>
          <w:jc w:val="center"/>
        </w:trPr>
        <w:tc>
          <w:tcPr>
            <w:tcW w:w="11012" w:type="dxa"/>
            <w:gridSpan w:val="7"/>
            <w:vAlign w:val="bottom"/>
          </w:tcPr>
          <w:p w:rsidR="00D11B62" w:rsidRPr="00584315" w:rsidRDefault="00D11B62" w:rsidP="00D11B62">
            <w:pPr>
              <w:spacing w:after="240"/>
              <w:jc w:val="center"/>
            </w:pPr>
            <w:r w:rsidRPr="00584315">
              <w:t>Table 2</w:t>
            </w:r>
            <w:r w:rsidRPr="00584315">
              <w:br/>
              <w:t>Historical Funding Progress of State Division Plan</w:t>
            </w:r>
            <w:r w:rsidRPr="00584315">
              <w:br/>
              <w:t>Actuarial Value of Plan Assets</w:t>
            </w:r>
            <w:r w:rsidRPr="00584315">
              <w:br/>
            </w:r>
            <w:r w:rsidRPr="00584315">
              <w:rPr>
                <w:sz w:val="18"/>
                <w:szCs w:val="18"/>
              </w:rPr>
              <w:t>(Dollar Amounts in Thousands)</w:t>
            </w:r>
          </w:p>
        </w:tc>
      </w:tr>
      <w:tr w:rsidR="00D11B62" w:rsidRPr="00584315" w:rsidTr="00D11B62">
        <w:trPr>
          <w:jc w:val="center"/>
        </w:trPr>
        <w:tc>
          <w:tcPr>
            <w:tcW w:w="1573" w:type="dxa"/>
            <w:vAlign w:val="bottom"/>
          </w:tcPr>
          <w:p w:rsidR="00D11B62" w:rsidRPr="00584315" w:rsidRDefault="00D11B62" w:rsidP="00D11B62">
            <w:pPr>
              <w:pBdr>
                <w:bottom w:val="single" w:sz="4" w:space="1" w:color="auto"/>
              </w:pBdr>
              <w:spacing w:after="120"/>
              <w:jc w:val="center"/>
            </w:pPr>
            <w:r w:rsidRPr="00584315">
              <w:t>Valuation</w:t>
            </w:r>
            <w:r w:rsidRPr="00584315">
              <w:br/>
              <w:t>Date</w:t>
            </w:r>
            <w:r w:rsidRPr="00584315">
              <w:br/>
              <w:t>(December 31)</w:t>
            </w:r>
          </w:p>
        </w:tc>
        <w:tc>
          <w:tcPr>
            <w:tcW w:w="1573" w:type="dxa"/>
            <w:vAlign w:val="bottom"/>
          </w:tcPr>
          <w:p w:rsidR="00D11B62" w:rsidRPr="00584315" w:rsidRDefault="00D11B62" w:rsidP="00D11B62">
            <w:pPr>
              <w:pBdr>
                <w:bottom w:val="single" w:sz="4" w:space="1" w:color="auto"/>
              </w:pBdr>
              <w:spacing w:after="120"/>
              <w:jc w:val="center"/>
            </w:pPr>
            <w:r w:rsidRPr="00584315">
              <w:t>Actuarial Value of Plan Assets</w:t>
            </w:r>
            <w:r w:rsidRPr="00584315">
              <w:rPr>
                <w:vertAlign w:val="superscript"/>
              </w:rPr>
              <w:t>*</w:t>
            </w:r>
          </w:p>
        </w:tc>
        <w:tc>
          <w:tcPr>
            <w:tcW w:w="1573" w:type="dxa"/>
            <w:vAlign w:val="bottom"/>
          </w:tcPr>
          <w:p w:rsidR="00D11B62" w:rsidRPr="00584315" w:rsidRDefault="00D11B62" w:rsidP="00D11B62">
            <w:pPr>
              <w:pBdr>
                <w:bottom w:val="single" w:sz="4" w:space="1" w:color="auto"/>
              </w:pBdr>
              <w:spacing w:after="120"/>
              <w:jc w:val="center"/>
            </w:pPr>
            <w:r w:rsidRPr="00584315">
              <w:t>Actuarial Accrued Liability (AAL)</w:t>
            </w:r>
          </w:p>
        </w:tc>
        <w:tc>
          <w:tcPr>
            <w:tcW w:w="1573" w:type="dxa"/>
            <w:vAlign w:val="bottom"/>
          </w:tcPr>
          <w:p w:rsidR="00D11B62" w:rsidRPr="00584315" w:rsidRDefault="00D11B62" w:rsidP="00D11B62">
            <w:pPr>
              <w:pBdr>
                <w:bottom w:val="single" w:sz="4" w:space="1" w:color="auto"/>
              </w:pBdr>
              <w:spacing w:after="120"/>
              <w:jc w:val="center"/>
            </w:pPr>
            <w:r w:rsidRPr="00584315">
              <w:t>Unfunded Actuarial Accrued Liability (UAAL)</w:t>
            </w:r>
          </w:p>
        </w:tc>
        <w:tc>
          <w:tcPr>
            <w:tcW w:w="1573" w:type="dxa"/>
            <w:vAlign w:val="bottom"/>
          </w:tcPr>
          <w:p w:rsidR="00D11B62" w:rsidRPr="00584315" w:rsidRDefault="00D11B62" w:rsidP="00D11B62">
            <w:pPr>
              <w:pBdr>
                <w:bottom w:val="single" w:sz="4" w:space="1" w:color="auto"/>
              </w:pBdr>
              <w:spacing w:after="120"/>
              <w:jc w:val="center"/>
            </w:pPr>
            <w:r w:rsidRPr="00584315">
              <w:t>Funded Ratio</w:t>
            </w:r>
          </w:p>
        </w:tc>
        <w:tc>
          <w:tcPr>
            <w:tcW w:w="1573" w:type="dxa"/>
            <w:vAlign w:val="bottom"/>
          </w:tcPr>
          <w:p w:rsidR="00D11B62" w:rsidRPr="00584315" w:rsidRDefault="00D11B62" w:rsidP="00D11B62">
            <w:pPr>
              <w:pBdr>
                <w:bottom w:val="single" w:sz="4" w:space="1" w:color="auto"/>
              </w:pBdr>
              <w:spacing w:after="120"/>
              <w:jc w:val="center"/>
            </w:pPr>
            <w:r w:rsidRPr="00584315">
              <w:t>Employer Payroll</w:t>
            </w:r>
          </w:p>
        </w:tc>
        <w:tc>
          <w:tcPr>
            <w:tcW w:w="1574" w:type="dxa"/>
            <w:vAlign w:val="bottom"/>
          </w:tcPr>
          <w:p w:rsidR="00D11B62" w:rsidRPr="00584315" w:rsidRDefault="00D11B62" w:rsidP="00D11B62">
            <w:pPr>
              <w:pBdr>
                <w:bottom w:val="single" w:sz="4" w:space="1" w:color="auto"/>
              </w:pBdr>
              <w:spacing w:after="120"/>
              <w:jc w:val="center"/>
            </w:pPr>
            <w:r w:rsidRPr="00584315">
              <w:t>UAAL as a Percentage of Employer Payroll</w:t>
            </w:r>
          </w:p>
        </w:tc>
      </w:tr>
      <w:tr w:rsidR="00D11B62" w:rsidRPr="00584315" w:rsidTr="00D11B62">
        <w:trPr>
          <w:jc w:val="center"/>
        </w:trPr>
        <w:tc>
          <w:tcPr>
            <w:tcW w:w="1573" w:type="dxa"/>
            <w:vAlign w:val="bottom"/>
          </w:tcPr>
          <w:p w:rsidR="00D11B62" w:rsidRPr="00584315" w:rsidRDefault="00D11B62" w:rsidP="00D11B62">
            <w:pPr>
              <w:jc w:val="center"/>
            </w:pPr>
            <w:r w:rsidRPr="00584315">
              <w:t>2019</w:t>
            </w:r>
          </w:p>
        </w:tc>
        <w:tc>
          <w:tcPr>
            <w:tcW w:w="1573" w:type="dxa"/>
            <w:vAlign w:val="bottom"/>
          </w:tcPr>
          <w:p w:rsidR="00D11B62" w:rsidRPr="00584315" w:rsidRDefault="00D11B62" w:rsidP="00D11B62">
            <w:pPr>
              <w:tabs>
                <w:tab w:val="decimal" w:pos="1170"/>
              </w:tabs>
              <w:jc w:val="left"/>
            </w:pPr>
            <w:r w:rsidRPr="00584315">
              <w:t>$14,922,050</w:t>
            </w:r>
          </w:p>
        </w:tc>
        <w:tc>
          <w:tcPr>
            <w:tcW w:w="1573" w:type="dxa"/>
            <w:vAlign w:val="bottom"/>
          </w:tcPr>
          <w:p w:rsidR="00D11B62" w:rsidRPr="00584315" w:rsidRDefault="00D11B62" w:rsidP="00D11B62">
            <w:pPr>
              <w:tabs>
                <w:tab w:val="decimal" w:pos="1170"/>
              </w:tabs>
              <w:jc w:val="left"/>
            </w:pPr>
            <w:r w:rsidRPr="00584315">
              <w:t>$25,717,648</w:t>
            </w:r>
          </w:p>
        </w:tc>
        <w:tc>
          <w:tcPr>
            <w:tcW w:w="1573" w:type="dxa"/>
            <w:vAlign w:val="bottom"/>
          </w:tcPr>
          <w:p w:rsidR="00D11B62" w:rsidRPr="00584315" w:rsidRDefault="00D11B62" w:rsidP="00D11B62">
            <w:pPr>
              <w:tabs>
                <w:tab w:val="decimal" w:pos="1170"/>
              </w:tabs>
              <w:jc w:val="left"/>
            </w:pPr>
            <w:r w:rsidRPr="00584315">
              <w:t>$10,795,598</w:t>
            </w:r>
          </w:p>
        </w:tc>
        <w:tc>
          <w:tcPr>
            <w:tcW w:w="1573" w:type="dxa"/>
            <w:vAlign w:val="bottom"/>
          </w:tcPr>
          <w:p w:rsidR="00D11B62" w:rsidRPr="00584315" w:rsidRDefault="00D11B62" w:rsidP="00D11B62">
            <w:pPr>
              <w:tabs>
                <w:tab w:val="decimal" w:pos="645"/>
              </w:tabs>
              <w:jc w:val="left"/>
            </w:pPr>
            <w:r w:rsidRPr="00584315">
              <w:t>58.0%</w:t>
            </w:r>
          </w:p>
        </w:tc>
        <w:tc>
          <w:tcPr>
            <w:tcW w:w="1573" w:type="dxa"/>
            <w:vAlign w:val="bottom"/>
          </w:tcPr>
          <w:p w:rsidR="00D11B62" w:rsidRPr="00584315" w:rsidRDefault="00D11B62" w:rsidP="00D11B62">
            <w:pPr>
              <w:tabs>
                <w:tab w:val="decimal" w:pos="1108"/>
              </w:tabs>
              <w:jc w:val="left"/>
            </w:pPr>
            <w:r w:rsidRPr="00584315">
              <w:t>$2,995,453</w:t>
            </w:r>
          </w:p>
        </w:tc>
        <w:tc>
          <w:tcPr>
            <w:tcW w:w="1574" w:type="dxa"/>
            <w:vAlign w:val="bottom"/>
          </w:tcPr>
          <w:p w:rsidR="00D11B62" w:rsidRPr="00584315" w:rsidRDefault="00D11B62" w:rsidP="00D11B62">
            <w:pPr>
              <w:tabs>
                <w:tab w:val="decimal" w:pos="730"/>
              </w:tabs>
              <w:jc w:val="left"/>
            </w:pPr>
            <w:r w:rsidRPr="00584315">
              <w:t>360.4%</w:t>
            </w:r>
          </w:p>
        </w:tc>
      </w:tr>
      <w:tr w:rsidR="00D11B62" w:rsidRPr="00584315" w:rsidTr="00D11B62">
        <w:trPr>
          <w:jc w:val="center"/>
        </w:trPr>
        <w:tc>
          <w:tcPr>
            <w:tcW w:w="1573" w:type="dxa"/>
            <w:vAlign w:val="bottom"/>
          </w:tcPr>
          <w:p w:rsidR="00D11B62" w:rsidRPr="00584315" w:rsidRDefault="00D11B62" w:rsidP="00D11B62">
            <w:pPr>
              <w:jc w:val="center"/>
            </w:pPr>
            <w:r w:rsidRPr="00584315">
              <w:t>2018</w:t>
            </w:r>
          </w:p>
        </w:tc>
        <w:tc>
          <w:tcPr>
            <w:tcW w:w="1573" w:type="dxa"/>
            <w:vAlign w:val="bottom"/>
          </w:tcPr>
          <w:p w:rsidR="00D11B62" w:rsidRPr="00584315" w:rsidRDefault="00D11B62" w:rsidP="00D11B62">
            <w:pPr>
              <w:tabs>
                <w:tab w:val="decimal" w:pos="1170"/>
              </w:tabs>
              <w:jc w:val="left"/>
            </w:pPr>
            <w:r w:rsidRPr="00584315">
              <w:t>14,303,726</w:t>
            </w:r>
          </w:p>
        </w:tc>
        <w:tc>
          <w:tcPr>
            <w:tcW w:w="1573" w:type="dxa"/>
            <w:vAlign w:val="bottom"/>
          </w:tcPr>
          <w:p w:rsidR="00D11B62" w:rsidRPr="00584315" w:rsidRDefault="00D11B62" w:rsidP="00D11B62">
            <w:pPr>
              <w:tabs>
                <w:tab w:val="decimal" w:pos="1170"/>
              </w:tabs>
              <w:jc w:val="left"/>
            </w:pPr>
            <w:r w:rsidRPr="00584315">
              <w:t>25,509,852</w:t>
            </w:r>
          </w:p>
        </w:tc>
        <w:tc>
          <w:tcPr>
            <w:tcW w:w="1573" w:type="dxa"/>
            <w:vAlign w:val="bottom"/>
          </w:tcPr>
          <w:p w:rsidR="00D11B62" w:rsidRPr="00584315" w:rsidRDefault="00D11B62" w:rsidP="00D11B62">
            <w:pPr>
              <w:tabs>
                <w:tab w:val="decimal" w:pos="1170"/>
              </w:tabs>
              <w:jc w:val="left"/>
            </w:pPr>
            <w:r w:rsidRPr="00584315">
              <w:t>11,206,126</w:t>
            </w:r>
          </w:p>
        </w:tc>
        <w:tc>
          <w:tcPr>
            <w:tcW w:w="1573" w:type="dxa"/>
            <w:vAlign w:val="bottom"/>
          </w:tcPr>
          <w:p w:rsidR="00D11B62" w:rsidRPr="00584315" w:rsidRDefault="00D11B62" w:rsidP="00D11B62">
            <w:pPr>
              <w:tabs>
                <w:tab w:val="decimal" w:pos="645"/>
              </w:tabs>
              <w:jc w:val="left"/>
            </w:pPr>
            <w:r w:rsidRPr="00584315">
              <w:t>56.1</w:t>
            </w:r>
          </w:p>
        </w:tc>
        <w:tc>
          <w:tcPr>
            <w:tcW w:w="1573" w:type="dxa"/>
            <w:vAlign w:val="bottom"/>
          </w:tcPr>
          <w:p w:rsidR="00D11B62" w:rsidRPr="00584315" w:rsidRDefault="00D11B62" w:rsidP="00D11B62">
            <w:pPr>
              <w:tabs>
                <w:tab w:val="decimal" w:pos="1108"/>
              </w:tabs>
              <w:jc w:val="left"/>
            </w:pPr>
            <w:r w:rsidRPr="00584315">
              <w:t>2,898,827</w:t>
            </w:r>
          </w:p>
        </w:tc>
        <w:tc>
          <w:tcPr>
            <w:tcW w:w="1574" w:type="dxa"/>
            <w:vAlign w:val="bottom"/>
          </w:tcPr>
          <w:p w:rsidR="00D11B62" w:rsidRPr="00584315" w:rsidRDefault="00D11B62" w:rsidP="00D11B62">
            <w:pPr>
              <w:tabs>
                <w:tab w:val="decimal" w:pos="730"/>
              </w:tabs>
              <w:jc w:val="left"/>
            </w:pPr>
            <w:r w:rsidRPr="00584315">
              <w:t>386.6</w:t>
            </w:r>
          </w:p>
        </w:tc>
      </w:tr>
      <w:tr w:rsidR="00D11B62" w:rsidRPr="00584315" w:rsidTr="00D11B62">
        <w:trPr>
          <w:jc w:val="center"/>
        </w:trPr>
        <w:tc>
          <w:tcPr>
            <w:tcW w:w="1573" w:type="dxa"/>
            <w:vAlign w:val="bottom"/>
          </w:tcPr>
          <w:p w:rsidR="00D11B62" w:rsidRPr="00584315" w:rsidRDefault="00D11B62" w:rsidP="00D11B62">
            <w:pPr>
              <w:jc w:val="center"/>
            </w:pPr>
            <w:r w:rsidRPr="00584315">
              <w:t>2017</w:t>
            </w:r>
          </w:p>
        </w:tc>
        <w:tc>
          <w:tcPr>
            <w:tcW w:w="1573" w:type="dxa"/>
            <w:vAlign w:val="bottom"/>
          </w:tcPr>
          <w:p w:rsidR="00D11B62" w:rsidRPr="00584315" w:rsidRDefault="00D11B62" w:rsidP="00D11B62">
            <w:pPr>
              <w:tabs>
                <w:tab w:val="decimal" w:pos="1170"/>
              </w:tabs>
              <w:jc w:val="left"/>
            </w:pPr>
            <w:r w:rsidRPr="00584315">
              <w:t>14,256,410</w:t>
            </w:r>
          </w:p>
        </w:tc>
        <w:tc>
          <w:tcPr>
            <w:tcW w:w="1573" w:type="dxa"/>
            <w:vAlign w:val="bottom"/>
          </w:tcPr>
          <w:p w:rsidR="00D11B62" w:rsidRPr="00584315" w:rsidRDefault="00D11B62" w:rsidP="00D11B62">
            <w:pPr>
              <w:tabs>
                <w:tab w:val="decimal" w:pos="1170"/>
              </w:tabs>
              <w:jc w:val="left"/>
            </w:pPr>
            <w:r w:rsidRPr="00584315">
              <w:t>24,782,085</w:t>
            </w:r>
          </w:p>
        </w:tc>
        <w:tc>
          <w:tcPr>
            <w:tcW w:w="1573" w:type="dxa"/>
            <w:vAlign w:val="bottom"/>
          </w:tcPr>
          <w:p w:rsidR="00D11B62" w:rsidRPr="00584315" w:rsidRDefault="00D11B62" w:rsidP="00D11B62">
            <w:pPr>
              <w:tabs>
                <w:tab w:val="decimal" w:pos="1170"/>
              </w:tabs>
              <w:jc w:val="left"/>
            </w:pPr>
            <w:r w:rsidRPr="00584315">
              <w:t>10,525,675</w:t>
            </w:r>
          </w:p>
        </w:tc>
        <w:tc>
          <w:tcPr>
            <w:tcW w:w="1573" w:type="dxa"/>
            <w:vAlign w:val="bottom"/>
          </w:tcPr>
          <w:p w:rsidR="00D11B62" w:rsidRPr="00584315" w:rsidRDefault="00D11B62" w:rsidP="00D11B62">
            <w:pPr>
              <w:tabs>
                <w:tab w:val="decimal" w:pos="645"/>
              </w:tabs>
              <w:jc w:val="left"/>
            </w:pPr>
            <w:r w:rsidRPr="00584315">
              <w:t>57.5</w:t>
            </w:r>
          </w:p>
        </w:tc>
        <w:tc>
          <w:tcPr>
            <w:tcW w:w="1573" w:type="dxa"/>
            <w:vAlign w:val="bottom"/>
          </w:tcPr>
          <w:p w:rsidR="00D11B62" w:rsidRPr="00584315" w:rsidRDefault="00D11B62" w:rsidP="00D11B62">
            <w:pPr>
              <w:tabs>
                <w:tab w:val="decimal" w:pos="1108"/>
              </w:tabs>
              <w:jc w:val="left"/>
            </w:pPr>
            <w:r w:rsidRPr="00584315">
              <w:t>2,774,207</w:t>
            </w:r>
          </w:p>
        </w:tc>
        <w:tc>
          <w:tcPr>
            <w:tcW w:w="1574" w:type="dxa"/>
            <w:vAlign w:val="bottom"/>
          </w:tcPr>
          <w:p w:rsidR="00D11B62" w:rsidRPr="00584315" w:rsidRDefault="00D11B62" w:rsidP="00D11B62">
            <w:pPr>
              <w:tabs>
                <w:tab w:val="decimal" w:pos="730"/>
              </w:tabs>
              <w:jc w:val="left"/>
            </w:pPr>
            <w:r w:rsidRPr="00584315">
              <w:t>379.4</w:t>
            </w:r>
          </w:p>
        </w:tc>
      </w:tr>
      <w:tr w:rsidR="00D11B62" w:rsidRPr="00584315" w:rsidTr="00D11B62">
        <w:trPr>
          <w:jc w:val="center"/>
        </w:trPr>
        <w:tc>
          <w:tcPr>
            <w:tcW w:w="1573" w:type="dxa"/>
            <w:vAlign w:val="bottom"/>
          </w:tcPr>
          <w:p w:rsidR="00D11B62" w:rsidRPr="00584315" w:rsidRDefault="00D11B62" w:rsidP="00D11B62">
            <w:pPr>
              <w:jc w:val="center"/>
            </w:pPr>
            <w:r w:rsidRPr="00584315">
              <w:t>2016</w:t>
            </w:r>
          </w:p>
        </w:tc>
        <w:tc>
          <w:tcPr>
            <w:tcW w:w="1573" w:type="dxa"/>
            <w:vAlign w:val="bottom"/>
          </w:tcPr>
          <w:p w:rsidR="00D11B62" w:rsidRPr="00584315" w:rsidRDefault="00D11B62" w:rsidP="00D11B62">
            <w:pPr>
              <w:tabs>
                <w:tab w:val="decimal" w:pos="1170"/>
              </w:tabs>
              <w:jc w:val="left"/>
            </w:pPr>
            <w:r w:rsidRPr="00584315">
              <w:t>14,026,332</w:t>
            </w:r>
          </w:p>
        </w:tc>
        <w:tc>
          <w:tcPr>
            <w:tcW w:w="1573" w:type="dxa"/>
            <w:vAlign w:val="bottom"/>
          </w:tcPr>
          <w:p w:rsidR="00D11B62" w:rsidRPr="00584315" w:rsidRDefault="00D11B62" w:rsidP="00D11B62">
            <w:pPr>
              <w:tabs>
                <w:tab w:val="decimal" w:pos="1170"/>
              </w:tabs>
              <w:jc w:val="left"/>
            </w:pPr>
            <w:r w:rsidRPr="00584315">
              <w:t>25,669,916</w:t>
            </w:r>
          </w:p>
        </w:tc>
        <w:tc>
          <w:tcPr>
            <w:tcW w:w="1573" w:type="dxa"/>
            <w:vAlign w:val="bottom"/>
          </w:tcPr>
          <w:p w:rsidR="00D11B62" w:rsidRPr="00584315" w:rsidRDefault="00D11B62" w:rsidP="00D11B62">
            <w:pPr>
              <w:tabs>
                <w:tab w:val="decimal" w:pos="1170"/>
              </w:tabs>
              <w:jc w:val="left"/>
            </w:pPr>
            <w:r w:rsidRPr="00584315">
              <w:t>11,643,584</w:t>
            </w:r>
          </w:p>
        </w:tc>
        <w:tc>
          <w:tcPr>
            <w:tcW w:w="1573" w:type="dxa"/>
            <w:vAlign w:val="bottom"/>
          </w:tcPr>
          <w:p w:rsidR="00D11B62" w:rsidRPr="00584315" w:rsidRDefault="00D11B62" w:rsidP="00D11B62">
            <w:pPr>
              <w:tabs>
                <w:tab w:val="decimal" w:pos="645"/>
              </w:tabs>
              <w:jc w:val="left"/>
            </w:pPr>
            <w:r w:rsidRPr="00584315">
              <w:t>54.6</w:t>
            </w:r>
          </w:p>
        </w:tc>
        <w:tc>
          <w:tcPr>
            <w:tcW w:w="1573" w:type="dxa"/>
            <w:vAlign w:val="bottom"/>
          </w:tcPr>
          <w:p w:rsidR="00D11B62" w:rsidRPr="00584315" w:rsidRDefault="00D11B62" w:rsidP="00D11B62">
            <w:pPr>
              <w:tabs>
                <w:tab w:val="decimal" w:pos="1108"/>
              </w:tabs>
              <w:jc w:val="left"/>
            </w:pPr>
            <w:r w:rsidRPr="00584315">
              <w:t>2,710,651</w:t>
            </w:r>
          </w:p>
        </w:tc>
        <w:tc>
          <w:tcPr>
            <w:tcW w:w="1574" w:type="dxa"/>
            <w:vAlign w:val="bottom"/>
          </w:tcPr>
          <w:p w:rsidR="00D11B62" w:rsidRPr="00584315" w:rsidRDefault="00D11B62" w:rsidP="00D11B62">
            <w:pPr>
              <w:tabs>
                <w:tab w:val="decimal" w:pos="730"/>
              </w:tabs>
              <w:jc w:val="left"/>
            </w:pPr>
            <w:r w:rsidRPr="00584315">
              <w:t>429.5</w:t>
            </w:r>
          </w:p>
        </w:tc>
      </w:tr>
      <w:tr w:rsidR="00D11B62" w:rsidRPr="00584315" w:rsidTr="00D11B62">
        <w:trPr>
          <w:jc w:val="center"/>
        </w:trPr>
        <w:tc>
          <w:tcPr>
            <w:tcW w:w="1573" w:type="dxa"/>
            <w:vAlign w:val="bottom"/>
          </w:tcPr>
          <w:p w:rsidR="00D11B62" w:rsidRPr="00584315" w:rsidRDefault="00D11B62" w:rsidP="00D11B62">
            <w:pPr>
              <w:jc w:val="center"/>
            </w:pPr>
            <w:r w:rsidRPr="00584315">
              <w:t>2015</w:t>
            </w:r>
          </w:p>
        </w:tc>
        <w:tc>
          <w:tcPr>
            <w:tcW w:w="1573" w:type="dxa"/>
            <w:vAlign w:val="bottom"/>
          </w:tcPr>
          <w:p w:rsidR="00D11B62" w:rsidRPr="00584315" w:rsidRDefault="00D11B62" w:rsidP="00D11B62">
            <w:pPr>
              <w:tabs>
                <w:tab w:val="decimal" w:pos="1170"/>
              </w:tabs>
              <w:jc w:val="left"/>
            </w:pPr>
            <w:r w:rsidRPr="00584315">
              <w:t>13,882,820</w:t>
            </w:r>
          </w:p>
        </w:tc>
        <w:tc>
          <w:tcPr>
            <w:tcW w:w="1573" w:type="dxa"/>
            <w:vAlign w:val="bottom"/>
          </w:tcPr>
          <w:p w:rsidR="00D11B62" w:rsidRPr="00584315" w:rsidRDefault="00D11B62" w:rsidP="00D11B62">
            <w:pPr>
              <w:tabs>
                <w:tab w:val="decimal" w:pos="1170"/>
              </w:tabs>
              <w:jc w:val="left"/>
            </w:pPr>
            <w:r w:rsidRPr="00584315">
              <w:t>24,085,671</w:t>
            </w:r>
          </w:p>
        </w:tc>
        <w:tc>
          <w:tcPr>
            <w:tcW w:w="1573" w:type="dxa"/>
            <w:vAlign w:val="bottom"/>
          </w:tcPr>
          <w:p w:rsidR="00D11B62" w:rsidRPr="00584315" w:rsidRDefault="00D11B62" w:rsidP="00D11B62">
            <w:pPr>
              <w:tabs>
                <w:tab w:val="decimal" w:pos="1170"/>
              </w:tabs>
              <w:jc w:val="left"/>
            </w:pPr>
            <w:r w:rsidRPr="00584315">
              <w:t>10,202,851</w:t>
            </w:r>
          </w:p>
        </w:tc>
        <w:tc>
          <w:tcPr>
            <w:tcW w:w="1573" w:type="dxa"/>
            <w:vAlign w:val="bottom"/>
          </w:tcPr>
          <w:p w:rsidR="00D11B62" w:rsidRPr="00584315" w:rsidRDefault="00D11B62" w:rsidP="00D11B62">
            <w:pPr>
              <w:tabs>
                <w:tab w:val="decimal" w:pos="645"/>
              </w:tabs>
              <w:jc w:val="left"/>
            </w:pPr>
            <w:r w:rsidRPr="00584315">
              <w:t>57.6</w:t>
            </w:r>
          </w:p>
        </w:tc>
        <w:tc>
          <w:tcPr>
            <w:tcW w:w="1573" w:type="dxa"/>
            <w:vAlign w:val="bottom"/>
          </w:tcPr>
          <w:p w:rsidR="00D11B62" w:rsidRPr="00584315" w:rsidRDefault="00D11B62" w:rsidP="00D11B62">
            <w:pPr>
              <w:tabs>
                <w:tab w:val="decimal" w:pos="1108"/>
              </w:tabs>
              <w:jc w:val="left"/>
            </w:pPr>
            <w:r w:rsidRPr="00584315">
              <w:t>2,641,867</w:t>
            </w:r>
          </w:p>
        </w:tc>
        <w:tc>
          <w:tcPr>
            <w:tcW w:w="1574" w:type="dxa"/>
            <w:vAlign w:val="bottom"/>
          </w:tcPr>
          <w:p w:rsidR="00D11B62" w:rsidRPr="00584315" w:rsidRDefault="00D11B62" w:rsidP="00D11B62">
            <w:pPr>
              <w:tabs>
                <w:tab w:val="decimal" w:pos="730"/>
              </w:tabs>
              <w:jc w:val="left"/>
            </w:pPr>
            <w:r w:rsidRPr="00584315">
              <w:t>386.2</w:t>
            </w:r>
          </w:p>
        </w:tc>
      </w:tr>
      <w:tr w:rsidR="00D11B62" w:rsidRPr="00584315" w:rsidTr="00D11B62">
        <w:trPr>
          <w:jc w:val="center"/>
        </w:trPr>
        <w:tc>
          <w:tcPr>
            <w:tcW w:w="1573" w:type="dxa"/>
            <w:vAlign w:val="bottom"/>
          </w:tcPr>
          <w:p w:rsidR="00D11B62" w:rsidRPr="00584315" w:rsidRDefault="00D11B62" w:rsidP="00D11B62">
            <w:pPr>
              <w:jc w:val="center"/>
            </w:pPr>
            <w:r w:rsidRPr="00584315">
              <w:t>2014</w:t>
            </w:r>
          </w:p>
        </w:tc>
        <w:tc>
          <w:tcPr>
            <w:tcW w:w="1573" w:type="dxa"/>
            <w:vAlign w:val="bottom"/>
          </w:tcPr>
          <w:p w:rsidR="00D11B62" w:rsidRPr="00584315" w:rsidRDefault="00D11B62" w:rsidP="00D11B62">
            <w:pPr>
              <w:tabs>
                <w:tab w:val="decimal" w:pos="1170"/>
              </w:tabs>
              <w:jc w:val="left"/>
            </w:pPr>
            <w:r w:rsidRPr="00584315">
              <w:t>13,523,488</w:t>
            </w:r>
          </w:p>
        </w:tc>
        <w:tc>
          <w:tcPr>
            <w:tcW w:w="1573" w:type="dxa"/>
            <w:vAlign w:val="bottom"/>
          </w:tcPr>
          <w:p w:rsidR="00D11B62" w:rsidRPr="00584315" w:rsidRDefault="00D11B62" w:rsidP="00D11B62">
            <w:pPr>
              <w:tabs>
                <w:tab w:val="decimal" w:pos="1170"/>
              </w:tabs>
              <w:jc w:val="left"/>
            </w:pPr>
            <w:r w:rsidRPr="00584315">
              <w:t>23,408,321</w:t>
            </w:r>
          </w:p>
        </w:tc>
        <w:tc>
          <w:tcPr>
            <w:tcW w:w="1573" w:type="dxa"/>
            <w:vAlign w:val="bottom"/>
          </w:tcPr>
          <w:p w:rsidR="00D11B62" w:rsidRPr="00584315" w:rsidRDefault="00D11B62" w:rsidP="00D11B62">
            <w:pPr>
              <w:tabs>
                <w:tab w:val="decimal" w:pos="1170"/>
              </w:tabs>
              <w:jc w:val="left"/>
            </w:pPr>
            <w:r w:rsidRPr="00584315">
              <w:t>9,884,833</w:t>
            </w:r>
          </w:p>
        </w:tc>
        <w:tc>
          <w:tcPr>
            <w:tcW w:w="1573" w:type="dxa"/>
            <w:vAlign w:val="bottom"/>
          </w:tcPr>
          <w:p w:rsidR="00D11B62" w:rsidRPr="00584315" w:rsidRDefault="00D11B62" w:rsidP="00D11B62">
            <w:pPr>
              <w:tabs>
                <w:tab w:val="decimal" w:pos="645"/>
              </w:tabs>
              <w:jc w:val="left"/>
            </w:pPr>
            <w:r w:rsidRPr="00584315">
              <w:t>57.8</w:t>
            </w:r>
          </w:p>
        </w:tc>
        <w:tc>
          <w:tcPr>
            <w:tcW w:w="1573" w:type="dxa"/>
            <w:vAlign w:val="bottom"/>
          </w:tcPr>
          <w:p w:rsidR="00D11B62" w:rsidRPr="00584315" w:rsidRDefault="00D11B62" w:rsidP="00D11B62">
            <w:pPr>
              <w:tabs>
                <w:tab w:val="decimal" w:pos="1108"/>
              </w:tabs>
              <w:jc w:val="left"/>
            </w:pPr>
            <w:r w:rsidRPr="00584315">
              <w:t>2,564,670</w:t>
            </w:r>
          </w:p>
        </w:tc>
        <w:tc>
          <w:tcPr>
            <w:tcW w:w="1574" w:type="dxa"/>
            <w:vAlign w:val="bottom"/>
          </w:tcPr>
          <w:p w:rsidR="00D11B62" w:rsidRPr="00584315" w:rsidRDefault="00D11B62" w:rsidP="00D11B62">
            <w:pPr>
              <w:tabs>
                <w:tab w:val="decimal" w:pos="730"/>
              </w:tabs>
              <w:jc w:val="left"/>
            </w:pPr>
            <w:r w:rsidRPr="00584315">
              <w:t>385.4</w:t>
            </w:r>
          </w:p>
        </w:tc>
      </w:tr>
      <w:tr w:rsidR="00D11B62" w:rsidRPr="00584315" w:rsidTr="00D11B62">
        <w:trPr>
          <w:jc w:val="center"/>
        </w:trPr>
        <w:tc>
          <w:tcPr>
            <w:tcW w:w="1573" w:type="dxa"/>
            <w:vAlign w:val="bottom"/>
          </w:tcPr>
          <w:p w:rsidR="00D11B62" w:rsidRPr="00584315" w:rsidRDefault="00D11B62" w:rsidP="00D11B62">
            <w:pPr>
              <w:jc w:val="center"/>
            </w:pPr>
            <w:r w:rsidRPr="00584315">
              <w:t>2013</w:t>
            </w:r>
          </w:p>
        </w:tc>
        <w:tc>
          <w:tcPr>
            <w:tcW w:w="1573" w:type="dxa"/>
            <w:vAlign w:val="bottom"/>
          </w:tcPr>
          <w:p w:rsidR="00D11B62" w:rsidRPr="00584315" w:rsidRDefault="00D11B62" w:rsidP="00D11B62">
            <w:pPr>
              <w:tabs>
                <w:tab w:val="decimal" w:pos="1170"/>
              </w:tabs>
              <w:jc w:val="left"/>
            </w:pPr>
            <w:r w:rsidRPr="00584315">
              <w:t>13,129,460</w:t>
            </w:r>
          </w:p>
        </w:tc>
        <w:tc>
          <w:tcPr>
            <w:tcW w:w="1573" w:type="dxa"/>
            <w:vAlign w:val="bottom"/>
          </w:tcPr>
          <w:p w:rsidR="00D11B62" w:rsidRPr="00584315" w:rsidRDefault="00D11B62" w:rsidP="00D11B62">
            <w:pPr>
              <w:tabs>
                <w:tab w:val="decimal" w:pos="1170"/>
              </w:tabs>
              <w:jc w:val="left"/>
            </w:pPr>
            <w:r w:rsidRPr="00584315">
              <w:t>22,843,725</w:t>
            </w:r>
          </w:p>
        </w:tc>
        <w:tc>
          <w:tcPr>
            <w:tcW w:w="1573" w:type="dxa"/>
            <w:vAlign w:val="bottom"/>
          </w:tcPr>
          <w:p w:rsidR="00D11B62" w:rsidRPr="00584315" w:rsidRDefault="00D11B62" w:rsidP="00D11B62">
            <w:pPr>
              <w:tabs>
                <w:tab w:val="decimal" w:pos="1170"/>
              </w:tabs>
              <w:jc w:val="left"/>
            </w:pPr>
            <w:r w:rsidRPr="00584315">
              <w:t>9,714,265</w:t>
            </w:r>
          </w:p>
        </w:tc>
        <w:tc>
          <w:tcPr>
            <w:tcW w:w="1573" w:type="dxa"/>
            <w:vAlign w:val="bottom"/>
          </w:tcPr>
          <w:p w:rsidR="00D11B62" w:rsidRPr="00584315" w:rsidRDefault="00D11B62" w:rsidP="00D11B62">
            <w:pPr>
              <w:tabs>
                <w:tab w:val="decimal" w:pos="645"/>
              </w:tabs>
              <w:jc w:val="left"/>
            </w:pPr>
            <w:r w:rsidRPr="00584315">
              <w:t>57.5</w:t>
            </w:r>
          </w:p>
        </w:tc>
        <w:tc>
          <w:tcPr>
            <w:tcW w:w="1573" w:type="dxa"/>
            <w:vAlign w:val="bottom"/>
          </w:tcPr>
          <w:p w:rsidR="00D11B62" w:rsidRPr="00584315" w:rsidRDefault="00D11B62" w:rsidP="00D11B62">
            <w:pPr>
              <w:tabs>
                <w:tab w:val="decimal" w:pos="1108"/>
              </w:tabs>
              <w:jc w:val="left"/>
            </w:pPr>
            <w:r w:rsidRPr="00584315">
              <w:t>2,474,965</w:t>
            </w:r>
          </w:p>
        </w:tc>
        <w:tc>
          <w:tcPr>
            <w:tcW w:w="1574" w:type="dxa"/>
            <w:vAlign w:val="bottom"/>
          </w:tcPr>
          <w:p w:rsidR="00D11B62" w:rsidRPr="00584315" w:rsidRDefault="00D11B62" w:rsidP="00D11B62">
            <w:pPr>
              <w:tabs>
                <w:tab w:val="decimal" w:pos="730"/>
              </w:tabs>
              <w:jc w:val="left"/>
            </w:pPr>
            <w:r w:rsidRPr="00584315">
              <w:t>392.5</w:t>
            </w:r>
          </w:p>
        </w:tc>
      </w:tr>
      <w:tr w:rsidR="00D11B62" w:rsidRPr="00584315" w:rsidTr="00D11B62">
        <w:trPr>
          <w:jc w:val="center"/>
        </w:trPr>
        <w:tc>
          <w:tcPr>
            <w:tcW w:w="1573" w:type="dxa"/>
            <w:vAlign w:val="bottom"/>
          </w:tcPr>
          <w:p w:rsidR="00D11B62" w:rsidRPr="00584315" w:rsidRDefault="00D11B62" w:rsidP="00D11B62">
            <w:pPr>
              <w:jc w:val="center"/>
            </w:pPr>
            <w:r w:rsidRPr="00584315">
              <w:t>2012</w:t>
            </w:r>
          </w:p>
        </w:tc>
        <w:tc>
          <w:tcPr>
            <w:tcW w:w="1573" w:type="dxa"/>
            <w:vAlign w:val="bottom"/>
          </w:tcPr>
          <w:p w:rsidR="00D11B62" w:rsidRPr="00584315" w:rsidRDefault="00D11B62" w:rsidP="00D11B62">
            <w:pPr>
              <w:tabs>
                <w:tab w:val="decimal" w:pos="1170"/>
              </w:tabs>
              <w:jc w:val="left"/>
            </w:pPr>
            <w:r w:rsidRPr="00584315">
              <w:t>12,538,675</w:t>
            </w:r>
          </w:p>
        </w:tc>
        <w:tc>
          <w:tcPr>
            <w:tcW w:w="1573" w:type="dxa"/>
            <w:vAlign w:val="bottom"/>
          </w:tcPr>
          <w:p w:rsidR="00D11B62" w:rsidRPr="00584315" w:rsidRDefault="00D11B62" w:rsidP="00D11B62">
            <w:pPr>
              <w:tabs>
                <w:tab w:val="decimal" w:pos="1170"/>
              </w:tabs>
              <w:jc w:val="left"/>
            </w:pPr>
            <w:r w:rsidRPr="00584315">
              <w:t>21,191,495</w:t>
            </w:r>
          </w:p>
        </w:tc>
        <w:tc>
          <w:tcPr>
            <w:tcW w:w="1573" w:type="dxa"/>
            <w:vAlign w:val="bottom"/>
          </w:tcPr>
          <w:p w:rsidR="00D11B62" w:rsidRPr="00584315" w:rsidRDefault="00D11B62" w:rsidP="00D11B62">
            <w:pPr>
              <w:tabs>
                <w:tab w:val="decimal" w:pos="1170"/>
              </w:tabs>
              <w:jc w:val="left"/>
            </w:pPr>
            <w:r w:rsidRPr="00584315">
              <w:t>8,652,820</w:t>
            </w:r>
          </w:p>
        </w:tc>
        <w:tc>
          <w:tcPr>
            <w:tcW w:w="1573" w:type="dxa"/>
            <w:vAlign w:val="bottom"/>
          </w:tcPr>
          <w:p w:rsidR="00D11B62" w:rsidRPr="00584315" w:rsidRDefault="00D11B62" w:rsidP="00D11B62">
            <w:pPr>
              <w:tabs>
                <w:tab w:val="decimal" w:pos="645"/>
              </w:tabs>
              <w:jc w:val="left"/>
            </w:pPr>
            <w:r w:rsidRPr="00584315">
              <w:t>59.2</w:t>
            </w:r>
          </w:p>
        </w:tc>
        <w:tc>
          <w:tcPr>
            <w:tcW w:w="1573" w:type="dxa"/>
            <w:vAlign w:val="bottom"/>
          </w:tcPr>
          <w:p w:rsidR="00D11B62" w:rsidRPr="00584315" w:rsidRDefault="00D11B62" w:rsidP="00D11B62">
            <w:pPr>
              <w:tabs>
                <w:tab w:val="decimal" w:pos="1108"/>
              </w:tabs>
              <w:jc w:val="left"/>
            </w:pPr>
            <w:r w:rsidRPr="00584315">
              <w:t>2,384,934</w:t>
            </w:r>
          </w:p>
        </w:tc>
        <w:tc>
          <w:tcPr>
            <w:tcW w:w="1574" w:type="dxa"/>
            <w:vAlign w:val="bottom"/>
          </w:tcPr>
          <w:p w:rsidR="00D11B62" w:rsidRPr="00584315" w:rsidRDefault="00D11B62" w:rsidP="00D11B62">
            <w:pPr>
              <w:tabs>
                <w:tab w:val="decimal" w:pos="730"/>
              </w:tabs>
              <w:jc w:val="left"/>
            </w:pPr>
            <w:r w:rsidRPr="00584315">
              <w:t>362.8</w:t>
            </w:r>
          </w:p>
        </w:tc>
      </w:tr>
      <w:tr w:rsidR="00D11B62" w:rsidRPr="00584315" w:rsidTr="00D11B62">
        <w:trPr>
          <w:jc w:val="center"/>
        </w:trPr>
        <w:tc>
          <w:tcPr>
            <w:tcW w:w="1573" w:type="dxa"/>
            <w:vAlign w:val="bottom"/>
          </w:tcPr>
          <w:p w:rsidR="00D11B62" w:rsidRPr="00584315" w:rsidRDefault="00D11B62" w:rsidP="00D11B62">
            <w:pPr>
              <w:jc w:val="center"/>
            </w:pPr>
            <w:r w:rsidRPr="00584315">
              <w:t>2011</w:t>
            </w:r>
          </w:p>
        </w:tc>
        <w:tc>
          <w:tcPr>
            <w:tcW w:w="1573" w:type="dxa"/>
            <w:vAlign w:val="bottom"/>
          </w:tcPr>
          <w:p w:rsidR="00D11B62" w:rsidRPr="00584315" w:rsidRDefault="00D11B62" w:rsidP="00D11B62">
            <w:pPr>
              <w:tabs>
                <w:tab w:val="decimal" w:pos="1170"/>
              </w:tabs>
              <w:jc w:val="left"/>
            </w:pPr>
            <w:r w:rsidRPr="00584315">
              <w:t>12,010,045</w:t>
            </w:r>
          </w:p>
        </w:tc>
        <w:tc>
          <w:tcPr>
            <w:tcW w:w="1573" w:type="dxa"/>
            <w:vAlign w:val="bottom"/>
          </w:tcPr>
          <w:p w:rsidR="00D11B62" w:rsidRPr="00584315" w:rsidRDefault="00D11B62" w:rsidP="00D11B62">
            <w:pPr>
              <w:tabs>
                <w:tab w:val="decimal" w:pos="1170"/>
              </w:tabs>
              <w:jc w:val="left"/>
            </w:pPr>
            <w:r w:rsidRPr="00584315">
              <w:t>20,826,543</w:t>
            </w:r>
          </w:p>
        </w:tc>
        <w:tc>
          <w:tcPr>
            <w:tcW w:w="1573" w:type="dxa"/>
            <w:vAlign w:val="bottom"/>
          </w:tcPr>
          <w:p w:rsidR="00D11B62" w:rsidRPr="00584315" w:rsidRDefault="00D11B62" w:rsidP="00D11B62">
            <w:pPr>
              <w:tabs>
                <w:tab w:val="decimal" w:pos="1170"/>
              </w:tabs>
              <w:jc w:val="left"/>
            </w:pPr>
            <w:r w:rsidRPr="00584315">
              <w:t>8,816,498</w:t>
            </w:r>
          </w:p>
        </w:tc>
        <w:tc>
          <w:tcPr>
            <w:tcW w:w="1573" w:type="dxa"/>
            <w:vAlign w:val="bottom"/>
          </w:tcPr>
          <w:p w:rsidR="00D11B62" w:rsidRPr="00584315" w:rsidRDefault="00D11B62" w:rsidP="00D11B62">
            <w:pPr>
              <w:tabs>
                <w:tab w:val="decimal" w:pos="645"/>
              </w:tabs>
              <w:jc w:val="left"/>
            </w:pPr>
            <w:r w:rsidRPr="00584315">
              <w:t>57.7</w:t>
            </w:r>
          </w:p>
        </w:tc>
        <w:tc>
          <w:tcPr>
            <w:tcW w:w="1573" w:type="dxa"/>
            <w:vAlign w:val="bottom"/>
          </w:tcPr>
          <w:p w:rsidR="00D11B62" w:rsidRPr="00584315" w:rsidRDefault="00D11B62" w:rsidP="00D11B62">
            <w:pPr>
              <w:tabs>
                <w:tab w:val="decimal" w:pos="1108"/>
              </w:tabs>
              <w:jc w:val="left"/>
            </w:pPr>
            <w:r w:rsidRPr="00584315">
              <w:t>2,393,791</w:t>
            </w:r>
          </w:p>
        </w:tc>
        <w:tc>
          <w:tcPr>
            <w:tcW w:w="1574" w:type="dxa"/>
            <w:vAlign w:val="bottom"/>
          </w:tcPr>
          <w:p w:rsidR="00D11B62" w:rsidRPr="00584315" w:rsidRDefault="00D11B62" w:rsidP="00D11B62">
            <w:pPr>
              <w:tabs>
                <w:tab w:val="decimal" w:pos="730"/>
              </w:tabs>
              <w:jc w:val="left"/>
            </w:pPr>
            <w:r w:rsidRPr="00584315">
              <w:t>368.3</w:t>
            </w:r>
          </w:p>
        </w:tc>
      </w:tr>
      <w:tr w:rsidR="00D11B62" w:rsidRPr="00584315" w:rsidTr="00D11B62">
        <w:trPr>
          <w:jc w:val="center"/>
        </w:trPr>
        <w:tc>
          <w:tcPr>
            <w:tcW w:w="1573" w:type="dxa"/>
            <w:vAlign w:val="bottom"/>
          </w:tcPr>
          <w:p w:rsidR="00D11B62" w:rsidRPr="00584315" w:rsidRDefault="00D11B62" w:rsidP="00D11B62">
            <w:pPr>
              <w:jc w:val="center"/>
            </w:pPr>
            <w:r w:rsidRPr="00584315">
              <w:t>2010</w:t>
            </w:r>
          </w:p>
        </w:tc>
        <w:tc>
          <w:tcPr>
            <w:tcW w:w="1573" w:type="dxa"/>
            <w:vAlign w:val="bottom"/>
          </w:tcPr>
          <w:p w:rsidR="00D11B62" w:rsidRPr="00584315" w:rsidRDefault="00D11B62" w:rsidP="00D11B62">
            <w:pPr>
              <w:tabs>
                <w:tab w:val="decimal" w:pos="1170"/>
              </w:tabs>
              <w:jc w:val="left"/>
            </w:pPr>
            <w:r w:rsidRPr="00584315">
              <w:t>12,791,946</w:t>
            </w:r>
          </w:p>
        </w:tc>
        <w:tc>
          <w:tcPr>
            <w:tcW w:w="1573" w:type="dxa"/>
            <w:vAlign w:val="bottom"/>
          </w:tcPr>
          <w:p w:rsidR="00D11B62" w:rsidRPr="00584315" w:rsidRDefault="00D11B62" w:rsidP="00D11B62">
            <w:pPr>
              <w:tabs>
                <w:tab w:val="decimal" w:pos="1170"/>
              </w:tabs>
              <w:jc w:val="left"/>
            </w:pPr>
            <w:r w:rsidRPr="00584315">
              <w:t>20,356,176</w:t>
            </w:r>
          </w:p>
        </w:tc>
        <w:tc>
          <w:tcPr>
            <w:tcW w:w="1573" w:type="dxa"/>
            <w:vAlign w:val="bottom"/>
          </w:tcPr>
          <w:p w:rsidR="00D11B62" w:rsidRPr="00584315" w:rsidRDefault="00D11B62" w:rsidP="00D11B62">
            <w:pPr>
              <w:tabs>
                <w:tab w:val="decimal" w:pos="1170"/>
              </w:tabs>
              <w:jc w:val="left"/>
            </w:pPr>
            <w:r w:rsidRPr="00584315">
              <w:t>7,564,230</w:t>
            </w:r>
          </w:p>
        </w:tc>
        <w:tc>
          <w:tcPr>
            <w:tcW w:w="1573" w:type="dxa"/>
            <w:vAlign w:val="bottom"/>
          </w:tcPr>
          <w:p w:rsidR="00D11B62" w:rsidRPr="00584315" w:rsidRDefault="00D11B62" w:rsidP="00D11B62">
            <w:pPr>
              <w:tabs>
                <w:tab w:val="decimal" w:pos="645"/>
              </w:tabs>
              <w:jc w:val="left"/>
            </w:pPr>
            <w:r w:rsidRPr="00584315">
              <w:t>62.8</w:t>
            </w:r>
          </w:p>
        </w:tc>
        <w:tc>
          <w:tcPr>
            <w:tcW w:w="1573" w:type="dxa"/>
            <w:vAlign w:val="bottom"/>
          </w:tcPr>
          <w:p w:rsidR="00D11B62" w:rsidRPr="00584315" w:rsidRDefault="00D11B62" w:rsidP="00D11B62">
            <w:pPr>
              <w:tabs>
                <w:tab w:val="decimal" w:pos="1108"/>
              </w:tabs>
              <w:jc w:val="left"/>
            </w:pPr>
            <w:r w:rsidRPr="00584315">
              <w:t>2,392,080</w:t>
            </w:r>
          </w:p>
        </w:tc>
        <w:tc>
          <w:tcPr>
            <w:tcW w:w="1574" w:type="dxa"/>
            <w:vAlign w:val="bottom"/>
          </w:tcPr>
          <w:p w:rsidR="00D11B62" w:rsidRPr="00584315" w:rsidRDefault="00D11B62" w:rsidP="00D11B62">
            <w:pPr>
              <w:tabs>
                <w:tab w:val="decimal" w:pos="730"/>
              </w:tabs>
              <w:jc w:val="left"/>
            </w:pPr>
            <w:r w:rsidRPr="00584315">
              <w:t>316.2</w:t>
            </w:r>
          </w:p>
        </w:tc>
      </w:tr>
      <w:tr w:rsidR="00D11B62" w:rsidRPr="00584315" w:rsidTr="00D11B62">
        <w:trPr>
          <w:jc w:val="center"/>
        </w:trPr>
        <w:tc>
          <w:tcPr>
            <w:tcW w:w="11012" w:type="dxa"/>
            <w:gridSpan w:val="7"/>
            <w:vAlign w:val="bottom"/>
          </w:tcPr>
          <w:p w:rsidR="00D11B62" w:rsidRPr="00584315" w:rsidRDefault="00D11B62" w:rsidP="00D11B62">
            <w:pPr>
              <w:rPr>
                <w:sz w:val="18"/>
                <w:szCs w:val="18"/>
              </w:rPr>
            </w:pPr>
            <w:r w:rsidRPr="00584315">
              <w:rPr>
                <w:sz w:val="18"/>
                <w:szCs w:val="18"/>
              </w:rPr>
              <w:t>____________________</w:t>
            </w:r>
          </w:p>
          <w:p w:rsidR="00D11B62" w:rsidRPr="00584315" w:rsidRDefault="00D11B62" w:rsidP="00D11B62">
            <w:pPr>
              <w:rPr>
                <w:sz w:val="18"/>
                <w:szCs w:val="18"/>
              </w:rPr>
            </w:pPr>
            <w:r w:rsidRPr="00584315">
              <w:rPr>
                <w:sz w:val="18"/>
                <w:szCs w:val="18"/>
                <w:vertAlign w:val="superscript"/>
              </w:rPr>
              <w:t>*</w:t>
            </w:r>
            <w:r w:rsidRPr="00584315">
              <w:rPr>
                <w:sz w:val="18"/>
                <w:szCs w:val="18"/>
              </w:rPr>
              <w:t xml:space="preserve"> The actuarial value of Plan assets is based on gains and losses smoothed in over a four-year period as permitted by GASB standards.</w:t>
            </w:r>
          </w:p>
          <w:p w:rsidR="00D11B62" w:rsidRPr="00584315" w:rsidRDefault="00D11B62" w:rsidP="00D11B62">
            <w:pPr>
              <w:rPr>
                <w:sz w:val="18"/>
                <w:szCs w:val="18"/>
              </w:rPr>
            </w:pPr>
            <w:r w:rsidRPr="00584315">
              <w:rPr>
                <w:sz w:val="18"/>
                <w:szCs w:val="18"/>
              </w:rPr>
              <w:t>Source: PERA 2019 CAFR</w:t>
            </w:r>
          </w:p>
        </w:tc>
      </w:tr>
    </w:tbl>
    <w:p w:rsidR="00D11B62" w:rsidRDefault="00D11B62" w:rsidP="00347EFC"/>
    <w:p w:rsidR="005C6B61" w:rsidRDefault="005C6B61" w:rsidP="00347EFC"/>
    <w:p w:rsidR="005C6B61" w:rsidRDefault="005C6B61" w:rsidP="00347EFC"/>
    <w:p w:rsidR="005C6B61" w:rsidRDefault="005C6B61" w:rsidP="00347EFC"/>
    <w:p w:rsidR="00D11B62" w:rsidRDefault="00D11B62" w:rsidP="00D11B62">
      <w:pPr>
        <w:jc w:val="center"/>
      </w:pPr>
      <w:r w:rsidRPr="00D11B62">
        <w:t>[Remainder of page intentionally left blank]</w:t>
      </w:r>
    </w:p>
    <w:p w:rsidR="00D11B62" w:rsidRDefault="00D11B62" w:rsidP="00347EFC"/>
    <w:p w:rsidR="00D11B62" w:rsidRDefault="00D11B62" w:rsidP="00347EFC"/>
    <w:p w:rsidR="00D11B62" w:rsidRDefault="00D11B62" w:rsidP="00347EFC"/>
    <w:p w:rsidR="00D11B62" w:rsidRDefault="00D11B62">
      <w:pPr>
        <w:spacing w:after="160" w:line="259" w:lineRule="auto"/>
        <w:jc w:val="left"/>
      </w:pPr>
      <w:r>
        <w:br w:type="page"/>
      </w:r>
    </w:p>
    <w:tbl>
      <w:tblPr>
        <w:tblStyle w:val="TableGrid30"/>
        <w:tblW w:w="1121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1"/>
        <w:gridCol w:w="1602"/>
        <w:gridCol w:w="1601"/>
        <w:gridCol w:w="1602"/>
        <w:gridCol w:w="1601"/>
        <w:gridCol w:w="1602"/>
        <w:gridCol w:w="1602"/>
      </w:tblGrid>
      <w:tr w:rsidR="00D11B62" w:rsidRPr="00584315" w:rsidTr="00D11B62">
        <w:trPr>
          <w:jc w:val="center"/>
        </w:trPr>
        <w:tc>
          <w:tcPr>
            <w:tcW w:w="11211" w:type="dxa"/>
            <w:gridSpan w:val="7"/>
            <w:vAlign w:val="bottom"/>
          </w:tcPr>
          <w:p w:rsidR="00D11B62" w:rsidRPr="00584315" w:rsidRDefault="00D11B62" w:rsidP="00D11B62">
            <w:pPr>
              <w:spacing w:after="240"/>
              <w:jc w:val="center"/>
            </w:pPr>
            <w:r w:rsidRPr="00584315">
              <w:t>Table 3</w:t>
            </w:r>
            <w:r w:rsidRPr="00584315">
              <w:br/>
              <w:t>Historical Funding Progress of State Division Plan</w:t>
            </w:r>
            <w:r w:rsidRPr="00584315">
              <w:br/>
              <w:t>Market Value of Plan Assets</w:t>
            </w:r>
            <w:r w:rsidRPr="00584315">
              <w:br/>
            </w:r>
            <w:r w:rsidRPr="00584315">
              <w:rPr>
                <w:sz w:val="18"/>
                <w:szCs w:val="18"/>
              </w:rPr>
              <w:t>(Dollar Amounts in Thousands)</w:t>
            </w:r>
          </w:p>
        </w:tc>
      </w:tr>
      <w:tr w:rsidR="00D11B62" w:rsidRPr="00584315" w:rsidTr="00D11B62">
        <w:trPr>
          <w:jc w:val="center"/>
        </w:trPr>
        <w:tc>
          <w:tcPr>
            <w:tcW w:w="1601" w:type="dxa"/>
            <w:vAlign w:val="bottom"/>
          </w:tcPr>
          <w:p w:rsidR="00D11B62" w:rsidRPr="00584315" w:rsidRDefault="00D11B62" w:rsidP="00D11B62">
            <w:pPr>
              <w:pBdr>
                <w:bottom w:val="single" w:sz="4" w:space="1" w:color="auto"/>
              </w:pBdr>
              <w:spacing w:after="120"/>
              <w:jc w:val="center"/>
            </w:pPr>
            <w:r w:rsidRPr="00584315">
              <w:t>Valuation</w:t>
            </w:r>
            <w:r w:rsidRPr="00584315">
              <w:br/>
              <w:t>Date</w:t>
            </w:r>
            <w:r w:rsidRPr="00584315">
              <w:br/>
              <w:t>(December 31)</w:t>
            </w:r>
          </w:p>
        </w:tc>
        <w:tc>
          <w:tcPr>
            <w:tcW w:w="1602" w:type="dxa"/>
            <w:vAlign w:val="bottom"/>
          </w:tcPr>
          <w:p w:rsidR="00D11B62" w:rsidRPr="00584315" w:rsidRDefault="00D11B62" w:rsidP="00D11B62">
            <w:pPr>
              <w:pBdr>
                <w:bottom w:val="single" w:sz="4" w:space="1" w:color="auto"/>
              </w:pBdr>
              <w:spacing w:after="120"/>
              <w:jc w:val="center"/>
            </w:pPr>
            <w:r w:rsidRPr="00584315">
              <w:t>Market</w:t>
            </w:r>
            <w:r w:rsidRPr="00584315">
              <w:br/>
              <w:t>Value of Plan Assets</w:t>
            </w:r>
            <w:r w:rsidRPr="00584315">
              <w:rPr>
                <w:vertAlign w:val="superscript"/>
              </w:rPr>
              <w:t>*</w:t>
            </w:r>
          </w:p>
        </w:tc>
        <w:tc>
          <w:tcPr>
            <w:tcW w:w="1601" w:type="dxa"/>
            <w:vAlign w:val="bottom"/>
          </w:tcPr>
          <w:p w:rsidR="00D11B62" w:rsidRPr="00584315" w:rsidRDefault="00D11B62" w:rsidP="00D11B62">
            <w:pPr>
              <w:pBdr>
                <w:bottom w:val="single" w:sz="4" w:space="1" w:color="auto"/>
              </w:pBdr>
              <w:spacing w:after="120"/>
              <w:jc w:val="center"/>
            </w:pPr>
            <w:r w:rsidRPr="00584315">
              <w:t>Actuarial Accrued Liability (AAL)</w:t>
            </w:r>
          </w:p>
        </w:tc>
        <w:tc>
          <w:tcPr>
            <w:tcW w:w="1602" w:type="dxa"/>
            <w:vAlign w:val="bottom"/>
          </w:tcPr>
          <w:p w:rsidR="00D11B62" w:rsidRPr="00584315" w:rsidRDefault="00D11B62" w:rsidP="00D11B62">
            <w:pPr>
              <w:pBdr>
                <w:bottom w:val="single" w:sz="4" w:space="1" w:color="auto"/>
              </w:pBdr>
              <w:spacing w:after="120"/>
              <w:jc w:val="center"/>
            </w:pPr>
            <w:r w:rsidRPr="00584315">
              <w:t>Unfunded Actuarial Accrued Liability (UAAL)</w:t>
            </w:r>
          </w:p>
        </w:tc>
        <w:tc>
          <w:tcPr>
            <w:tcW w:w="1601" w:type="dxa"/>
            <w:vAlign w:val="bottom"/>
          </w:tcPr>
          <w:p w:rsidR="00D11B62" w:rsidRPr="00584315" w:rsidRDefault="00D11B62" w:rsidP="00D11B62">
            <w:pPr>
              <w:pBdr>
                <w:bottom w:val="single" w:sz="4" w:space="1" w:color="auto"/>
              </w:pBdr>
              <w:spacing w:after="120"/>
              <w:jc w:val="center"/>
            </w:pPr>
            <w:r w:rsidRPr="00584315">
              <w:t>Funded Ratio</w:t>
            </w:r>
          </w:p>
        </w:tc>
        <w:tc>
          <w:tcPr>
            <w:tcW w:w="1602" w:type="dxa"/>
            <w:vAlign w:val="bottom"/>
          </w:tcPr>
          <w:p w:rsidR="00D11B62" w:rsidRPr="00584315" w:rsidRDefault="00D11B62" w:rsidP="00D11B62">
            <w:pPr>
              <w:pBdr>
                <w:bottom w:val="single" w:sz="4" w:space="1" w:color="auto"/>
              </w:pBdr>
              <w:spacing w:after="120"/>
              <w:jc w:val="center"/>
            </w:pPr>
            <w:r w:rsidRPr="00584315">
              <w:t>Employer Payroll</w:t>
            </w:r>
          </w:p>
        </w:tc>
        <w:tc>
          <w:tcPr>
            <w:tcW w:w="1602" w:type="dxa"/>
            <w:vAlign w:val="bottom"/>
          </w:tcPr>
          <w:p w:rsidR="00D11B62" w:rsidRPr="00584315" w:rsidRDefault="00D11B62" w:rsidP="00D11B62">
            <w:pPr>
              <w:pBdr>
                <w:bottom w:val="single" w:sz="4" w:space="1" w:color="auto"/>
              </w:pBdr>
              <w:spacing w:after="120"/>
              <w:jc w:val="center"/>
            </w:pPr>
            <w:r w:rsidRPr="00584315">
              <w:t>UAAL as Percentage of Employer Payroll</w:t>
            </w:r>
          </w:p>
        </w:tc>
      </w:tr>
      <w:tr w:rsidR="00D11B62" w:rsidRPr="00584315" w:rsidTr="00D11B62">
        <w:trPr>
          <w:jc w:val="center"/>
        </w:trPr>
        <w:tc>
          <w:tcPr>
            <w:tcW w:w="1601" w:type="dxa"/>
            <w:vAlign w:val="bottom"/>
          </w:tcPr>
          <w:p w:rsidR="00D11B62" w:rsidRPr="00584315" w:rsidRDefault="00D11B62" w:rsidP="00D11B62">
            <w:pPr>
              <w:jc w:val="center"/>
            </w:pPr>
            <w:r w:rsidRPr="00584315">
              <w:t>2019</w:t>
            </w:r>
          </w:p>
        </w:tc>
        <w:tc>
          <w:tcPr>
            <w:tcW w:w="1602" w:type="dxa"/>
            <w:vAlign w:val="bottom"/>
          </w:tcPr>
          <w:p w:rsidR="00D11B62" w:rsidRPr="00584315" w:rsidRDefault="00D11B62" w:rsidP="00D11B62">
            <w:pPr>
              <w:tabs>
                <w:tab w:val="decimal" w:pos="1152"/>
              </w:tabs>
              <w:jc w:val="left"/>
            </w:pPr>
            <w:r w:rsidRPr="00584315">
              <w:t>$15,819,843</w:t>
            </w:r>
          </w:p>
        </w:tc>
        <w:tc>
          <w:tcPr>
            <w:tcW w:w="1601" w:type="dxa"/>
            <w:vAlign w:val="bottom"/>
          </w:tcPr>
          <w:p w:rsidR="00D11B62" w:rsidRPr="00584315" w:rsidRDefault="00D11B62" w:rsidP="00D11B62">
            <w:pPr>
              <w:tabs>
                <w:tab w:val="decimal" w:pos="1152"/>
              </w:tabs>
              <w:jc w:val="left"/>
            </w:pPr>
            <w:r w:rsidRPr="00584315">
              <w:t>$25,717,648</w:t>
            </w:r>
          </w:p>
        </w:tc>
        <w:tc>
          <w:tcPr>
            <w:tcW w:w="1602" w:type="dxa"/>
            <w:vAlign w:val="bottom"/>
          </w:tcPr>
          <w:p w:rsidR="00D11B62" w:rsidRPr="00584315" w:rsidRDefault="00D11B62" w:rsidP="00D11B62">
            <w:pPr>
              <w:tabs>
                <w:tab w:val="decimal" w:pos="1152"/>
              </w:tabs>
              <w:jc w:val="left"/>
            </w:pPr>
            <w:r w:rsidRPr="00584315">
              <w:t>$  9,897,805</w:t>
            </w:r>
          </w:p>
        </w:tc>
        <w:tc>
          <w:tcPr>
            <w:tcW w:w="1601" w:type="dxa"/>
            <w:vAlign w:val="bottom"/>
          </w:tcPr>
          <w:p w:rsidR="00D11B62" w:rsidRPr="00584315" w:rsidRDefault="00D11B62" w:rsidP="00D11B62">
            <w:pPr>
              <w:tabs>
                <w:tab w:val="decimal" w:pos="629"/>
              </w:tabs>
              <w:jc w:val="left"/>
            </w:pPr>
            <w:r w:rsidRPr="00584315">
              <w:t>61.5%</w:t>
            </w:r>
          </w:p>
        </w:tc>
        <w:tc>
          <w:tcPr>
            <w:tcW w:w="1602" w:type="dxa"/>
            <w:vAlign w:val="bottom"/>
          </w:tcPr>
          <w:p w:rsidR="00D11B62" w:rsidRPr="00584315" w:rsidRDefault="00D11B62" w:rsidP="00D11B62">
            <w:pPr>
              <w:tabs>
                <w:tab w:val="decimal" w:pos="1108"/>
              </w:tabs>
              <w:jc w:val="left"/>
            </w:pPr>
            <w:r w:rsidRPr="00584315">
              <w:t>$2,995,453</w:t>
            </w:r>
          </w:p>
        </w:tc>
        <w:tc>
          <w:tcPr>
            <w:tcW w:w="1602" w:type="dxa"/>
            <w:vAlign w:val="bottom"/>
          </w:tcPr>
          <w:p w:rsidR="00D11B62" w:rsidRPr="00584315" w:rsidRDefault="00D11B62" w:rsidP="00D11B62">
            <w:pPr>
              <w:tabs>
                <w:tab w:val="decimal" w:pos="731"/>
              </w:tabs>
              <w:jc w:val="left"/>
            </w:pPr>
            <w:r w:rsidRPr="00584315">
              <w:t>330.4%</w:t>
            </w:r>
          </w:p>
        </w:tc>
      </w:tr>
      <w:tr w:rsidR="00D11B62" w:rsidRPr="00584315" w:rsidTr="00D11B62">
        <w:trPr>
          <w:jc w:val="center"/>
        </w:trPr>
        <w:tc>
          <w:tcPr>
            <w:tcW w:w="1601" w:type="dxa"/>
            <w:vAlign w:val="bottom"/>
          </w:tcPr>
          <w:p w:rsidR="00D11B62" w:rsidRPr="00584315" w:rsidRDefault="00D11B62" w:rsidP="00D11B62">
            <w:pPr>
              <w:jc w:val="center"/>
            </w:pPr>
            <w:r w:rsidRPr="00584315">
              <w:t>2018</w:t>
            </w:r>
          </w:p>
        </w:tc>
        <w:tc>
          <w:tcPr>
            <w:tcW w:w="1602" w:type="dxa"/>
            <w:vAlign w:val="bottom"/>
          </w:tcPr>
          <w:p w:rsidR="00D11B62" w:rsidRPr="00584315" w:rsidRDefault="00D11B62" w:rsidP="00D11B62">
            <w:pPr>
              <w:tabs>
                <w:tab w:val="decimal" w:pos="1152"/>
              </w:tabs>
              <w:jc w:val="left"/>
            </w:pPr>
            <w:r w:rsidRPr="00584315">
              <w:t>13,837,863</w:t>
            </w:r>
          </w:p>
        </w:tc>
        <w:tc>
          <w:tcPr>
            <w:tcW w:w="1601" w:type="dxa"/>
            <w:vAlign w:val="bottom"/>
          </w:tcPr>
          <w:p w:rsidR="00D11B62" w:rsidRPr="00584315" w:rsidRDefault="00D11B62" w:rsidP="00D11B62">
            <w:pPr>
              <w:tabs>
                <w:tab w:val="decimal" w:pos="1152"/>
              </w:tabs>
              <w:jc w:val="left"/>
            </w:pPr>
            <w:r w:rsidRPr="00584315">
              <w:t>25,509,852</w:t>
            </w:r>
          </w:p>
        </w:tc>
        <w:tc>
          <w:tcPr>
            <w:tcW w:w="1602" w:type="dxa"/>
            <w:vAlign w:val="bottom"/>
          </w:tcPr>
          <w:p w:rsidR="00D11B62" w:rsidRPr="00584315" w:rsidRDefault="00D11B62" w:rsidP="00D11B62">
            <w:pPr>
              <w:tabs>
                <w:tab w:val="decimal" w:pos="1152"/>
              </w:tabs>
              <w:jc w:val="left"/>
            </w:pPr>
            <w:r w:rsidRPr="00584315">
              <w:t>11,671,989</w:t>
            </w:r>
          </w:p>
        </w:tc>
        <w:tc>
          <w:tcPr>
            <w:tcW w:w="1601" w:type="dxa"/>
            <w:vAlign w:val="bottom"/>
          </w:tcPr>
          <w:p w:rsidR="00D11B62" w:rsidRPr="00584315" w:rsidRDefault="00D11B62" w:rsidP="00D11B62">
            <w:pPr>
              <w:tabs>
                <w:tab w:val="decimal" w:pos="629"/>
              </w:tabs>
              <w:jc w:val="left"/>
            </w:pPr>
            <w:r w:rsidRPr="00584315">
              <w:t>54.2</w:t>
            </w:r>
          </w:p>
        </w:tc>
        <w:tc>
          <w:tcPr>
            <w:tcW w:w="1602" w:type="dxa"/>
            <w:vAlign w:val="bottom"/>
          </w:tcPr>
          <w:p w:rsidR="00D11B62" w:rsidRPr="00584315" w:rsidRDefault="00D11B62" w:rsidP="00D11B62">
            <w:pPr>
              <w:tabs>
                <w:tab w:val="decimal" w:pos="1093"/>
              </w:tabs>
              <w:jc w:val="left"/>
            </w:pPr>
            <w:r w:rsidRPr="00584315">
              <w:t>2,898,827</w:t>
            </w:r>
          </w:p>
        </w:tc>
        <w:tc>
          <w:tcPr>
            <w:tcW w:w="1602" w:type="dxa"/>
            <w:vAlign w:val="bottom"/>
          </w:tcPr>
          <w:p w:rsidR="00D11B62" w:rsidRPr="00584315" w:rsidRDefault="00D11B62" w:rsidP="00D11B62">
            <w:pPr>
              <w:tabs>
                <w:tab w:val="decimal" w:pos="731"/>
              </w:tabs>
              <w:jc w:val="left"/>
            </w:pPr>
            <w:r w:rsidRPr="00584315">
              <w:t>402.6</w:t>
            </w:r>
          </w:p>
        </w:tc>
      </w:tr>
      <w:tr w:rsidR="00D11B62" w:rsidRPr="00584315" w:rsidTr="00D11B62">
        <w:trPr>
          <w:jc w:val="center"/>
        </w:trPr>
        <w:tc>
          <w:tcPr>
            <w:tcW w:w="1601" w:type="dxa"/>
            <w:vAlign w:val="bottom"/>
          </w:tcPr>
          <w:p w:rsidR="00D11B62" w:rsidRPr="00584315" w:rsidRDefault="00D11B62" w:rsidP="00D11B62">
            <w:pPr>
              <w:jc w:val="center"/>
            </w:pPr>
            <w:r w:rsidRPr="00584315">
              <w:t>2017</w:t>
            </w:r>
          </w:p>
        </w:tc>
        <w:tc>
          <w:tcPr>
            <w:tcW w:w="1602" w:type="dxa"/>
            <w:vAlign w:val="bottom"/>
          </w:tcPr>
          <w:p w:rsidR="00D11B62" w:rsidRPr="00584315" w:rsidRDefault="00D11B62" w:rsidP="00D11B62">
            <w:pPr>
              <w:tabs>
                <w:tab w:val="decimal" w:pos="1152"/>
              </w:tabs>
              <w:jc w:val="left"/>
            </w:pPr>
            <w:r w:rsidRPr="00584315">
              <w:t>15,105,378</w:t>
            </w:r>
          </w:p>
        </w:tc>
        <w:tc>
          <w:tcPr>
            <w:tcW w:w="1601" w:type="dxa"/>
            <w:vAlign w:val="bottom"/>
          </w:tcPr>
          <w:p w:rsidR="00D11B62" w:rsidRPr="00584315" w:rsidRDefault="00D11B62" w:rsidP="00D11B62">
            <w:pPr>
              <w:tabs>
                <w:tab w:val="decimal" w:pos="1152"/>
              </w:tabs>
              <w:jc w:val="left"/>
            </w:pPr>
            <w:r w:rsidRPr="00584315">
              <w:t>24,782,085</w:t>
            </w:r>
          </w:p>
        </w:tc>
        <w:tc>
          <w:tcPr>
            <w:tcW w:w="1602" w:type="dxa"/>
            <w:vAlign w:val="bottom"/>
          </w:tcPr>
          <w:p w:rsidR="00D11B62" w:rsidRPr="00584315" w:rsidRDefault="00D11B62" w:rsidP="00D11B62">
            <w:pPr>
              <w:tabs>
                <w:tab w:val="decimal" w:pos="1152"/>
              </w:tabs>
              <w:jc w:val="left"/>
            </w:pPr>
            <w:r w:rsidRPr="00584315">
              <w:t>9,676,707</w:t>
            </w:r>
          </w:p>
        </w:tc>
        <w:tc>
          <w:tcPr>
            <w:tcW w:w="1601" w:type="dxa"/>
            <w:vAlign w:val="bottom"/>
          </w:tcPr>
          <w:p w:rsidR="00D11B62" w:rsidRPr="00584315" w:rsidRDefault="00D11B62" w:rsidP="00D11B62">
            <w:pPr>
              <w:tabs>
                <w:tab w:val="decimal" w:pos="629"/>
              </w:tabs>
              <w:jc w:val="left"/>
            </w:pPr>
            <w:r w:rsidRPr="00584315">
              <w:t>61.0</w:t>
            </w:r>
          </w:p>
        </w:tc>
        <w:tc>
          <w:tcPr>
            <w:tcW w:w="1602" w:type="dxa"/>
            <w:vAlign w:val="bottom"/>
          </w:tcPr>
          <w:p w:rsidR="00D11B62" w:rsidRPr="00584315" w:rsidRDefault="00D11B62" w:rsidP="00D11B62">
            <w:pPr>
              <w:tabs>
                <w:tab w:val="decimal" w:pos="1093"/>
              </w:tabs>
              <w:jc w:val="left"/>
            </w:pPr>
            <w:r w:rsidRPr="00584315">
              <w:t>2,774,207</w:t>
            </w:r>
          </w:p>
        </w:tc>
        <w:tc>
          <w:tcPr>
            <w:tcW w:w="1602" w:type="dxa"/>
            <w:vAlign w:val="bottom"/>
          </w:tcPr>
          <w:p w:rsidR="00D11B62" w:rsidRPr="00584315" w:rsidRDefault="00D11B62" w:rsidP="00D11B62">
            <w:pPr>
              <w:tabs>
                <w:tab w:val="decimal" w:pos="731"/>
              </w:tabs>
              <w:jc w:val="left"/>
            </w:pPr>
            <w:r w:rsidRPr="00584315">
              <w:t>348.8</w:t>
            </w:r>
          </w:p>
        </w:tc>
      </w:tr>
      <w:tr w:rsidR="00D11B62" w:rsidRPr="00584315" w:rsidTr="00D11B62">
        <w:trPr>
          <w:jc w:val="center"/>
        </w:trPr>
        <w:tc>
          <w:tcPr>
            <w:tcW w:w="1601" w:type="dxa"/>
            <w:vAlign w:val="bottom"/>
          </w:tcPr>
          <w:p w:rsidR="00D11B62" w:rsidRPr="00584315" w:rsidRDefault="00D11B62" w:rsidP="00D11B62">
            <w:pPr>
              <w:jc w:val="center"/>
            </w:pPr>
            <w:r w:rsidRPr="00584315">
              <w:t>2016</w:t>
            </w:r>
          </w:p>
        </w:tc>
        <w:tc>
          <w:tcPr>
            <w:tcW w:w="1602" w:type="dxa"/>
            <w:vAlign w:val="bottom"/>
          </w:tcPr>
          <w:p w:rsidR="00D11B62" w:rsidRPr="00584315" w:rsidRDefault="00D11B62" w:rsidP="00D11B62">
            <w:pPr>
              <w:tabs>
                <w:tab w:val="decimal" w:pos="1152"/>
              </w:tabs>
              <w:jc w:val="left"/>
            </w:pPr>
            <w:r w:rsidRPr="00584315">
              <w:t>13,538,772</w:t>
            </w:r>
          </w:p>
        </w:tc>
        <w:tc>
          <w:tcPr>
            <w:tcW w:w="1601" w:type="dxa"/>
            <w:vAlign w:val="bottom"/>
          </w:tcPr>
          <w:p w:rsidR="00D11B62" w:rsidRPr="00584315" w:rsidRDefault="00D11B62" w:rsidP="00D11B62">
            <w:pPr>
              <w:tabs>
                <w:tab w:val="decimal" w:pos="1152"/>
              </w:tabs>
              <w:jc w:val="left"/>
            </w:pPr>
            <w:r w:rsidRPr="00584315">
              <w:t>25,669,916</w:t>
            </w:r>
          </w:p>
        </w:tc>
        <w:tc>
          <w:tcPr>
            <w:tcW w:w="1602" w:type="dxa"/>
            <w:vAlign w:val="bottom"/>
          </w:tcPr>
          <w:p w:rsidR="00D11B62" w:rsidRPr="00584315" w:rsidRDefault="00D11B62" w:rsidP="00D11B62">
            <w:pPr>
              <w:tabs>
                <w:tab w:val="decimal" w:pos="1152"/>
              </w:tabs>
              <w:jc w:val="left"/>
            </w:pPr>
            <w:r w:rsidRPr="00584315">
              <w:t>12,131,144</w:t>
            </w:r>
          </w:p>
        </w:tc>
        <w:tc>
          <w:tcPr>
            <w:tcW w:w="1601" w:type="dxa"/>
            <w:vAlign w:val="bottom"/>
          </w:tcPr>
          <w:p w:rsidR="00D11B62" w:rsidRPr="00584315" w:rsidRDefault="00D11B62" w:rsidP="00D11B62">
            <w:pPr>
              <w:tabs>
                <w:tab w:val="decimal" w:pos="629"/>
              </w:tabs>
              <w:jc w:val="left"/>
            </w:pPr>
            <w:r w:rsidRPr="00584315">
              <w:t>52.7</w:t>
            </w:r>
          </w:p>
        </w:tc>
        <w:tc>
          <w:tcPr>
            <w:tcW w:w="1602" w:type="dxa"/>
            <w:vAlign w:val="bottom"/>
          </w:tcPr>
          <w:p w:rsidR="00D11B62" w:rsidRPr="00584315" w:rsidRDefault="00D11B62" w:rsidP="00D11B62">
            <w:pPr>
              <w:tabs>
                <w:tab w:val="decimal" w:pos="1093"/>
              </w:tabs>
              <w:jc w:val="left"/>
            </w:pPr>
            <w:r w:rsidRPr="00584315">
              <w:t>2,710,651</w:t>
            </w:r>
          </w:p>
        </w:tc>
        <w:tc>
          <w:tcPr>
            <w:tcW w:w="1602" w:type="dxa"/>
            <w:vAlign w:val="bottom"/>
          </w:tcPr>
          <w:p w:rsidR="00D11B62" w:rsidRPr="00584315" w:rsidRDefault="00D11B62" w:rsidP="00D11B62">
            <w:pPr>
              <w:tabs>
                <w:tab w:val="decimal" w:pos="731"/>
              </w:tabs>
              <w:jc w:val="left"/>
            </w:pPr>
            <w:r w:rsidRPr="00584315">
              <w:t>447.5</w:t>
            </w:r>
          </w:p>
        </w:tc>
      </w:tr>
      <w:tr w:rsidR="00D11B62" w:rsidRPr="00584315" w:rsidTr="00D11B62">
        <w:trPr>
          <w:jc w:val="center"/>
        </w:trPr>
        <w:tc>
          <w:tcPr>
            <w:tcW w:w="1601" w:type="dxa"/>
            <w:vAlign w:val="bottom"/>
          </w:tcPr>
          <w:p w:rsidR="00D11B62" w:rsidRPr="00584315" w:rsidRDefault="00D11B62" w:rsidP="00D11B62">
            <w:pPr>
              <w:jc w:val="center"/>
            </w:pPr>
            <w:r w:rsidRPr="00584315">
              <w:t>2015</w:t>
            </w:r>
          </w:p>
        </w:tc>
        <w:tc>
          <w:tcPr>
            <w:tcW w:w="1602" w:type="dxa"/>
            <w:vAlign w:val="bottom"/>
          </w:tcPr>
          <w:p w:rsidR="00D11B62" w:rsidRPr="00584315" w:rsidRDefault="00D11B62" w:rsidP="00D11B62">
            <w:pPr>
              <w:tabs>
                <w:tab w:val="decimal" w:pos="1152"/>
              </w:tabs>
              <w:jc w:val="left"/>
            </w:pPr>
            <w:r w:rsidRPr="00584315">
              <w:t>13,391,398</w:t>
            </w:r>
          </w:p>
        </w:tc>
        <w:tc>
          <w:tcPr>
            <w:tcW w:w="1601" w:type="dxa"/>
            <w:vAlign w:val="bottom"/>
          </w:tcPr>
          <w:p w:rsidR="00D11B62" w:rsidRPr="00584315" w:rsidRDefault="00D11B62" w:rsidP="00D11B62">
            <w:pPr>
              <w:tabs>
                <w:tab w:val="decimal" w:pos="1152"/>
              </w:tabs>
              <w:jc w:val="left"/>
            </w:pPr>
            <w:r w:rsidRPr="00584315">
              <w:t>24,085,671</w:t>
            </w:r>
          </w:p>
        </w:tc>
        <w:tc>
          <w:tcPr>
            <w:tcW w:w="1602" w:type="dxa"/>
            <w:vAlign w:val="bottom"/>
          </w:tcPr>
          <w:p w:rsidR="00D11B62" w:rsidRPr="00584315" w:rsidRDefault="00D11B62" w:rsidP="00D11B62">
            <w:pPr>
              <w:tabs>
                <w:tab w:val="decimal" w:pos="1152"/>
              </w:tabs>
              <w:jc w:val="left"/>
            </w:pPr>
            <w:r w:rsidRPr="00584315">
              <w:t>10,694,273</w:t>
            </w:r>
          </w:p>
        </w:tc>
        <w:tc>
          <w:tcPr>
            <w:tcW w:w="1601" w:type="dxa"/>
            <w:vAlign w:val="bottom"/>
          </w:tcPr>
          <w:p w:rsidR="00D11B62" w:rsidRPr="00584315" w:rsidRDefault="00D11B62" w:rsidP="00D11B62">
            <w:pPr>
              <w:tabs>
                <w:tab w:val="decimal" w:pos="629"/>
              </w:tabs>
              <w:jc w:val="left"/>
            </w:pPr>
            <w:r w:rsidRPr="00584315">
              <w:t>55.6</w:t>
            </w:r>
          </w:p>
        </w:tc>
        <w:tc>
          <w:tcPr>
            <w:tcW w:w="1602" w:type="dxa"/>
            <w:vAlign w:val="bottom"/>
          </w:tcPr>
          <w:p w:rsidR="00D11B62" w:rsidRPr="00584315" w:rsidRDefault="00D11B62" w:rsidP="00D11B62">
            <w:pPr>
              <w:tabs>
                <w:tab w:val="decimal" w:pos="1093"/>
              </w:tabs>
              <w:jc w:val="left"/>
            </w:pPr>
            <w:r w:rsidRPr="00584315">
              <w:t>2,641,867</w:t>
            </w:r>
          </w:p>
        </w:tc>
        <w:tc>
          <w:tcPr>
            <w:tcW w:w="1602" w:type="dxa"/>
            <w:vAlign w:val="bottom"/>
          </w:tcPr>
          <w:p w:rsidR="00D11B62" w:rsidRPr="00584315" w:rsidRDefault="00D11B62" w:rsidP="00D11B62">
            <w:pPr>
              <w:tabs>
                <w:tab w:val="decimal" w:pos="731"/>
              </w:tabs>
              <w:jc w:val="left"/>
            </w:pPr>
            <w:r w:rsidRPr="00584315">
              <w:t>404.8</w:t>
            </w:r>
          </w:p>
        </w:tc>
      </w:tr>
      <w:tr w:rsidR="00D11B62" w:rsidRPr="00584315" w:rsidTr="00D11B62">
        <w:trPr>
          <w:jc w:val="center"/>
        </w:trPr>
        <w:tc>
          <w:tcPr>
            <w:tcW w:w="1601" w:type="dxa"/>
            <w:vAlign w:val="bottom"/>
          </w:tcPr>
          <w:p w:rsidR="00D11B62" w:rsidRPr="00584315" w:rsidRDefault="00D11B62" w:rsidP="00D11B62">
            <w:pPr>
              <w:jc w:val="center"/>
            </w:pPr>
            <w:r w:rsidRPr="00584315">
              <w:t>2014</w:t>
            </w:r>
          </w:p>
        </w:tc>
        <w:tc>
          <w:tcPr>
            <w:tcW w:w="1602" w:type="dxa"/>
            <w:vAlign w:val="bottom"/>
          </w:tcPr>
          <w:p w:rsidR="00D11B62" w:rsidRPr="00584315" w:rsidRDefault="00D11B62" w:rsidP="00D11B62">
            <w:pPr>
              <w:tabs>
                <w:tab w:val="decimal" w:pos="1152"/>
              </w:tabs>
              <w:jc w:val="left"/>
            </w:pPr>
            <w:r w:rsidRPr="00584315">
              <w:t>13,956,630</w:t>
            </w:r>
          </w:p>
        </w:tc>
        <w:tc>
          <w:tcPr>
            <w:tcW w:w="1601" w:type="dxa"/>
            <w:vAlign w:val="bottom"/>
          </w:tcPr>
          <w:p w:rsidR="00D11B62" w:rsidRPr="00584315" w:rsidRDefault="00D11B62" w:rsidP="00D11B62">
            <w:pPr>
              <w:tabs>
                <w:tab w:val="decimal" w:pos="1152"/>
              </w:tabs>
              <w:jc w:val="left"/>
            </w:pPr>
            <w:r w:rsidRPr="00584315">
              <w:t>23,408,321</w:t>
            </w:r>
          </w:p>
        </w:tc>
        <w:tc>
          <w:tcPr>
            <w:tcW w:w="1602" w:type="dxa"/>
            <w:vAlign w:val="bottom"/>
          </w:tcPr>
          <w:p w:rsidR="00D11B62" w:rsidRPr="00584315" w:rsidRDefault="00D11B62" w:rsidP="00D11B62">
            <w:pPr>
              <w:tabs>
                <w:tab w:val="decimal" w:pos="1152"/>
              </w:tabs>
              <w:jc w:val="left"/>
            </w:pPr>
            <w:r w:rsidRPr="00584315">
              <w:t>9,451,691</w:t>
            </w:r>
          </w:p>
        </w:tc>
        <w:tc>
          <w:tcPr>
            <w:tcW w:w="1601" w:type="dxa"/>
            <w:vAlign w:val="bottom"/>
          </w:tcPr>
          <w:p w:rsidR="00D11B62" w:rsidRPr="00584315" w:rsidRDefault="00D11B62" w:rsidP="00D11B62">
            <w:pPr>
              <w:tabs>
                <w:tab w:val="decimal" w:pos="629"/>
              </w:tabs>
              <w:jc w:val="left"/>
            </w:pPr>
            <w:r w:rsidRPr="00584315">
              <w:t>59.6</w:t>
            </w:r>
          </w:p>
        </w:tc>
        <w:tc>
          <w:tcPr>
            <w:tcW w:w="1602" w:type="dxa"/>
            <w:vAlign w:val="bottom"/>
          </w:tcPr>
          <w:p w:rsidR="00D11B62" w:rsidRPr="00584315" w:rsidRDefault="00D11B62" w:rsidP="00D11B62">
            <w:pPr>
              <w:tabs>
                <w:tab w:val="decimal" w:pos="1093"/>
              </w:tabs>
              <w:jc w:val="left"/>
            </w:pPr>
            <w:r w:rsidRPr="00584315">
              <w:t>2,564,670</w:t>
            </w:r>
          </w:p>
        </w:tc>
        <w:tc>
          <w:tcPr>
            <w:tcW w:w="1602" w:type="dxa"/>
            <w:vAlign w:val="bottom"/>
          </w:tcPr>
          <w:p w:rsidR="00D11B62" w:rsidRPr="00584315" w:rsidRDefault="00D11B62" w:rsidP="00D11B62">
            <w:pPr>
              <w:tabs>
                <w:tab w:val="decimal" w:pos="731"/>
              </w:tabs>
              <w:jc w:val="left"/>
            </w:pPr>
            <w:r w:rsidRPr="00584315">
              <w:t>368.5</w:t>
            </w:r>
          </w:p>
        </w:tc>
      </w:tr>
      <w:tr w:rsidR="00D11B62" w:rsidRPr="00584315" w:rsidTr="00D11B62">
        <w:trPr>
          <w:jc w:val="center"/>
        </w:trPr>
        <w:tc>
          <w:tcPr>
            <w:tcW w:w="1601" w:type="dxa"/>
            <w:vAlign w:val="bottom"/>
          </w:tcPr>
          <w:p w:rsidR="00D11B62" w:rsidRPr="00584315" w:rsidRDefault="00D11B62" w:rsidP="00D11B62">
            <w:pPr>
              <w:jc w:val="center"/>
            </w:pPr>
            <w:r w:rsidRPr="00584315">
              <w:t>2013</w:t>
            </w:r>
          </w:p>
        </w:tc>
        <w:tc>
          <w:tcPr>
            <w:tcW w:w="1602" w:type="dxa"/>
            <w:vAlign w:val="bottom"/>
          </w:tcPr>
          <w:p w:rsidR="00D11B62" w:rsidRPr="00584315" w:rsidRDefault="00D11B62" w:rsidP="00D11B62">
            <w:pPr>
              <w:tabs>
                <w:tab w:val="decimal" w:pos="1152"/>
              </w:tabs>
              <w:jc w:val="left"/>
            </w:pPr>
            <w:r w:rsidRPr="00584315">
              <w:t>13,935,754</w:t>
            </w:r>
          </w:p>
        </w:tc>
        <w:tc>
          <w:tcPr>
            <w:tcW w:w="1601" w:type="dxa"/>
            <w:vAlign w:val="bottom"/>
          </w:tcPr>
          <w:p w:rsidR="00D11B62" w:rsidRPr="00584315" w:rsidRDefault="00D11B62" w:rsidP="00D11B62">
            <w:pPr>
              <w:tabs>
                <w:tab w:val="decimal" w:pos="1152"/>
              </w:tabs>
              <w:jc w:val="left"/>
            </w:pPr>
            <w:r w:rsidRPr="00584315">
              <w:t>22,843,725</w:t>
            </w:r>
          </w:p>
        </w:tc>
        <w:tc>
          <w:tcPr>
            <w:tcW w:w="1602" w:type="dxa"/>
            <w:vAlign w:val="bottom"/>
          </w:tcPr>
          <w:p w:rsidR="00D11B62" w:rsidRPr="00584315" w:rsidRDefault="00D11B62" w:rsidP="00D11B62">
            <w:pPr>
              <w:tabs>
                <w:tab w:val="decimal" w:pos="1152"/>
              </w:tabs>
              <w:jc w:val="left"/>
            </w:pPr>
            <w:r w:rsidRPr="00584315">
              <w:t>8,907,971</w:t>
            </w:r>
          </w:p>
        </w:tc>
        <w:tc>
          <w:tcPr>
            <w:tcW w:w="1601" w:type="dxa"/>
            <w:vAlign w:val="bottom"/>
          </w:tcPr>
          <w:p w:rsidR="00D11B62" w:rsidRPr="00584315" w:rsidRDefault="00D11B62" w:rsidP="00D11B62">
            <w:pPr>
              <w:tabs>
                <w:tab w:val="decimal" w:pos="629"/>
              </w:tabs>
              <w:jc w:val="left"/>
            </w:pPr>
            <w:r w:rsidRPr="00584315">
              <w:t>61.0</w:t>
            </w:r>
          </w:p>
        </w:tc>
        <w:tc>
          <w:tcPr>
            <w:tcW w:w="1602" w:type="dxa"/>
            <w:vAlign w:val="bottom"/>
          </w:tcPr>
          <w:p w:rsidR="00D11B62" w:rsidRPr="00584315" w:rsidRDefault="00D11B62" w:rsidP="00D11B62">
            <w:pPr>
              <w:tabs>
                <w:tab w:val="decimal" w:pos="1093"/>
              </w:tabs>
              <w:jc w:val="left"/>
            </w:pPr>
            <w:r w:rsidRPr="00584315">
              <w:t>2,474,965</w:t>
            </w:r>
          </w:p>
        </w:tc>
        <w:tc>
          <w:tcPr>
            <w:tcW w:w="1602" w:type="dxa"/>
            <w:vAlign w:val="bottom"/>
          </w:tcPr>
          <w:p w:rsidR="00D11B62" w:rsidRPr="00584315" w:rsidRDefault="00D11B62" w:rsidP="00D11B62">
            <w:pPr>
              <w:tabs>
                <w:tab w:val="decimal" w:pos="731"/>
              </w:tabs>
              <w:jc w:val="left"/>
            </w:pPr>
            <w:r w:rsidRPr="00584315">
              <w:t>359.9</w:t>
            </w:r>
          </w:p>
        </w:tc>
      </w:tr>
      <w:tr w:rsidR="00D11B62" w:rsidRPr="00584315" w:rsidTr="00D11B62">
        <w:trPr>
          <w:jc w:val="center"/>
        </w:trPr>
        <w:tc>
          <w:tcPr>
            <w:tcW w:w="1601" w:type="dxa"/>
            <w:vAlign w:val="bottom"/>
          </w:tcPr>
          <w:p w:rsidR="00D11B62" w:rsidRPr="00584315" w:rsidRDefault="00D11B62" w:rsidP="00D11B62">
            <w:pPr>
              <w:jc w:val="center"/>
            </w:pPr>
            <w:r w:rsidRPr="00584315">
              <w:t>2012</w:t>
            </w:r>
          </w:p>
        </w:tc>
        <w:tc>
          <w:tcPr>
            <w:tcW w:w="1602" w:type="dxa"/>
            <w:vAlign w:val="bottom"/>
          </w:tcPr>
          <w:p w:rsidR="00D11B62" w:rsidRPr="00584315" w:rsidRDefault="00D11B62" w:rsidP="00D11B62">
            <w:pPr>
              <w:tabs>
                <w:tab w:val="decimal" w:pos="1152"/>
              </w:tabs>
              <w:jc w:val="left"/>
            </w:pPr>
            <w:r w:rsidRPr="00584315">
              <w:t>12,766,459</w:t>
            </w:r>
          </w:p>
        </w:tc>
        <w:tc>
          <w:tcPr>
            <w:tcW w:w="1601" w:type="dxa"/>
            <w:vAlign w:val="bottom"/>
          </w:tcPr>
          <w:p w:rsidR="00D11B62" w:rsidRPr="00584315" w:rsidRDefault="00D11B62" w:rsidP="00D11B62">
            <w:pPr>
              <w:tabs>
                <w:tab w:val="decimal" w:pos="1152"/>
              </w:tabs>
              <w:jc w:val="left"/>
            </w:pPr>
            <w:r w:rsidRPr="00584315">
              <w:t>21,191,495</w:t>
            </w:r>
          </w:p>
        </w:tc>
        <w:tc>
          <w:tcPr>
            <w:tcW w:w="1602" w:type="dxa"/>
            <w:vAlign w:val="bottom"/>
          </w:tcPr>
          <w:p w:rsidR="00D11B62" w:rsidRPr="00584315" w:rsidRDefault="00D11B62" w:rsidP="00D11B62">
            <w:pPr>
              <w:tabs>
                <w:tab w:val="decimal" w:pos="1152"/>
              </w:tabs>
              <w:jc w:val="left"/>
            </w:pPr>
            <w:r w:rsidRPr="00584315">
              <w:t>8,425,036</w:t>
            </w:r>
          </w:p>
        </w:tc>
        <w:tc>
          <w:tcPr>
            <w:tcW w:w="1601" w:type="dxa"/>
            <w:vAlign w:val="bottom"/>
          </w:tcPr>
          <w:p w:rsidR="00D11B62" w:rsidRPr="00584315" w:rsidRDefault="00D11B62" w:rsidP="00D11B62">
            <w:pPr>
              <w:tabs>
                <w:tab w:val="decimal" w:pos="629"/>
              </w:tabs>
              <w:jc w:val="left"/>
            </w:pPr>
            <w:r w:rsidRPr="00584315">
              <w:t>60.2</w:t>
            </w:r>
          </w:p>
        </w:tc>
        <w:tc>
          <w:tcPr>
            <w:tcW w:w="1602" w:type="dxa"/>
            <w:vAlign w:val="bottom"/>
          </w:tcPr>
          <w:p w:rsidR="00D11B62" w:rsidRPr="00584315" w:rsidRDefault="00D11B62" w:rsidP="00D11B62">
            <w:pPr>
              <w:tabs>
                <w:tab w:val="decimal" w:pos="1093"/>
              </w:tabs>
              <w:jc w:val="left"/>
            </w:pPr>
            <w:r w:rsidRPr="00584315">
              <w:t>2,384,934</w:t>
            </w:r>
          </w:p>
        </w:tc>
        <w:tc>
          <w:tcPr>
            <w:tcW w:w="1602" w:type="dxa"/>
            <w:vAlign w:val="bottom"/>
          </w:tcPr>
          <w:p w:rsidR="00D11B62" w:rsidRPr="00584315" w:rsidRDefault="00D11B62" w:rsidP="00D11B62">
            <w:pPr>
              <w:tabs>
                <w:tab w:val="decimal" w:pos="731"/>
              </w:tabs>
              <w:jc w:val="left"/>
            </w:pPr>
            <w:r w:rsidRPr="00584315">
              <w:t>353.3</w:t>
            </w:r>
          </w:p>
        </w:tc>
      </w:tr>
      <w:tr w:rsidR="00D11B62" w:rsidRPr="00584315" w:rsidTr="00D11B62">
        <w:trPr>
          <w:jc w:val="center"/>
        </w:trPr>
        <w:tc>
          <w:tcPr>
            <w:tcW w:w="1601" w:type="dxa"/>
            <w:vAlign w:val="bottom"/>
          </w:tcPr>
          <w:p w:rsidR="00D11B62" w:rsidRPr="00584315" w:rsidRDefault="00D11B62" w:rsidP="00D11B62">
            <w:pPr>
              <w:jc w:val="center"/>
            </w:pPr>
            <w:r w:rsidRPr="00584315">
              <w:t>2011</w:t>
            </w:r>
          </w:p>
        </w:tc>
        <w:tc>
          <w:tcPr>
            <w:tcW w:w="1602" w:type="dxa"/>
            <w:vAlign w:val="bottom"/>
          </w:tcPr>
          <w:p w:rsidR="00D11B62" w:rsidRPr="00584315" w:rsidRDefault="00D11B62" w:rsidP="00D11B62">
            <w:pPr>
              <w:tabs>
                <w:tab w:val="decimal" w:pos="1152"/>
              </w:tabs>
              <w:jc w:val="left"/>
            </w:pPr>
            <w:r w:rsidRPr="00584315">
              <w:t>12,001,770</w:t>
            </w:r>
          </w:p>
        </w:tc>
        <w:tc>
          <w:tcPr>
            <w:tcW w:w="1601" w:type="dxa"/>
            <w:vAlign w:val="bottom"/>
          </w:tcPr>
          <w:p w:rsidR="00D11B62" w:rsidRPr="00584315" w:rsidRDefault="00D11B62" w:rsidP="00D11B62">
            <w:pPr>
              <w:tabs>
                <w:tab w:val="decimal" w:pos="1152"/>
              </w:tabs>
              <w:jc w:val="left"/>
            </w:pPr>
            <w:r w:rsidRPr="00584315">
              <w:t>20,826,543</w:t>
            </w:r>
          </w:p>
        </w:tc>
        <w:tc>
          <w:tcPr>
            <w:tcW w:w="1602" w:type="dxa"/>
            <w:vAlign w:val="bottom"/>
          </w:tcPr>
          <w:p w:rsidR="00D11B62" w:rsidRPr="00584315" w:rsidRDefault="00D11B62" w:rsidP="00D11B62">
            <w:pPr>
              <w:tabs>
                <w:tab w:val="decimal" w:pos="1152"/>
              </w:tabs>
              <w:jc w:val="left"/>
            </w:pPr>
            <w:r w:rsidRPr="00584315">
              <w:t>8,824,773</w:t>
            </w:r>
          </w:p>
        </w:tc>
        <w:tc>
          <w:tcPr>
            <w:tcW w:w="1601" w:type="dxa"/>
            <w:vAlign w:val="bottom"/>
          </w:tcPr>
          <w:p w:rsidR="00D11B62" w:rsidRPr="00584315" w:rsidRDefault="00D11B62" w:rsidP="00D11B62">
            <w:pPr>
              <w:tabs>
                <w:tab w:val="decimal" w:pos="629"/>
              </w:tabs>
              <w:jc w:val="left"/>
            </w:pPr>
            <w:r w:rsidRPr="00584315">
              <w:t>57.6</w:t>
            </w:r>
          </w:p>
        </w:tc>
        <w:tc>
          <w:tcPr>
            <w:tcW w:w="1602" w:type="dxa"/>
            <w:vAlign w:val="bottom"/>
          </w:tcPr>
          <w:p w:rsidR="00D11B62" w:rsidRPr="00584315" w:rsidRDefault="00D11B62" w:rsidP="00D11B62">
            <w:pPr>
              <w:tabs>
                <w:tab w:val="decimal" w:pos="1093"/>
              </w:tabs>
              <w:jc w:val="left"/>
            </w:pPr>
            <w:r w:rsidRPr="00584315">
              <w:t>2,393,791</w:t>
            </w:r>
          </w:p>
        </w:tc>
        <w:tc>
          <w:tcPr>
            <w:tcW w:w="1602" w:type="dxa"/>
            <w:vAlign w:val="bottom"/>
          </w:tcPr>
          <w:p w:rsidR="00D11B62" w:rsidRPr="00584315" w:rsidRDefault="00D11B62" w:rsidP="00D11B62">
            <w:pPr>
              <w:tabs>
                <w:tab w:val="decimal" w:pos="731"/>
              </w:tabs>
              <w:jc w:val="left"/>
            </w:pPr>
            <w:r w:rsidRPr="00584315">
              <w:t>368.7</w:t>
            </w:r>
          </w:p>
        </w:tc>
      </w:tr>
      <w:tr w:rsidR="00D11B62" w:rsidRPr="00584315" w:rsidTr="00D11B62">
        <w:trPr>
          <w:jc w:val="center"/>
        </w:trPr>
        <w:tc>
          <w:tcPr>
            <w:tcW w:w="1601" w:type="dxa"/>
            <w:vAlign w:val="bottom"/>
          </w:tcPr>
          <w:p w:rsidR="00D11B62" w:rsidRPr="00584315" w:rsidRDefault="00D11B62" w:rsidP="00D11B62">
            <w:pPr>
              <w:jc w:val="center"/>
            </w:pPr>
            <w:r w:rsidRPr="00584315">
              <w:t>2010</w:t>
            </w:r>
          </w:p>
        </w:tc>
        <w:tc>
          <w:tcPr>
            <w:tcW w:w="1602" w:type="dxa"/>
            <w:vAlign w:val="bottom"/>
          </w:tcPr>
          <w:p w:rsidR="00D11B62" w:rsidRPr="00584315" w:rsidRDefault="00D11B62" w:rsidP="00D11B62">
            <w:pPr>
              <w:tabs>
                <w:tab w:val="decimal" w:pos="1152"/>
              </w:tabs>
              <w:jc w:val="left"/>
            </w:pPr>
            <w:r w:rsidRPr="00584315">
              <w:t>12,487,105</w:t>
            </w:r>
          </w:p>
        </w:tc>
        <w:tc>
          <w:tcPr>
            <w:tcW w:w="1601" w:type="dxa"/>
            <w:vAlign w:val="bottom"/>
          </w:tcPr>
          <w:p w:rsidR="00D11B62" w:rsidRPr="00584315" w:rsidRDefault="00D11B62" w:rsidP="00D11B62">
            <w:pPr>
              <w:tabs>
                <w:tab w:val="decimal" w:pos="1152"/>
              </w:tabs>
              <w:jc w:val="left"/>
            </w:pPr>
            <w:r w:rsidRPr="00584315">
              <w:t>20,356,176</w:t>
            </w:r>
          </w:p>
        </w:tc>
        <w:tc>
          <w:tcPr>
            <w:tcW w:w="1602" w:type="dxa"/>
            <w:vAlign w:val="bottom"/>
          </w:tcPr>
          <w:p w:rsidR="00D11B62" w:rsidRPr="00584315" w:rsidRDefault="00D11B62" w:rsidP="00D11B62">
            <w:pPr>
              <w:tabs>
                <w:tab w:val="decimal" w:pos="1152"/>
              </w:tabs>
              <w:jc w:val="left"/>
            </w:pPr>
            <w:r w:rsidRPr="00584315">
              <w:t>7,869,071</w:t>
            </w:r>
          </w:p>
        </w:tc>
        <w:tc>
          <w:tcPr>
            <w:tcW w:w="1601" w:type="dxa"/>
            <w:vAlign w:val="bottom"/>
          </w:tcPr>
          <w:p w:rsidR="00D11B62" w:rsidRPr="00584315" w:rsidRDefault="00D11B62" w:rsidP="00D11B62">
            <w:pPr>
              <w:tabs>
                <w:tab w:val="decimal" w:pos="629"/>
              </w:tabs>
              <w:jc w:val="left"/>
            </w:pPr>
            <w:r w:rsidRPr="00584315">
              <w:t>61.3</w:t>
            </w:r>
          </w:p>
        </w:tc>
        <w:tc>
          <w:tcPr>
            <w:tcW w:w="1602" w:type="dxa"/>
            <w:vAlign w:val="bottom"/>
          </w:tcPr>
          <w:p w:rsidR="00D11B62" w:rsidRPr="00584315" w:rsidRDefault="00D11B62" w:rsidP="00D11B62">
            <w:pPr>
              <w:tabs>
                <w:tab w:val="decimal" w:pos="1093"/>
              </w:tabs>
              <w:jc w:val="left"/>
            </w:pPr>
            <w:r w:rsidRPr="00584315">
              <w:t>2,392,080</w:t>
            </w:r>
          </w:p>
        </w:tc>
        <w:tc>
          <w:tcPr>
            <w:tcW w:w="1602" w:type="dxa"/>
            <w:vAlign w:val="bottom"/>
          </w:tcPr>
          <w:p w:rsidR="00D11B62" w:rsidRPr="00584315" w:rsidRDefault="00D11B62" w:rsidP="00D11B62">
            <w:pPr>
              <w:tabs>
                <w:tab w:val="decimal" w:pos="731"/>
              </w:tabs>
              <w:jc w:val="left"/>
            </w:pPr>
            <w:r w:rsidRPr="00584315">
              <w:t>329.0</w:t>
            </w:r>
          </w:p>
        </w:tc>
      </w:tr>
      <w:tr w:rsidR="00D11B62" w:rsidRPr="00584315" w:rsidTr="00D11B62">
        <w:trPr>
          <w:jc w:val="center"/>
        </w:trPr>
        <w:tc>
          <w:tcPr>
            <w:tcW w:w="11211" w:type="dxa"/>
            <w:gridSpan w:val="7"/>
            <w:vAlign w:val="bottom"/>
          </w:tcPr>
          <w:p w:rsidR="00D11B62" w:rsidRPr="00584315" w:rsidRDefault="00D11B62" w:rsidP="00D11B62">
            <w:pPr>
              <w:jc w:val="left"/>
              <w:rPr>
                <w:sz w:val="18"/>
                <w:szCs w:val="18"/>
              </w:rPr>
            </w:pPr>
            <w:r w:rsidRPr="00584315">
              <w:rPr>
                <w:sz w:val="18"/>
                <w:szCs w:val="18"/>
              </w:rPr>
              <w:t>____________________</w:t>
            </w:r>
          </w:p>
          <w:p w:rsidR="00D11B62" w:rsidRPr="00584315" w:rsidRDefault="00D11B62" w:rsidP="00D11B62">
            <w:pPr>
              <w:jc w:val="left"/>
              <w:rPr>
                <w:sz w:val="18"/>
                <w:szCs w:val="18"/>
              </w:rPr>
            </w:pPr>
            <w:r w:rsidRPr="00584315">
              <w:rPr>
                <w:sz w:val="18"/>
                <w:szCs w:val="18"/>
                <w:vertAlign w:val="superscript"/>
              </w:rPr>
              <w:t>*</w:t>
            </w:r>
            <w:r w:rsidRPr="00584315">
              <w:rPr>
                <w:sz w:val="18"/>
                <w:szCs w:val="18"/>
              </w:rPr>
              <w:t xml:space="preserve"> The market value of Plan assets is the fair value of the assets determined in conformity with GASB standards.  See the Investment Section of the PERA 2019 CAFR.</w:t>
            </w:r>
          </w:p>
          <w:p w:rsidR="00D11B62" w:rsidRPr="00584315" w:rsidRDefault="00D11B62" w:rsidP="00D11B62">
            <w:pPr>
              <w:jc w:val="left"/>
              <w:rPr>
                <w:sz w:val="18"/>
                <w:szCs w:val="18"/>
              </w:rPr>
            </w:pPr>
            <w:r w:rsidRPr="00584315">
              <w:rPr>
                <w:sz w:val="18"/>
                <w:szCs w:val="18"/>
              </w:rPr>
              <w:t>Source: PERA Comprehensive Annual Financial Reports for calendar years 2010 through 2019.</w:t>
            </w:r>
          </w:p>
        </w:tc>
      </w:tr>
    </w:tbl>
    <w:p w:rsidR="00D11B62" w:rsidRDefault="00D11B62" w:rsidP="00347EFC"/>
    <w:p w:rsidR="00D11B62" w:rsidRDefault="00D11B62" w:rsidP="00D11B62">
      <w:pPr>
        <w:pStyle w:val="BodyText1"/>
      </w:pPr>
      <w:r w:rsidRPr="00D11B62">
        <w:t>Since contribution rates to the State Division Plan are fixed by statute, unless changes are made to such rates or changes are made to Plan provisions to reduce benefit payments, improvements in the funding status of the State Division Plan are expected to come primarily from increases in investment returns on Plan assets or changes in the actuarial assumptions used to determine the value of Plan assets and the AAL.  Changes to contribution rates or other Plan provisions, or the use of alternative Plan funding strategies, would require legislative action by the General Assembly, of which there can be no assurance.</w:t>
      </w:r>
    </w:p>
    <w:p w:rsidR="00D11B62" w:rsidRDefault="00D11B62" w:rsidP="00347EFC"/>
    <w:p w:rsidR="00D11B62" w:rsidRDefault="00D11B62" w:rsidP="00347EFC"/>
    <w:p w:rsidR="00D11B62" w:rsidRDefault="00D11B62" w:rsidP="00D11B62">
      <w:pPr>
        <w:jc w:val="center"/>
      </w:pPr>
      <w:r w:rsidRPr="00D11B62">
        <w:t>[Remainder of page intentionally left blank]</w:t>
      </w:r>
    </w:p>
    <w:p w:rsidR="00D11B62" w:rsidRDefault="00D11B62" w:rsidP="00347EFC"/>
    <w:p w:rsidR="00D11B62" w:rsidRDefault="00D11B62" w:rsidP="00347EFC"/>
    <w:p w:rsidR="00D11B62" w:rsidRDefault="00D11B62" w:rsidP="00347EFC"/>
    <w:p w:rsidR="00D11B62" w:rsidRDefault="00D11B62">
      <w:pPr>
        <w:spacing w:after="160" w:line="259" w:lineRule="auto"/>
        <w:jc w:val="left"/>
      </w:pPr>
      <w:r>
        <w:br w:type="page"/>
      </w:r>
    </w:p>
    <w:p w:rsidR="00D11B62" w:rsidRDefault="00D11B62" w:rsidP="00D11B62">
      <w:pPr>
        <w:pStyle w:val="OSappendixsubheading0"/>
      </w:pPr>
      <w:r>
        <w:t>Fiduciary Net Position of the State Division Plan</w:t>
      </w:r>
    </w:p>
    <w:p w:rsidR="00D11B62" w:rsidRDefault="00D11B62" w:rsidP="00D11B62">
      <w:pPr>
        <w:pStyle w:val="BodyText1"/>
      </w:pPr>
      <w:r>
        <w:t>The Statement of Fiduciary Net Position of the State Division Plan as of December 31, 2019, is included in PERA’s basic financial statements set forth in the Financial Section of the PERA 2019 CAFR.  The following table sets forth for each of the past ten years the changes in fiduciary net position of the State Division Plan.</w:t>
      </w:r>
    </w:p>
    <w:tbl>
      <w:tblPr>
        <w:tblStyle w:val="TableGrid30"/>
        <w:tblW w:w="1162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0"/>
        <w:gridCol w:w="944"/>
        <w:gridCol w:w="991"/>
        <w:gridCol w:w="964"/>
        <w:gridCol w:w="968"/>
        <w:gridCol w:w="1019"/>
        <w:gridCol w:w="967"/>
        <w:gridCol w:w="972"/>
        <w:gridCol w:w="1011"/>
        <w:gridCol w:w="1024"/>
        <w:gridCol w:w="975"/>
      </w:tblGrid>
      <w:tr w:rsidR="00D11B62" w:rsidRPr="00584315" w:rsidTr="00D11B62">
        <w:trPr>
          <w:jc w:val="center"/>
        </w:trPr>
        <w:tc>
          <w:tcPr>
            <w:tcW w:w="11625" w:type="dxa"/>
            <w:gridSpan w:val="11"/>
            <w:vAlign w:val="bottom"/>
          </w:tcPr>
          <w:p w:rsidR="00D11B62" w:rsidRPr="00584315" w:rsidRDefault="00D11B62" w:rsidP="00D11B62">
            <w:pPr>
              <w:spacing w:after="240"/>
              <w:jc w:val="center"/>
              <w:rPr>
                <w:sz w:val="14"/>
              </w:rPr>
            </w:pPr>
            <w:r w:rsidRPr="00584315">
              <w:rPr>
                <w:sz w:val="14"/>
              </w:rPr>
              <w:t>Table 4</w:t>
            </w:r>
            <w:r w:rsidRPr="00584315">
              <w:rPr>
                <w:sz w:val="14"/>
              </w:rPr>
              <w:br/>
              <w:t>Changes in Fiduciary Net Position</w:t>
            </w:r>
            <w:r w:rsidRPr="00584315">
              <w:rPr>
                <w:sz w:val="14"/>
              </w:rPr>
              <w:br/>
              <w:t>State Division</w:t>
            </w:r>
            <w:r w:rsidRPr="00584315">
              <w:rPr>
                <w:sz w:val="14"/>
              </w:rPr>
              <w:br/>
              <w:t>(Cash Basis; Dollar Amounts in Thousands)</w:t>
            </w:r>
          </w:p>
        </w:tc>
      </w:tr>
      <w:tr w:rsidR="00D11B62" w:rsidRPr="00584315" w:rsidTr="005C6B61">
        <w:trPr>
          <w:jc w:val="center"/>
        </w:trPr>
        <w:tc>
          <w:tcPr>
            <w:tcW w:w="1790" w:type="dxa"/>
            <w:vAlign w:val="bottom"/>
          </w:tcPr>
          <w:p w:rsidR="00D11B62" w:rsidRPr="00584315" w:rsidRDefault="00D11B62" w:rsidP="00D11B62">
            <w:pPr>
              <w:spacing w:after="120"/>
              <w:jc w:val="left"/>
              <w:rPr>
                <w:sz w:val="14"/>
              </w:rPr>
            </w:pPr>
          </w:p>
        </w:tc>
        <w:tc>
          <w:tcPr>
            <w:tcW w:w="9835" w:type="dxa"/>
            <w:gridSpan w:val="10"/>
            <w:vAlign w:val="bottom"/>
          </w:tcPr>
          <w:p w:rsidR="00D11B62" w:rsidRPr="00584315" w:rsidRDefault="00D11B62" w:rsidP="00D11B62">
            <w:pPr>
              <w:pBdr>
                <w:bottom w:val="single" w:sz="4" w:space="1" w:color="auto"/>
              </w:pBdr>
              <w:spacing w:after="120"/>
              <w:jc w:val="center"/>
              <w:rPr>
                <w:sz w:val="14"/>
              </w:rPr>
            </w:pPr>
            <w:r w:rsidRPr="00584315">
              <w:rPr>
                <w:sz w:val="14"/>
              </w:rPr>
              <w:t>For the Year Ended December 31,</w:t>
            </w:r>
          </w:p>
        </w:tc>
      </w:tr>
      <w:tr w:rsidR="00D11B62" w:rsidRPr="00584315" w:rsidTr="005C6B61">
        <w:trPr>
          <w:jc w:val="center"/>
        </w:trPr>
        <w:tc>
          <w:tcPr>
            <w:tcW w:w="1790" w:type="dxa"/>
            <w:vAlign w:val="bottom"/>
          </w:tcPr>
          <w:p w:rsidR="00D11B62" w:rsidRPr="00584315" w:rsidRDefault="00D11B62" w:rsidP="00D11B62">
            <w:pPr>
              <w:spacing w:after="120"/>
              <w:jc w:val="center"/>
              <w:rPr>
                <w:sz w:val="14"/>
              </w:rPr>
            </w:pPr>
          </w:p>
        </w:tc>
        <w:tc>
          <w:tcPr>
            <w:tcW w:w="944" w:type="dxa"/>
            <w:vAlign w:val="bottom"/>
          </w:tcPr>
          <w:p w:rsidR="00D11B62" w:rsidRPr="00584315" w:rsidRDefault="00D11B62" w:rsidP="00D11B62">
            <w:pPr>
              <w:pBdr>
                <w:bottom w:val="single" w:sz="4" w:space="1" w:color="auto"/>
              </w:pBdr>
              <w:spacing w:after="120"/>
              <w:jc w:val="center"/>
              <w:rPr>
                <w:sz w:val="14"/>
              </w:rPr>
            </w:pPr>
            <w:r w:rsidRPr="00584315">
              <w:rPr>
                <w:sz w:val="14"/>
              </w:rPr>
              <w:t>2019</w:t>
            </w:r>
          </w:p>
        </w:tc>
        <w:tc>
          <w:tcPr>
            <w:tcW w:w="991" w:type="dxa"/>
            <w:vAlign w:val="bottom"/>
          </w:tcPr>
          <w:p w:rsidR="00D11B62" w:rsidRPr="00584315" w:rsidRDefault="00D11B62" w:rsidP="00D11B62">
            <w:pPr>
              <w:pBdr>
                <w:bottom w:val="single" w:sz="4" w:space="1" w:color="auto"/>
              </w:pBdr>
              <w:spacing w:after="120"/>
              <w:jc w:val="center"/>
              <w:rPr>
                <w:sz w:val="14"/>
              </w:rPr>
            </w:pPr>
            <w:r w:rsidRPr="00584315">
              <w:rPr>
                <w:sz w:val="14"/>
              </w:rPr>
              <w:t>2018</w:t>
            </w:r>
          </w:p>
        </w:tc>
        <w:tc>
          <w:tcPr>
            <w:tcW w:w="964" w:type="dxa"/>
            <w:vAlign w:val="bottom"/>
          </w:tcPr>
          <w:p w:rsidR="00D11B62" w:rsidRPr="00584315" w:rsidRDefault="00D11B62" w:rsidP="00D11B62">
            <w:pPr>
              <w:pBdr>
                <w:bottom w:val="single" w:sz="4" w:space="1" w:color="auto"/>
              </w:pBdr>
              <w:spacing w:after="120"/>
              <w:jc w:val="center"/>
              <w:rPr>
                <w:sz w:val="14"/>
              </w:rPr>
            </w:pPr>
            <w:r w:rsidRPr="00584315">
              <w:rPr>
                <w:sz w:val="14"/>
              </w:rPr>
              <w:t>2017</w:t>
            </w:r>
          </w:p>
        </w:tc>
        <w:tc>
          <w:tcPr>
            <w:tcW w:w="968" w:type="dxa"/>
            <w:vAlign w:val="bottom"/>
          </w:tcPr>
          <w:p w:rsidR="00D11B62" w:rsidRPr="00584315" w:rsidRDefault="00D11B62" w:rsidP="00D11B62">
            <w:pPr>
              <w:pBdr>
                <w:bottom w:val="single" w:sz="4" w:space="1" w:color="auto"/>
              </w:pBdr>
              <w:spacing w:after="120"/>
              <w:jc w:val="center"/>
              <w:rPr>
                <w:sz w:val="14"/>
              </w:rPr>
            </w:pPr>
            <w:r w:rsidRPr="00584315">
              <w:rPr>
                <w:sz w:val="14"/>
              </w:rPr>
              <w:t>2016</w:t>
            </w:r>
          </w:p>
        </w:tc>
        <w:tc>
          <w:tcPr>
            <w:tcW w:w="1019" w:type="dxa"/>
            <w:vAlign w:val="bottom"/>
          </w:tcPr>
          <w:p w:rsidR="00D11B62" w:rsidRPr="00584315" w:rsidRDefault="00D11B62" w:rsidP="00D11B62">
            <w:pPr>
              <w:pBdr>
                <w:bottom w:val="single" w:sz="4" w:space="1" w:color="auto"/>
              </w:pBdr>
              <w:spacing w:after="120"/>
              <w:jc w:val="center"/>
              <w:rPr>
                <w:sz w:val="14"/>
              </w:rPr>
            </w:pPr>
            <w:r w:rsidRPr="00584315">
              <w:rPr>
                <w:sz w:val="14"/>
              </w:rPr>
              <w:t>2015</w:t>
            </w:r>
          </w:p>
        </w:tc>
        <w:tc>
          <w:tcPr>
            <w:tcW w:w="967" w:type="dxa"/>
            <w:vAlign w:val="bottom"/>
          </w:tcPr>
          <w:p w:rsidR="00D11B62" w:rsidRPr="00584315" w:rsidRDefault="00D11B62" w:rsidP="00D11B62">
            <w:pPr>
              <w:pBdr>
                <w:bottom w:val="single" w:sz="4" w:space="1" w:color="auto"/>
              </w:pBdr>
              <w:spacing w:after="120"/>
              <w:jc w:val="center"/>
              <w:rPr>
                <w:sz w:val="14"/>
              </w:rPr>
            </w:pPr>
            <w:r w:rsidRPr="00584315">
              <w:rPr>
                <w:sz w:val="14"/>
              </w:rPr>
              <w:t>2014</w:t>
            </w:r>
          </w:p>
        </w:tc>
        <w:tc>
          <w:tcPr>
            <w:tcW w:w="972" w:type="dxa"/>
            <w:vAlign w:val="bottom"/>
          </w:tcPr>
          <w:p w:rsidR="00D11B62" w:rsidRPr="00584315" w:rsidRDefault="00D11B62" w:rsidP="00D11B62">
            <w:pPr>
              <w:pBdr>
                <w:bottom w:val="single" w:sz="4" w:space="1" w:color="auto"/>
              </w:pBdr>
              <w:spacing w:after="120"/>
              <w:jc w:val="center"/>
              <w:rPr>
                <w:sz w:val="14"/>
              </w:rPr>
            </w:pPr>
            <w:r w:rsidRPr="00584315">
              <w:rPr>
                <w:sz w:val="14"/>
              </w:rPr>
              <w:t>2013</w:t>
            </w:r>
          </w:p>
        </w:tc>
        <w:tc>
          <w:tcPr>
            <w:tcW w:w="1011" w:type="dxa"/>
            <w:vAlign w:val="bottom"/>
          </w:tcPr>
          <w:p w:rsidR="00D11B62" w:rsidRPr="00584315" w:rsidRDefault="00D11B62" w:rsidP="00D11B62">
            <w:pPr>
              <w:pBdr>
                <w:bottom w:val="single" w:sz="4" w:space="1" w:color="auto"/>
              </w:pBdr>
              <w:spacing w:after="120"/>
              <w:jc w:val="center"/>
              <w:rPr>
                <w:sz w:val="14"/>
              </w:rPr>
            </w:pPr>
            <w:r w:rsidRPr="00584315">
              <w:rPr>
                <w:sz w:val="14"/>
              </w:rPr>
              <w:t>2012</w:t>
            </w:r>
          </w:p>
        </w:tc>
        <w:tc>
          <w:tcPr>
            <w:tcW w:w="1024" w:type="dxa"/>
            <w:vAlign w:val="bottom"/>
          </w:tcPr>
          <w:p w:rsidR="00D11B62" w:rsidRPr="00584315" w:rsidRDefault="00D11B62" w:rsidP="00D11B62">
            <w:pPr>
              <w:pBdr>
                <w:bottom w:val="single" w:sz="4" w:space="1" w:color="auto"/>
              </w:pBdr>
              <w:spacing w:after="120"/>
              <w:jc w:val="center"/>
              <w:rPr>
                <w:sz w:val="14"/>
              </w:rPr>
            </w:pPr>
            <w:r w:rsidRPr="00584315">
              <w:rPr>
                <w:sz w:val="14"/>
              </w:rPr>
              <w:t>2011</w:t>
            </w:r>
          </w:p>
        </w:tc>
        <w:tc>
          <w:tcPr>
            <w:tcW w:w="975" w:type="dxa"/>
            <w:vAlign w:val="bottom"/>
          </w:tcPr>
          <w:p w:rsidR="00D11B62" w:rsidRPr="00584315" w:rsidRDefault="00D11B62" w:rsidP="00D11B62">
            <w:pPr>
              <w:pBdr>
                <w:bottom w:val="single" w:sz="4" w:space="1" w:color="auto"/>
              </w:pBdr>
              <w:spacing w:after="120"/>
              <w:jc w:val="center"/>
              <w:rPr>
                <w:sz w:val="14"/>
              </w:rPr>
            </w:pPr>
            <w:r w:rsidRPr="00584315">
              <w:rPr>
                <w:sz w:val="14"/>
              </w:rPr>
              <w:t>2010</w:t>
            </w:r>
          </w:p>
        </w:tc>
      </w:tr>
      <w:tr w:rsidR="00D11B62" w:rsidRPr="00584315" w:rsidTr="005C6B61">
        <w:trPr>
          <w:jc w:val="center"/>
        </w:trPr>
        <w:tc>
          <w:tcPr>
            <w:tcW w:w="1790" w:type="dxa"/>
            <w:vAlign w:val="bottom"/>
          </w:tcPr>
          <w:p w:rsidR="00D11B62" w:rsidRPr="00584315" w:rsidRDefault="00D11B62" w:rsidP="00D11B62">
            <w:pPr>
              <w:jc w:val="left"/>
              <w:rPr>
                <w:sz w:val="14"/>
              </w:rPr>
            </w:pPr>
            <w:r w:rsidRPr="00584315">
              <w:rPr>
                <w:sz w:val="14"/>
              </w:rPr>
              <w:t>Additions:</w:t>
            </w:r>
          </w:p>
        </w:tc>
        <w:tc>
          <w:tcPr>
            <w:tcW w:w="944" w:type="dxa"/>
            <w:vAlign w:val="bottom"/>
          </w:tcPr>
          <w:p w:rsidR="00D11B62" w:rsidRPr="00584315" w:rsidRDefault="00D11B62" w:rsidP="00D11B62">
            <w:pPr>
              <w:jc w:val="left"/>
              <w:rPr>
                <w:sz w:val="14"/>
              </w:rPr>
            </w:pPr>
          </w:p>
        </w:tc>
        <w:tc>
          <w:tcPr>
            <w:tcW w:w="991" w:type="dxa"/>
            <w:vAlign w:val="bottom"/>
          </w:tcPr>
          <w:p w:rsidR="00D11B62" w:rsidRPr="00584315" w:rsidRDefault="00D11B62" w:rsidP="00D11B62">
            <w:pPr>
              <w:jc w:val="left"/>
              <w:rPr>
                <w:sz w:val="14"/>
              </w:rPr>
            </w:pPr>
          </w:p>
        </w:tc>
        <w:tc>
          <w:tcPr>
            <w:tcW w:w="964" w:type="dxa"/>
            <w:vAlign w:val="bottom"/>
          </w:tcPr>
          <w:p w:rsidR="00D11B62" w:rsidRPr="00584315" w:rsidRDefault="00D11B62" w:rsidP="00D11B62">
            <w:pPr>
              <w:jc w:val="left"/>
              <w:rPr>
                <w:sz w:val="14"/>
              </w:rPr>
            </w:pPr>
          </w:p>
        </w:tc>
        <w:tc>
          <w:tcPr>
            <w:tcW w:w="968" w:type="dxa"/>
            <w:vAlign w:val="bottom"/>
          </w:tcPr>
          <w:p w:rsidR="00D11B62" w:rsidRPr="00584315" w:rsidRDefault="00D11B62" w:rsidP="00D11B62">
            <w:pPr>
              <w:jc w:val="left"/>
              <w:rPr>
                <w:sz w:val="14"/>
              </w:rPr>
            </w:pPr>
          </w:p>
        </w:tc>
        <w:tc>
          <w:tcPr>
            <w:tcW w:w="1019" w:type="dxa"/>
            <w:vAlign w:val="bottom"/>
          </w:tcPr>
          <w:p w:rsidR="00D11B62" w:rsidRPr="00584315" w:rsidRDefault="00D11B62" w:rsidP="00D11B62">
            <w:pPr>
              <w:jc w:val="left"/>
              <w:rPr>
                <w:sz w:val="14"/>
              </w:rPr>
            </w:pPr>
          </w:p>
        </w:tc>
        <w:tc>
          <w:tcPr>
            <w:tcW w:w="967" w:type="dxa"/>
            <w:vAlign w:val="bottom"/>
          </w:tcPr>
          <w:p w:rsidR="00D11B62" w:rsidRPr="00584315" w:rsidRDefault="00D11B62" w:rsidP="00D11B62">
            <w:pPr>
              <w:jc w:val="left"/>
              <w:rPr>
                <w:sz w:val="14"/>
              </w:rPr>
            </w:pPr>
          </w:p>
        </w:tc>
        <w:tc>
          <w:tcPr>
            <w:tcW w:w="972" w:type="dxa"/>
            <w:vAlign w:val="bottom"/>
          </w:tcPr>
          <w:p w:rsidR="00D11B62" w:rsidRPr="00584315" w:rsidRDefault="00D11B62" w:rsidP="00D11B62">
            <w:pPr>
              <w:jc w:val="left"/>
              <w:rPr>
                <w:sz w:val="14"/>
              </w:rPr>
            </w:pPr>
          </w:p>
        </w:tc>
        <w:tc>
          <w:tcPr>
            <w:tcW w:w="1011" w:type="dxa"/>
            <w:vAlign w:val="bottom"/>
          </w:tcPr>
          <w:p w:rsidR="00D11B62" w:rsidRPr="00584315" w:rsidRDefault="00D11B62" w:rsidP="00D11B62">
            <w:pPr>
              <w:jc w:val="left"/>
              <w:rPr>
                <w:sz w:val="14"/>
              </w:rPr>
            </w:pPr>
          </w:p>
        </w:tc>
        <w:tc>
          <w:tcPr>
            <w:tcW w:w="1024" w:type="dxa"/>
            <w:vAlign w:val="bottom"/>
          </w:tcPr>
          <w:p w:rsidR="00D11B62" w:rsidRPr="00584315" w:rsidRDefault="00D11B62" w:rsidP="00D11B62">
            <w:pPr>
              <w:jc w:val="left"/>
              <w:rPr>
                <w:sz w:val="14"/>
              </w:rPr>
            </w:pPr>
          </w:p>
        </w:tc>
        <w:tc>
          <w:tcPr>
            <w:tcW w:w="975" w:type="dxa"/>
            <w:vAlign w:val="bottom"/>
          </w:tcPr>
          <w:p w:rsidR="00D11B62" w:rsidRPr="00584315" w:rsidRDefault="00D11B62" w:rsidP="00D11B62">
            <w:pPr>
              <w:jc w:val="left"/>
              <w:rPr>
                <w:sz w:val="14"/>
              </w:rPr>
            </w:pPr>
          </w:p>
        </w:tc>
      </w:tr>
      <w:tr w:rsidR="00D11B62" w:rsidRPr="00584315" w:rsidTr="005C6B61">
        <w:trPr>
          <w:jc w:val="center"/>
        </w:trPr>
        <w:tc>
          <w:tcPr>
            <w:tcW w:w="1790" w:type="dxa"/>
            <w:vAlign w:val="bottom"/>
          </w:tcPr>
          <w:p w:rsidR="00D11B62" w:rsidRPr="00584315" w:rsidRDefault="00D11B62" w:rsidP="00D11B62">
            <w:pPr>
              <w:ind w:left="248" w:hanging="90"/>
              <w:jc w:val="left"/>
              <w:rPr>
                <w:sz w:val="14"/>
              </w:rPr>
            </w:pPr>
            <w:r w:rsidRPr="00584315">
              <w:rPr>
                <w:sz w:val="14"/>
              </w:rPr>
              <w:t>Employer contributions</w:t>
            </w:r>
          </w:p>
        </w:tc>
        <w:tc>
          <w:tcPr>
            <w:tcW w:w="944" w:type="dxa"/>
            <w:vAlign w:val="bottom"/>
          </w:tcPr>
          <w:p w:rsidR="00D11B62" w:rsidRPr="00584315" w:rsidRDefault="00D11B62" w:rsidP="00D11B62">
            <w:pPr>
              <w:tabs>
                <w:tab w:val="decimal" w:pos="728"/>
              </w:tabs>
              <w:ind w:left="-24"/>
              <w:jc w:val="left"/>
              <w:rPr>
                <w:sz w:val="14"/>
              </w:rPr>
            </w:pPr>
            <w:r w:rsidRPr="00584315">
              <w:rPr>
                <w:sz w:val="14"/>
              </w:rPr>
              <w:t>$   612,282</w:t>
            </w:r>
          </w:p>
        </w:tc>
        <w:tc>
          <w:tcPr>
            <w:tcW w:w="991" w:type="dxa"/>
            <w:vAlign w:val="bottom"/>
          </w:tcPr>
          <w:p w:rsidR="00D11B62" w:rsidRPr="00584315" w:rsidRDefault="00D11B62" w:rsidP="00D11B62">
            <w:pPr>
              <w:tabs>
                <w:tab w:val="decimal" w:pos="728"/>
              </w:tabs>
              <w:ind w:left="-24"/>
              <w:jc w:val="left"/>
              <w:rPr>
                <w:sz w:val="14"/>
              </w:rPr>
            </w:pPr>
            <w:r w:rsidRPr="00584315">
              <w:rPr>
                <w:sz w:val="14"/>
              </w:rPr>
              <w:t>$    583,164</w:t>
            </w:r>
          </w:p>
        </w:tc>
        <w:tc>
          <w:tcPr>
            <w:tcW w:w="964" w:type="dxa"/>
            <w:vAlign w:val="bottom"/>
          </w:tcPr>
          <w:p w:rsidR="00D11B62" w:rsidRPr="00584315" w:rsidRDefault="00D11B62" w:rsidP="00D11B62">
            <w:pPr>
              <w:tabs>
                <w:tab w:val="decimal" w:pos="710"/>
              </w:tabs>
              <w:jc w:val="left"/>
              <w:rPr>
                <w:sz w:val="14"/>
              </w:rPr>
            </w:pPr>
            <w:r w:rsidRPr="00584315">
              <w:rPr>
                <w:sz w:val="14"/>
              </w:rPr>
              <w:t>$    563,977</w:t>
            </w:r>
          </w:p>
        </w:tc>
        <w:tc>
          <w:tcPr>
            <w:tcW w:w="968" w:type="dxa"/>
            <w:vAlign w:val="bottom"/>
          </w:tcPr>
          <w:p w:rsidR="00D11B62" w:rsidRPr="00584315" w:rsidRDefault="00D11B62" w:rsidP="00D11B62">
            <w:pPr>
              <w:tabs>
                <w:tab w:val="decimal" w:pos="728"/>
              </w:tabs>
              <w:jc w:val="left"/>
              <w:rPr>
                <w:sz w:val="14"/>
              </w:rPr>
            </w:pPr>
            <w:r w:rsidRPr="00584315">
              <w:rPr>
                <w:sz w:val="14"/>
              </w:rPr>
              <w:t>$    521,804</w:t>
            </w:r>
          </w:p>
        </w:tc>
        <w:tc>
          <w:tcPr>
            <w:tcW w:w="1019" w:type="dxa"/>
            <w:vAlign w:val="bottom"/>
          </w:tcPr>
          <w:p w:rsidR="00D11B62" w:rsidRPr="00584315" w:rsidRDefault="00D11B62" w:rsidP="00D11B62">
            <w:pPr>
              <w:tabs>
                <w:tab w:val="decimal" w:pos="728"/>
              </w:tabs>
              <w:ind w:left="-24"/>
              <w:jc w:val="left"/>
              <w:rPr>
                <w:sz w:val="14"/>
              </w:rPr>
            </w:pPr>
            <w:r w:rsidRPr="00584315">
              <w:rPr>
                <w:sz w:val="14"/>
              </w:rPr>
              <w:t>$     484,005</w:t>
            </w:r>
          </w:p>
        </w:tc>
        <w:tc>
          <w:tcPr>
            <w:tcW w:w="967" w:type="dxa"/>
            <w:vAlign w:val="bottom"/>
          </w:tcPr>
          <w:p w:rsidR="00D11B62" w:rsidRPr="00584315" w:rsidRDefault="00D11B62" w:rsidP="00D11B62">
            <w:pPr>
              <w:tabs>
                <w:tab w:val="decimal" w:pos="710"/>
              </w:tabs>
              <w:jc w:val="left"/>
              <w:rPr>
                <w:sz w:val="14"/>
              </w:rPr>
            </w:pPr>
            <w:r w:rsidRPr="00584315">
              <w:rPr>
                <w:sz w:val="14"/>
              </w:rPr>
              <w:t>$     444,372</w:t>
            </w:r>
          </w:p>
        </w:tc>
        <w:tc>
          <w:tcPr>
            <w:tcW w:w="972" w:type="dxa"/>
            <w:vAlign w:val="bottom"/>
          </w:tcPr>
          <w:p w:rsidR="00D11B62" w:rsidRPr="00584315" w:rsidRDefault="00D11B62" w:rsidP="00D11B62">
            <w:pPr>
              <w:tabs>
                <w:tab w:val="decimal" w:pos="728"/>
              </w:tabs>
              <w:jc w:val="left"/>
              <w:rPr>
                <w:sz w:val="14"/>
              </w:rPr>
            </w:pPr>
            <w:r w:rsidRPr="00584315">
              <w:rPr>
                <w:sz w:val="14"/>
              </w:rPr>
              <w:t>$     401,658</w:t>
            </w:r>
          </w:p>
        </w:tc>
        <w:tc>
          <w:tcPr>
            <w:tcW w:w="1011" w:type="dxa"/>
            <w:vAlign w:val="bottom"/>
          </w:tcPr>
          <w:p w:rsidR="00D11B62" w:rsidRPr="00584315" w:rsidRDefault="00D11B62" w:rsidP="00D11B62">
            <w:pPr>
              <w:tabs>
                <w:tab w:val="decimal" w:pos="735"/>
              </w:tabs>
              <w:jc w:val="left"/>
              <w:rPr>
                <w:sz w:val="14"/>
              </w:rPr>
            </w:pPr>
            <w:r w:rsidRPr="00584315">
              <w:rPr>
                <w:sz w:val="14"/>
              </w:rPr>
              <w:t>$     335,073</w:t>
            </w:r>
          </w:p>
        </w:tc>
        <w:tc>
          <w:tcPr>
            <w:tcW w:w="1024" w:type="dxa"/>
            <w:vAlign w:val="bottom"/>
          </w:tcPr>
          <w:p w:rsidR="00D11B62" w:rsidRPr="00584315" w:rsidRDefault="00D11B62" w:rsidP="00D11B62">
            <w:pPr>
              <w:tabs>
                <w:tab w:val="decimal" w:pos="761"/>
              </w:tabs>
              <w:jc w:val="left"/>
              <w:rPr>
                <w:sz w:val="14"/>
              </w:rPr>
            </w:pPr>
            <w:r w:rsidRPr="00584315">
              <w:rPr>
                <w:sz w:val="14"/>
              </w:rPr>
              <w:t>$     283,222</w:t>
            </w:r>
          </w:p>
        </w:tc>
        <w:tc>
          <w:tcPr>
            <w:tcW w:w="975" w:type="dxa"/>
            <w:vAlign w:val="bottom"/>
          </w:tcPr>
          <w:p w:rsidR="00D11B62" w:rsidRPr="00584315" w:rsidRDefault="00D11B62" w:rsidP="00D11B62">
            <w:pPr>
              <w:tabs>
                <w:tab w:val="decimal" w:pos="748"/>
              </w:tabs>
              <w:jc w:val="left"/>
              <w:rPr>
                <w:sz w:val="14"/>
              </w:rPr>
            </w:pPr>
            <w:r w:rsidRPr="00584315">
              <w:rPr>
                <w:sz w:val="14"/>
              </w:rPr>
              <w:t>$     287,624</w:t>
            </w:r>
          </w:p>
        </w:tc>
      </w:tr>
      <w:tr w:rsidR="00D11B62" w:rsidRPr="00584315" w:rsidTr="005C6B61">
        <w:trPr>
          <w:jc w:val="center"/>
        </w:trPr>
        <w:tc>
          <w:tcPr>
            <w:tcW w:w="1790" w:type="dxa"/>
            <w:vAlign w:val="bottom"/>
          </w:tcPr>
          <w:p w:rsidR="00D11B62" w:rsidRPr="00584315" w:rsidRDefault="00D11B62" w:rsidP="00D11B62">
            <w:pPr>
              <w:ind w:left="248" w:hanging="90"/>
              <w:jc w:val="left"/>
              <w:rPr>
                <w:sz w:val="14"/>
              </w:rPr>
            </w:pPr>
            <w:r w:rsidRPr="00584315">
              <w:rPr>
                <w:sz w:val="14"/>
              </w:rPr>
              <w:t>Nonemployer contributions</w:t>
            </w:r>
          </w:p>
        </w:tc>
        <w:tc>
          <w:tcPr>
            <w:tcW w:w="944" w:type="dxa"/>
            <w:vAlign w:val="bottom"/>
          </w:tcPr>
          <w:p w:rsidR="00D11B62" w:rsidRPr="00584315" w:rsidRDefault="00D11B62" w:rsidP="00D11B62">
            <w:pPr>
              <w:tabs>
                <w:tab w:val="decimal" w:pos="728"/>
              </w:tabs>
              <w:jc w:val="left"/>
              <w:rPr>
                <w:sz w:val="14"/>
              </w:rPr>
            </w:pPr>
            <w:r w:rsidRPr="00584315">
              <w:rPr>
                <w:sz w:val="14"/>
              </w:rPr>
              <w:t>77,088</w:t>
            </w:r>
          </w:p>
        </w:tc>
        <w:tc>
          <w:tcPr>
            <w:tcW w:w="991" w:type="dxa"/>
            <w:vAlign w:val="bottom"/>
          </w:tcPr>
          <w:p w:rsidR="00D11B62" w:rsidRPr="00584315" w:rsidRDefault="00D11B62" w:rsidP="00D11B62">
            <w:pPr>
              <w:tabs>
                <w:tab w:val="decimal" w:pos="728"/>
              </w:tabs>
              <w:jc w:val="left"/>
              <w:rPr>
                <w:sz w:val="14"/>
              </w:rPr>
            </w:pPr>
            <w:r w:rsidRPr="00584315">
              <w:rPr>
                <w:sz w:val="14"/>
              </w:rPr>
              <w:t>78,489</w:t>
            </w:r>
          </w:p>
        </w:tc>
        <w:tc>
          <w:tcPr>
            <w:tcW w:w="964" w:type="dxa"/>
            <w:vAlign w:val="bottom"/>
          </w:tcPr>
          <w:p w:rsidR="00D11B62" w:rsidRPr="00584315" w:rsidRDefault="00D11B62" w:rsidP="00D11B62">
            <w:pPr>
              <w:tabs>
                <w:tab w:val="decimal" w:pos="710"/>
              </w:tabs>
              <w:jc w:val="left"/>
              <w:rPr>
                <w:sz w:val="14"/>
              </w:rPr>
            </w:pPr>
            <w:r w:rsidRPr="00584315">
              <w:rPr>
                <w:sz w:val="14"/>
              </w:rPr>
              <w:t>–</w:t>
            </w:r>
          </w:p>
        </w:tc>
        <w:tc>
          <w:tcPr>
            <w:tcW w:w="968" w:type="dxa"/>
            <w:vAlign w:val="bottom"/>
          </w:tcPr>
          <w:p w:rsidR="00D11B62" w:rsidRPr="00584315" w:rsidRDefault="00D11B62" w:rsidP="00D11B62">
            <w:pPr>
              <w:tabs>
                <w:tab w:val="decimal" w:pos="728"/>
              </w:tabs>
              <w:jc w:val="left"/>
              <w:rPr>
                <w:sz w:val="14"/>
              </w:rPr>
            </w:pPr>
            <w:r w:rsidRPr="00584315">
              <w:rPr>
                <w:sz w:val="14"/>
              </w:rPr>
              <w:t>–</w:t>
            </w:r>
          </w:p>
        </w:tc>
        <w:tc>
          <w:tcPr>
            <w:tcW w:w="1019" w:type="dxa"/>
            <w:vAlign w:val="bottom"/>
          </w:tcPr>
          <w:p w:rsidR="00D11B62" w:rsidRPr="00584315" w:rsidRDefault="00D11B62" w:rsidP="00D11B62">
            <w:pPr>
              <w:tabs>
                <w:tab w:val="decimal" w:pos="728"/>
              </w:tabs>
              <w:jc w:val="left"/>
              <w:rPr>
                <w:sz w:val="14"/>
              </w:rPr>
            </w:pPr>
            <w:r w:rsidRPr="00584315">
              <w:rPr>
                <w:sz w:val="14"/>
              </w:rPr>
              <w:t>–</w:t>
            </w:r>
          </w:p>
        </w:tc>
        <w:tc>
          <w:tcPr>
            <w:tcW w:w="967" w:type="dxa"/>
            <w:vAlign w:val="bottom"/>
          </w:tcPr>
          <w:p w:rsidR="00D11B62" w:rsidRPr="00584315" w:rsidRDefault="00D11B62" w:rsidP="00D11B62">
            <w:pPr>
              <w:tabs>
                <w:tab w:val="decimal" w:pos="710"/>
              </w:tabs>
              <w:jc w:val="left"/>
              <w:rPr>
                <w:sz w:val="14"/>
              </w:rPr>
            </w:pPr>
            <w:r w:rsidRPr="00584315">
              <w:rPr>
                <w:sz w:val="14"/>
              </w:rPr>
              <w:t>–</w:t>
            </w:r>
          </w:p>
        </w:tc>
        <w:tc>
          <w:tcPr>
            <w:tcW w:w="972" w:type="dxa"/>
            <w:vAlign w:val="bottom"/>
          </w:tcPr>
          <w:p w:rsidR="00D11B62" w:rsidRPr="00584315" w:rsidRDefault="00D11B62" w:rsidP="00D11B62">
            <w:pPr>
              <w:tabs>
                <w:tab w:val="decimal" w:pos="728"/>
              </w:tabs>
              <w:jc w:val="left"/>
              <w:rPr>
                <w:sz w:val="14"/>
              </w:rPr>
            </w:pPr>
            <w:r w:rsidRPr="00584315">
              <w:rPr>
                <w:sz w:val="14"/>
              </w:rPr>
              <w:t>–</w:t>
            </w:r>
          </w:p>
        </w:tc>
        <w:tc>
          <w:tcPr>
            <w:tcW w:w="1011" w:type="dxa"/>
            <w:vAlign w:val="bottom"/>
          </w:tcPr>
          <w:p w:rsidR="00D11B62" w:rsidRPr="00584315" w:rsidRDefault="00D11B62" w:rsidP="00D11B62">
            <w:pPr>
              <w:tabs>
                <w:tab w:val="decimal" w:pos="735"/>
              </w:tabs>
              <w:jc w:val="left"/>
              <w:rPr>
                <w:sz w:val="14"/>
              </w:rPr>
            </w:pPr>
            <w:r w:rsidRPr="00584315">
              <w:rPr>
                <w:sz w:val="14"/>
              </w:rPr>
              <w:t>–</w:t>
            </w:r>
          </w:p>
        </w:tc>
        <w:tc>
          <w:tcPr>
            <w:tcW w:w="1024" w:type="dxa"/>
            <w:vAlign w:val="bottom"/>
          </w:tcPr>
          <w:p w:rsidR="00D11B62" w:rsidRPr="00584315" w:rsidRDefault="00D11B62" w:rsidP="00D11B62">
            <w:pPr>
              <w:tabs>
                <w:tab w:val="decimal" w:pos="761"/>
              </w:tabs>
              <w:jc w:val="left"/>
              <w:rPr>
                <w:sz w:val="14"/>
              </w:rPr>
            </w:pPr>
            <w:r w:rsidRPr="00584315">
              <w:rPr>
                <w:sz w:val="14"/>
              </w:rPr>
              <w:t>–</w:t>
            </w:r>
          </w:p>
        </w:tc>
        <w:tc>
          <w:tcPr>
            <w:tcW w:w="975" w:type="dxa"/>
            <w:vAlign w:val="bottom"/>
          </w:tcPr>
          <w:p w:rsidR="00D11B62" w:rsidRPr="00584315" w:rsidRDefault="00D11B62" w:rsidP="00D11B62">
            <w:pPr>
              <w:tabs>
                <w:tab w:val="decimal" w:pos="748"/>
              </w:tabs>
              <w:jc w:val="left"/>
              <w:rPr>
                <w:sz w:val="14"/>
              </w:rPr>
            </w:pPr>
            <w:r w:rsidRPr="00584315">
              <w:rPr>
                <w:sz w:val="14"/>
              </w:rPr>
              <w:t>–</w:t>
            </w:r>
          </w:p>
        </w:tc>
      </w:tr>
      <w:tr w:rsidR="00D11B62" w:rsidRPr="00584315" w:rsidTr="005C6B61">
        <w:trPr>
          <w:jc w:val="center"/>
        </w:trPr>
        <w:tc>
          <w:tcPr>
            <w:tcW w:w="1790" w:type="dxa"/>
            <w:vAlign w:val="bottom"/>
          </w:tcPr>
          <w:p w:rsidR="00D11B62" w:rsidRPr="00584315" w:rsidRDefault="00D11B62" w:rsidP="00D11B62">
            <w:pPr>
              <w:ind w:left="248" w:hanging="90"/>
              <w:jc w:val="left"/>
              <w:rPr>
                <w:sz w:val="14"/>
              </w:rPr>
            </w:pPr>
            <w:r w:rsidRPr="00584315">
              <w:rPr>
                <w:sz w:val="14"/>
              </w:rPr>
              <w:t>Member contributions</w:t>
            </w:r>
          </w:p>
        </w:tc>
        <w:tc>
          <w:tcPr>
            <w:tcW w:w="944" w:type="dxa"/>
            <w:vAlign w:val="bottom"/>
          </w:tcPr>
          <w:p w:rsidR="00D11B62" w:rsidRPr="00584315" w:rsidRDefault="00D11B62" w:rsidP="00D11B62">
            <w:pPr>
              <w:tabs>
                <w:tab w:val="decimal" w:pos="728"/>
              </w:tabs>
              <w:jc w:val="left"/>
              <w:rPr>
                <w:sz w:val="14"/>
              </w:rPr>
            </w:pPr>
            <w:r w:rsidRPr="00584315">
              <w:rPr>
                <w:sz w:val="14"/>
              </w:rPr>
              <w:t>257,803</w:t>
            </w:r>
          </w:p>
        </w:tc>
        <w:tc>
          <w:tcPr>
            <w:tcW w:w="991" w:type="dxa"/>
            <w:vAlign w:val="bottom"/>
          </w:tcPr>
          <w:p w:rsidR="00D11B62" w:rsidRPr="00584315" w:rsidRDefault="00D11B62" w:rsidP="00D11B62">
            <w:pPr>
              <w:tabs>
                <w:tab w:val="decimal" w:pos="728"/>
              </w:tabs>
              <w:jc w:val="left"/>
              <w:rPr>
                <w:sz w:val="14"/>
              </w:rPr>
            </w:pPr>
            <w:r w:rsidRPr="00584315">
              <w:rPr>
                <w:sz w:val="14"/>
              </w:rPr>
              <w:t>236,313</w:t>
            </w:r>
          </w:p>
        </w:tc>
        <w:tc>
          <w:tcPr>
            <w:tcW w:w="964" w:type="dxa"/>
            <w:vAlign w:val="bottom"/>
          </w:tcPr>
          <w:p w:rsidR="00D11B62" w:rsidRPr="00584315" w:rsidRDefault="00D11B62" w:rsidP="00D11B62">
            <w:pPr>
              <w:tabs>
                <w:tab w:val="decimal" w:pos="710"/>
              </w:tabs>
              <w:jc w:val="left"/>
              <w:rPr>
                <w:sz w:val="14"/>
              </w:rPr>
            </w:pPr>
            <w:r w:rsidRPr="00584315">
              <w:rPr>
                <w:sz w:val="14"/>
              </w:rPr>
              <w:t>228,978</w:t>
            </w:r>
          </w:p>
        </w:tc>
        <w:tc>
          <w:tcPr>
            <w:tcW w:w="968" w:type="dxa"/>
            <w:vAlign w:val="bottom"/>
          </w:tcPr>
          <w:p w:rsidR="00D11B62" w:rsidRPr="00584315" w:rsidRDefault="00D11B62" w:rsidP="00D11B62">
            <w:pPr>
              <w:tabs>
                <w:tab w:val="decimal" w:pos="728"/>
              </w:tabs>
              <w:jc w:val="left"/>
              <w:rPr>
                <w:sz w:val="14"/>
              </w:rPr>
            </w:pPr>
            <w:r w:rsidRPr="00584315">
              <w:rPr>
                <w:sz w:val="14"/>
              </w:rPr>
              <w:t>223,005</w:t>
            </w:r>
          </w:p>
        </w:tc>
        <w:tc>
          <w:tcPr>
            <w:tcW w:w="1019" w:type="dxa"/>
            <w:vAlign w:val="bottom"/>
          </w:tcPr>
          <w:p w:rsidR="00D11B62" w:rsidRPr="00584315" w:rsidRDefault="00D11B62" w:rsidP="00D11B62">
            <w:pPr>
              <w:tabs>
                <w:tab w:val="decimal" w:pos="728"/>
              </w:tabs>
              <w:jc w:val="left"/>
              <w:rPr>
                <w:sz w:val="14"/>
              </w:rPr>
            </w:pPr>
            <w:r w:rsidRPr="00584315">
              <w:rPr>
                <w:sz w:val="14"/>
              </w:rPr>
              <w:t>217,980</w:t>
            </w:r>
          </w:p>
        </w:tc>
        <w:tc>
          <w:tcPr>
            <w:tcW w:w="967" w:type="dxa"/>
            <w:vAlign w:val="bottom"/>
          </w:tcPr>
          <w:p w:rsidR="00D11B62" w:rsidRPr="00584315" w:rsidRDefault="00D11B62" w:rsidP="00D11B62">
            <w:pPr>
              <w:tabs>
                <w:tab w:val="decimal" w:pos="710"/>
              </w:tabs>
              <w:jc w:val="left"/>
              <w:rPr>
                <w:sz w:val="14"/>
              </w:rPr>
            </w:pPr>
            <w:r w:rsidRPr="00584315">
              <w:rPr>
                <w:sz w:val="14"/>
              </w:rPr>
              <w:t>211,610</w:t>
            </w:r>
          </w:p>
        </w:tc>
        <w:tc>
          <w:tcPr>
            <w:tcW w:w="972" w:type="dxa"/>
            <w:vAlign w:val="bottom"/>
          </w:tcPr>
          <w:p w:rsidR="00D11B62" w:rsidRPr="00584315" w:rsidRDefault="00D11B62" w:rsidP="00D11B62">
            <w:pPr>
              <w:tabs>
                <w:tab w:val="decimal" w:pos="728"/>
              </w:tabs>
              <w:jc w:val="left"/>
              <w:rPr>
                <w:sz w:val="14"/>
              </w:rPr>
            </w:pPr>
            <w:r w:rsidRPr="00584315">
              <w:rPr>
                <w:sz w:val="14"/>
              </w:rPr>
              <w:t>202,799</w:t>
            </w:r>
          </w:p>
        </w:tc>
        <w:tc>
          <w:tcPr>
            <w:tcW w:w="1011" w:type="dxa"/>
            <w:vAlign w:val="bottom"/>
          </w:tcPr>
          <w:p w:rsidR="00D11B62" w:rsidRPr="00584315" w:rsidRDefault="00D11B62" w:rsidP="00D11B62">
            <w:pPr>
              <w:tabs>
                <w:tab w:val="decimal" w:pos="735"/>
              </w:tabs>
              <w:jc w:val="left"/>
              <w:rPr>
                <w:sz w:val="14"/>
              </w:rPr>
            </w:pPr>
            <w:r w:rsidRPr="00584315">
              <w:rPr>
                <w:sz w:val="14"/>
              </w:rPr>
              <w:t>227,058</w:t>
            </w:r>
          </w:p>
        </w:tc>
        <w:tc>
          <w:tcPr>
            <w:tcW w:w="1024" w:type="dxa"/>
            <w:vAlign w:val="bottom"/>
          </w:tcPr>
          <w:p w:rsidR="00D11B62" w:rsidRPr="00584315" w:rsidRDefault="00D11B62" w:rsidP="00D11B62">
            <w:pPr>
              <w:tabs>
                <w:tab w:val="decimal" w:pos="761"/>
              </w:tabs>
              <w:jc w:val="left"/>
              <w:rPr>
                <w:sz w:val="14"/>
              </w:rPr>
            </w:pPr>
            <w:r w:rsidRPr="00584315">
              <w:rPr>
                <w:sz w:val="14"/>
              </w:rPr>
              <w:t>258,678</w:t>
            </w:r>
          </w:p>
        </w:tc>
        <w:tc>
          <w:tcPr>
            <w:tcW w:w="975" w:type="dxa"/>
            <w:vAlign w:val="bottom"/>
          </w:tcPr>
          <w:p w:rsidR="00D11B62" w:rsidRPr="00584315" w:rsidRDefault="00D11B62" w:rsidP="00D11B62">
            <w:pPr>
              <w:tabs>
                <w:tab w:val="decimal" w:pos="748"/>
              </w:tabs>
              <w:jc w:val="left"/>
              <w:rPr>
                <w:sz w:val="14"/>
              </w:rPr>
            </w:pPr>
            <w:r w:rsidRPr="00584315">
              <w:rPr>
                <w:sz w:val="14"/>
              </w:rPr>
              <w:t>223,240</w:t>
            </w:r>
          </w:p>
        </w:tc>
      </w:tr>
      <w:tr w:rsidR="00D11B62" w:rsidRPr="00584315" w:rsidTr="005C6B61">
        <w:trPr>
          <w:jc w:val="center"/>
        </w:trPr>
        <w:tc>
          <w:tcPr>
            <w:tcW w:w="1790" w:type="dxa"/>
            <w:vAlign w:val="bottom"/>
          </w:tcPr>
          <w:p w:rsidR="00D11B62" w:rsidRPr="00584315" w:rsidRDefault="00D11B62" w:rsidP="00D11B62">
            <w:pPr>
              <w:ind w:left="248" w:hanging="90"/>
              <w:jc w:val="left"/>
              <w:rPr>
                <w:sz w:val="14"/>
              </w:rPr>
            </w:pPr>
            <w:r w:rsidRPr="00584315">
              <w:rPr>
                <w:sz w:val="14"/>
              </w:rPr>
              <w:t>Purchased service</w:t>
            </w:r>
          </w:p>
        </w:tc>
        <w:tc>
          <w:tcPr>
            <w:tcW w:w="944" w:type="dxa"/>
            <w:vAlign w:val="bottom"/>
          </w:tcPr>
          <w:p w:rsidR="00D11B62" w:rsidRPr="00584315" w:rsidRDefault="00D11B62" w:rsidP="00D11B62">
            <w:pPr>
              <w:tabs>
                <w:tab w:val="decimal" w:pos="728"/>
              </w:tabs>
              <w:jc w:val="left"/>
              <w:rPr>
                <w:sz w:val="14"/>
              </w:rPr>
            </w:pPr>
            <w:r w:rsidRPr="00584315">
              <w:rPr>
                <w:sz w:val="14"/>
              </w:rPr>
              <w:t>29,494</w:t>
            </w:r>
          </w:p>
        </w:tc>
        <w:tc>
          <w:tcPr>
            <w:tcW w:w="991" w:type="dxa"/>
            <w:vAlign w:val="bottom"/>
          </w:tcPr>
          <w:p w:rsidR="00D11B62" w:rsidRPr="00584315" w:rsidRDefault="00D11B62" w:rsidP="00D11B62">
            <w:pPr>
              <w:tabs>
                <w:tab w:val="decimal" w:pos="728"/>
              </w:tabs>
              <w:jc w:val="left"/>
              <w:rPr>
                <w:sz w:val="14"/>
              </w:rPr>
            </w:pPr>
            <w:r w:rsidRPr="00584315">
              <w:rPr>
                <w:sz w:val="14"/>
              </w:rPr>
              <w:t>25,227</w:t>
            </w:r>
          </w:p>
        </w:tc>
        <w:tc>
          <w:tcPr>
            <w:tcW w:w="964" w:type="dxa"/>
            <w:vAlign w:val="bottom"/>
          </w:tcPr>
          <w:p w:rsidR="00D11B62" w:rsidRPr="00584315" w:rsidRDefault="00D11B62" w:rsidP="00D11B62">
            <w:pPr>
              <w:tabs>
                <w:tab w:val="decimal" w:pos="710"/>
              </w:tabs>
              <w:jc w:val="left"/>
              <w:rPr>
                <w:sz w:val="14"/>
              </w:rPr>
            </w:pPr>
            <w:r w:rsidRPr="00584315">
              <w:rPr>
                <w:sz w:val="14"/>
              </w:rPr>
              <w:t>27,442</w:t>
            </w:r>
          </w:p>
        </w:tc>
        <w:tc>
          <w:tcPr>
            <w:tcW w:w="968" w:type="dxa"/>
            <w:vAlign w:val="bottom"/>
          </w:tcPr>
          <w:p w:rsidR="00D11B62" w:rsidRPr="00584315" w:rsidRDefault="00D11B62" w:rsidP="00D11B62">
            <w:pPr>
              <w:tabs>
                <w:tab w:val="decimal" w:pos="728"/>
              </w:tabs>
              <w:jc w:val="left"/>
              <w:rPr>
                <w:sz w:val="14"/>
              </w:rPr>
            </w:pPr>
            <w:r w:rsidRPr="00584315">
              <w:rPr>
                <w:sz w:val="14"/>
              </w:rPr>
              <w:t>24,528</w:t>
            </w:r>
          </w:p>
        </w:tc>
        <w:tc>
          <w:tcPr>
            <w:tcW w:w="1019" w:type="dxa"/>
            <w:vAlign w:val="bottom"/>
          </w:tcPr>
          <w:p w:rsidR="00D11B62" w:rsidRPr="00584315" w:rsidRDefault="00D11B62" w:rsidP="00D11B62">
            <w:pPr>
              <w:tabs>
                <w:tab w:val="decimal" w:pos="728"/>
              </w:tabs>
              <w:jc w:val="left"/>
              <w:rPr>
                <w:sz w:val="14"/>
              </w:rPr>
            </w:pPr>
            <w:r w:rsidRPr="00584315">
              <w:rPr>
                <w:sz w:val="14"/>
              </w:rPr>
              <w:t>26,946</w:t>
            </w:r>
          </w:p>
        </w:tc>
        <w:tc>
          <w:tcPr>
            <w:tcW w:w="967" w:type="dxa"/>
            <w:vAlign w:val="bottom"/>
          </w:tcPr>
          <w:p w:rsidR="00D11B62" w:rsidRPr="00584315" w:rsidRDefault="00D11B62" w:rsidP="00D11B62">
            <w:pPr>
              <w:tabs>
                <w:tab w:val="decimal" w:pos="710"/>
              </w:tabs>
              <w:jc w:val="left"/>
              <w:rPr>
                <w:sz w:val="14"/>
              </w:rPr>
            </w:pPr>
            <w:r w:rsidRPr="00584315">
              <w:rPr>
                <w:sz w:val="14"/>
              </w:rPr>
              <w:t>22,446</w:t>
            </w:r>
          </w:p>
        </w:tc>
        <w:tc>
          <w:tcPr>
            <w:tcW w:w="972" w:type="dxa"/>
            <w:vAlign w:val="bottom"/>
          </w:tcPr>
          <w:p w:rsidR="00D11B62" w:rsidRPr="00584315" w:rsidRDefault="00D11B62" w:rsidP="00D11B62">
            <w:pPr>
              <w:tabs>
                <w:tab w:val="decimal" w:pos="728"/>
              </w:tabs>
              <w:jc w:val="left"/>
              <w:rPr>
                <w:sz w:val="14"/>
              </w:rPr>
            </w:pPr>
            <w:r w:rsidRPr="00584315">
              <w:rPr>
                <w:sz w:val="14"/>
              </w:rPr>
              <w:t>22,241</w:t>
            </w:r>
          </w:p>
        </w:tc>
        <w:tc>
          <w:tcPr>
            <w:tcW w:w="1011" w:type="dxa"/>
            <w:vAlign w:val="bottom"/>
          </w:tcPr>
          <w:p w:rsidR="00D11B62" w:rsidRPr="00584315" w:rsidRDefault="00D11B62" w:rsidP="00D11B62">
            <w:pPr>
              <w:tabs>
                <w:tab w:val="decimal" w:pos="735"/>
              </w:tabs>
              <w:jc w:val="left"/>
              <w:rPr>
                <w:sz w:val="14"/>
              </w:rPr>
            </w:pPr>
            <w:r w:rsidRPr="00584315">
              <w:rPr>
                <w:sz w:val="14"/>
              </w:rPr>
              <w:t>16,358</w:t>
            </w:r>
          </w:p>
        </w:tc>
        <w:tc>
          <w:tcPr>
            <w:tcW w:w="1024" w:type="dxa"/>
            <w:vAlign w:val="bottom"/>
          </w:tcPr>
          <w:p w:rsidR="00D11B62" w:rsidRPr="00584315" w:rsidRDefault="00D11B62" w:rsidP="00D11B62">
            <w:pPr>
              <w:tabs>
                <w:tab w:val="decimal" w:pos="761"/>
              </w:tabs>
              <w:jc w:val="left"/>
              <w:rPr>
                <w:sz w:val="14"/>
              </w:rPr>
            </w:pPr>
            <w:r w:rsidRPr="00584315">
              <w:rPr>
                <w:sz w:val="14"/>
              </w:rPr>
              <w:t>11,277</w:t>
            </w:r>
          </w:p>
        </w:tc>
        <w:tc>
          <w:tcPr>
            <w:tcW w:w="975" w:type="dxa"/>
            <w:vAlign w:val="bottom"/>
          </w:tcPr>
          <w:p w:rsidR="00D11B62" w:rsidRPr="00584315" w:rsidRDefault="00D11B62" w:rsidP="00D11B62">
            <w:pPr>
              <w:tabs>
                <w:tab w:val="decimal" w:pos="748"/>
              </w:tabs>
              <w:jc w:val="left"/>
              <w:rPr>
                <w:sz w:val="14"/>
              </w:rPr>
            </w:pPr>
            <w:r w:rsidRPr="00584315">
              <w:rPr>
                <w:sz w:val="14"/>
              </w:rPr>
              <w:t>12,496</w:t>
            </w:r>
          </w:p>
        </w:tc>
      </w:tr>
      <w:tr w:rsidR="00D11B62" w:rsidRPr="00584315" w:rsidTr="005C6B61">
        <w:trPr>
          <w:jc w:val="center"/>
        </w:trPr>
        <w:tc>
          <w:tcPr>
            <w:tcW w:w="1790" w:type="dxa"/>
            <w:vAlign w:val="bottom"/>
          </w:tcPr>
          <w:p w:rsidR="00D11B62" w:rsidRPr="00584315" w:rsidRDefault="00D11B62" w:rsidP="00D11B62">
            <w:pPr>
              <w:ind w:left="248" w:hanging="90"/>
              <w:jc w:val="left"/>
              <w:rPr>
                <w:sz w:val="14"/>
              </w:rPr>
            </w:pPr>
            <w:r w:rsidRPr="00584315">
              <w:rPr>
                <w:sz w:val="14"/>
              </w:rPr>
              <w:t>Net investment income (loss)</w:t>
            </w:r>
          </w:p>
        </w:tc>
        <w:tc>
          <w:tcPr>
            <w:tcW w:w="944" w:type="dxa"/>
            <w:vAlign w:val="bottom"/>
          </w:tcPr>
          <w:p w:rsidR="00D11B62" w:rsidRPr="00584315" w:rsidRDefault="00D11B62" w:rsidP="00D11B62">
            <w:pPr>
              <w:tabs>
                <w:tab w:val="decimal" w:pos="728"/>
              </w:tabs>
              <w:jc w:val="left"/>
              <w:rPr>
                <w:sz w:val="14"/>
              </w:rPr>
            </w:pPr>
            <w:r w:rsidRPr="00584315">
              <w:rPr>
                <w:sz w:val="14"/>
              </w:rPr>
              <w:t>2,764,719</w:t>
            </w:r>
          </w:p>
        </w:tc>
        <w:tc>
          <w:tcPr>
            <w:tcW w:w="991" w:type="dxa"/>
            <w:vAlign w:val="bottom"/>
          </w:tcPr>
          <w:p w:rsidR="00D11B62" w:rsidRPr="00584315" w:rsidRDefault="00D11B62" w:rsidP="00D11B62">
            <w:pPr>
              <w:tabs>
                <w:tab w:val="decimal" w:pos="728"/>
              </w:tabs>
              <w:jc w:val="left"/>
              <w:rPr>
                <w:sz w:val="14"/>
              </w:rPr>
            </w:pPr>
            <w:r w:rsidRPr="00584315">
              <w:rPr>
                <w:sz w:val="14"/>
              </w:rPr>
              <w:t>(497,562)</w:t>
            </w:r>
          </w:p>
        </w:tc>
        <w:tc>
          <w:tcPr>
            <w:tcW w:w="964" w:type="dxa"/>
            <w:vAlign w:val="bottom"/>
          </w:tcPr>
          <w:p w:rsidR="00D11B62" w:rsidRPr="00584315" w:rsidRDefault="00D11B62" w:rsidP="00D11B62">
            <w:pPr>
              <w:tabs>
                <w:tab w:val="decimal" w:pos="710"/>
              </w:tabs>
              <w:jc w:val="left"/>
              <w:rPr>
                <w:sz w:val="14"/>
              </w:rPr>
            </w:pPr>
            <w:r w:rsidRPr="00584315">
              <w:rPr>
                <w:sz w:val="14"/>
              </w:rPr>
              <w:t>2,391,683</w:t>
            </w:r>
          </w:p>
        </w:tc>
        <w:tc>
          <w:tcPr>
            <w:tcW w:w="968" w:type="dxa"/>
            <w:vAlign w:val="bottom"/>
          </w:tcPr>
          <w:p w:rsidR="00D11B62" w:rsidRPr="00584315" w:rsidRDefault="00D11B62" w:rsidP="00D11B62">
            <w:pPr>
              <w:tabs>
                <w:tab w:val="decimal" w:pos="728"/>
              </w:tabs>
              <w:jc w:val="left"/>
              <w:rPr>
                <w:sz w:val="14"/>
              </w:rPr>
            </w:pPr>
            <w:r w:rsidRPr="00584315">
              <w:rPr>
                <w:sz w:val="14"/>
              </w:rPr>
              <w:t>947,981</w:t>
            </w:r>
          </w:p>
        </w:tc>
        <w:tc>
          <w:tcPr>
            <w:tcW w:w="1019" w:type="dxa"/>
            <w:vAlign w:val="bottom"/>
          </w:tcPr>
          <w:p w:rsidR="00D11B62" w:rsidRPr="00584315" w:rsidRDefault="00D11B62" w:rsidP="00D11B62">
            <w:pPr>
              <w:tabs>
                <w:tab w:val="decimal" w:pos="728"/>
              </w:tabs>
              <w:jc w:val="left"/>
              <w:rPr>
                <w:sz w:val="14"/>
              </w:rPr>
            </w:pPr>
            <w:r w:rsidRPr="00584315">
              <w:rPr>
                <w:sz w:val="14"/>
              </w:rPr>
              <w:t>210,337</w:t>
            </w:r>
          </w:p>
        </w:tc>
        <w:tc>
          <w:tcPr>
            <w:tcW w:w="967" w:type="dxa"/>
            <w:vAlign w:val="bottom"/>
          </w:tcPr>
          <w:p w:rsidR="00D11B62" w:rsidRPr="00584315" w:rsidRDefault="00D11B62" w:rsidP="00D11B62">
            <w:pPr>
              <w:tabs>
                <w:tab w:val="decimal" w:pos="710"/>
              </w:tabs>
              <w:jc w:val="left"/>
              <w:rPr>
                <w:sz w:val="14"/>
              </w:rPr>
            </w:pPr>
            <w:r w:rsidRPr="00584315">
              <w:rPr>
                <w:sz w:val="14"/>
              </w:rPr>
              <w:t>780,762</w:t>
            </w:r>
          </w:p>
        </w:tc>
        <w:tc>
          <w:tcPr>
            <w:tcW w:w="972" w:type="dxa"/>
            <w:vAlign w:val="bottom"/>
          </w:tcPr>
          <w:p w:rsidR="00D11B62" w:rsidRPr="00584315" w:rsidRDefault="00D11B62" w:rsidP="00D11B62">
            <w:pPr>
              <w:tabs>
                <w:tab w:val="decimal" w:pos="728"/>
              </w:tabs>
              <w:jc w:val="left"/>
              <w:rPr>
                <w:sz w:val="14"/>
              </w:rPr>
            </w:pPr>
            <w:r w:rsidRPr="00584315">
              <w:rPr>
                <w:sz w:val="14"/>
              </w:rPr>
              <w:t>1,931,658</w:t>
            </w:r>
          </w:p>
        </w:tc>
        <w:tc>
          <w:tcPr>
            <w:tcW w:w="1011" w:type="dxa"/>
            <w:vAlign w:val="bottom"/>
          </w:tcPr>
          <w:p w:rsidR="00D11B62" w:rsidRPr="00584315" w:rsidRDefault="00D11B62" w:rsidP="00D11B62">
            <w:pPr>
              <w:tabs>
                <w:tab w:val="decimal" w:pos="735"/>
              </w:tabs>
              <w:jc w:val="left"/>
              <w:rPr>
                <w:sz w:val="14"/>
              </w:rPr>
            </w:pPr>
            <w:r w:rsidRPr="00584315">
              <w:rPr>
                <w:sz w:val="14"/>
              </w:rPr>
              <w:t>1,511,244</w:t>
            </w:r>
          </w:p>
        </w:tc>
        <w:tc>
          <w:tcPr>
            <w:tcW w:w="1024" w:type="dxa"/>
            <w:vAlign w:val="bottom"/>
          </w:tcPr>
          <w:p w:rsidR="00D11B62" w:rsidRPr="00584315" w:rsidRDefault="00D11B62" w:rsidP="00D11B62">
            <w:pPr>
              <w:tabs>
                <w:tab w:val="decimal" w:pos="761"/>
              </w:tabs>
              <w:jc w:val="left"/>
              <w:rPr>
                <w:sz w:val="14"/>
              </w:rPr>
            </w:pPr>
            <w:r w:rsidRPr="00584315">
              <w:rPr>
                <w:sz w:val="14"/>
              </w:rPr>
              <w:t>232,669</w:t>
            </w:r>
          </w:p>
        </w:tc>
        <w:tc>
          <w:tcPr>
            <w:tcW w:w="975" w:type="dxa"/>
            <w:vAlign w:val="bottom"/>
          </w:tcPr>
          <w:p w:rsidR="00D11B62" w:rsidRPr="00584315" w:rsidRDefault="00D11B62" w:rsidP="00D11B62">
            <w:pPr>
              <w:tabs>
                <w:tab w:val="decimal" w:pos="748"/>
              </w:tabs>
              <w:jc w:val="left"/>
              <w:rPr>
                <w:sz w:val="14"/>
              </w:rPr>
            </w:pPr>
            <w:r w:rsidRPr="00584315">
              <w:rPr>
                <w:sz w:val="14"/>
              </w:rPr>
              <w:t>1,553,142</w:t>
            </w:r>
          </w:p>
        </w:tc>
      </w:tr>
      <w:tr w:rsidR="00D11B62" w:rsidRPr="00584315" w:rsidTr="005C6B61">
        <w:trPr>
          <w:jc w:val="center"/>
        </w:trPr>
        <w:tc>
          <w:tcPr>
            <w:tcW w:w="1790" w:type="dxa"/>
            <w:vAlign w:val="bottom"/>
          </w:tcPr>
          <w:p w:rsidR="00D11B62" w:rsidRPr="00584315" w:rsidRDefault="00D11B62" w:rsidP="00D11B62">
            <w:pPr>
              <w:ind w:left="248" w:hanging="90"/>
              <w:jc w:val="left"/>
              <w:rPr>
                <w:sz w:val="14"/>
              </w:rPr>
            </w:pPr>
            <w:r w:rsidRPr="00584315">
              <w:rPr>
                <w:sz w:val="14"/>
              </w:rPr>
              <w:t>Other</w:t>
            </w:r>
          </w:p>
        </w:tc>
        <w:tc>
          <w:tcPr>
            <w:tcW w:w="944" w:type="dxa"/>
            <w:vAlign w:val="bottom"/>
          </w:tcPr>
          <w:p w:rsidR="00D11B62" w:rsidRPr="00584315" w:rsidRDefault="00D11B62" w:rsidP="00D11B62">
            <w:pPr>
              <w:tabs>
                <w:tab w:val="decimal" w:pos="728"/>
              </w:tabs>
              <w:jc w:val="left"/>
              <w:rPr>
                <w:sz w:val="14"/>
                <w:u w:val="single"/>
              </w:rPr>
            </w:pPr>
            <w:r w:rsidRPr="00584315">
              <w:rPr>
                <w:sz w:val="14"/>
                <w:u w:val="single"/>
              </w:rPr>
              <w:t xml:space="preserve">              22</w:t>
            </w:r>
          </w:p>
        </w:tc>
        <w:tc>
          <w:tcPr>
            <w:tcW w:w="991" w:type="dxa"/>
            <w:vAlign w:val="bottom"/>
          </w:tcPr>
          <w:p w:rsidR="00D11B62" w:rsidRPr="00584315" w:rsidRDefault="00D11B62" w:rsidP="00D11B62">
            <w:pPr>
              <w:tabs>
                <w:tab w:val="decimal" w:pos="728"/>
              </w:tabs>
              <w:jc w:val="left"/>
              <w:rPr>
                <w:sz w:val="14"/>
                <w:u w:val="single"/>
              </w:rPr>
            </w:pPr>
            <w:r w:rsidRPr="00584315">
              <w:rPr>
                <w:sz w:val="14"/>
                <w:u w:val="single"/>
              </w:rPr>
              <w:t xml:space="preserve">          7,888</w:t>
            </w:r>
          </w:p>
        </w:tc>
        <w:tc>
          <w:tcPr>
            <w:tcW w:w="964" w:type="dxa"/>
            <w:vAlign w:val="bottom"/>
          </w:tcPr>
          <w:p w:rsidR="00D11B62" w:rsidRPr="00584315" w:rsidRDefault="00D11B62" w:rsidP="00D11B62">
            <w:pPr>
              <w:tabs>
                <w:tab w:val="decimal" w:pos="710"/>
              </w:tabs>
              <w:jc w:val="left"/>
              <w:rPr>
                <w:sz w:val="14"/>
                <w:u w:val="single"/>
              </w:rPr>
            </w:pPr>
            <w:r w:rsidRPr="00584315">
              <w:rPr>
                <w:sz w:val="14"/>
                <w:u w:val="single"/>
              </w:rPr>
              <w:t xml:space="preserve">         15,860</w:t>
            </w:r>
          </w:p>
        </w:tc>
        <w:tc>
          <w:tcPr>
            <w:tcW w:w="968" w:type="dxa"/>
            <w:vAlign w:val="bottom"/>
          </w:tcPr>
          <w:p w:rsidR="00D11B62" w:rsidRPr="00584315" w:rsidRDefault="00D11B62" w:rsidP="00D11B62">
            <w:pPr>
              <w:tabs>
                <w:tab w:val="decimal" w:pos="728"/>
              </w:tabs>
              <w:jc w:val="left"/>
              <w:rPr>
                <w:sz w:val="14"/>
                <w:u w:val="single"/>
              </w:rPr>
            </w:pPr>
            <w:r w:rsidRPr="00584315">
              <w:rPr>
                <w:sz w:val="14"/>
                <w:u w:val="single"/>
              </w:rPr>
              <w:t xml:space="preserve">           8,708</w:t>
            </w:r>
          </w:p>
        </w:tc>
        <w:tc>
          <w:tcPr>
            <w:tcW w:w="1019" w:type="dxa"/>
            <w:vAlign w:val="bottom"/>
          </w:tcPr>
          <w:p w:rsidR="00D11B62" w:rsidRPr="00584315" w:rsidRDefault="00D11B62" w:rsidP="00D11B62">
            <w:pPr>
              <w:tabs>
                <w:tab w:val="decimal" w:pos="728"/>
              </w:tabs>
              <w:jc w:val="left"/>
              <w:rPr>
                <w:sz w:val="14"/>
                <w:u w:val="single"/>
              </w:rPr>
            </w:pPr>
            <w:r w:rsidRPr="00584315">
              <w:rPr>
                <w:sz w:val="14"/>
                <w:u w:val="single"/>
              </w:rPr>
              <w:t xml:space="preserve">         5,023</w:t>
            </w:r>
          </w:p>
        </w:tc>
        <w:tc>
          <w:tcPr>
            <w:tcW w:w="967" w:type="dxa"/>
            <w:vAlign w:val="bottom"/>
          </w:tcPr>
          <w:p w:rsidR="00D11B62" w:rsidRPr="00584315" w:rsidRDefault="00D11B62" w:rsidP="00D11B62">
            <w:pPr>
              <w:tabs>
                <w:tab w:val="decimal" w:pos="710"/>
              </w:tabs>
              <w:jc w:val="left"/>
              <w:rPr>
                <w:sz w:val="14"/>
                <w:u w:val="single"/>
              </w:rPr>
            </w:pPr>
            <w:r w:rsidRPr="00584315">
              <w:rPr>
                <w:sz w:val="14"/>
                <w:u w:val="single"/>
              </w:rPr>
              <w:t xml:space="preserve">         3,289</w:t>
            </w:r>
          </w:p>
        </w:tc>
        <w:tc>
          <w:tcPr>
            <w:tcW w:w="972" w:type="dxa"/>
            <w:vAlign w:val="bottom"/>
          </w:tcPr>
          <w:p w:rsidR="00D11B62" w:rsidRPr="00584315" w:rsidRDefault="00D11B62" w:rsidP="00D11B62">
            <w:pPr>
              <w:tabs>
                <w:tab w:val="decimal" w:pos="728"/>
              </w:tabs>
              <w:jc w:val="left"/>
              <w:rPr>
                <w:sz w:val="14"/>
                <w:u w:val="single"/>
              </w:rPr>
            </w:pPr>
            <w:r w:rsidRPr="00584315">
              <w:rPr>
                <w:sz w:val="14"/>
                <w:u w:val="single"/>
              </w:rPr>
              <w:t xml:space="preserve">        4,869</w:t>
            </w:r>
          </w:p>
        </w:tc>
        <w:tc>
          <w:tcPr>
            <w:tcW w:w="1011" w:type="dxa"/>
            <w:vAlign w:val="bottom"/>
          </w:tcPr>
          <w:p w:rsidR="00D11B62" w:rsidRPr="00584315" w:rsidRDefault="00D11B62" w:rsidP="00D11B62">
            <w:pPr>
              <w:tabs>
                <w:tab w:val="decimal" w:pos="735"/>
              </w:tabs>
              <w:jc w:val="left"/>
              <w:rPr>
                <w:sz w:val="14"/>
                <w:u w:val="single"/>
              </w:rPr>
            </w:pPr>
            <w:r w:rsidRPr="00584315">
              <w:rPr>
                <w:sz w:val="14"/>
                <w:u w:val="single"/>
              </w:rPr>
              <w:t xml:space="preserve">            150</w:t>
            </w:r>
          </w:p>
        </w:tc>
        <w:tc>
          <w:tcPr>
            <w:tcW w:w="1024" w:type="dxa"/>
            <w:vAlign w:val="bottom"/>
          </w:tcPr>
          <w:p w:rsidR="00D11B62" w:rsidRPr="00584315" w:rsidRDefault="00D11B62" w:rsidP="00D11B62">
            <w:pPr>
              <w:tabs>
                <w:tab w:val="decimal" w:pos="761"/>
              </w:tabs>
              <w:jc w:val="left"/>
              <w:rPr>
                <w:sz w:val="14"/>
                <w:u w:val="single"/>
              </w:rPr>
            </w:pPr>
            <w:r w:rsidRPr="00584315">
              <w:rPr>
                <w:sz w:val="14"/>
                <w:u w:val="single"/>
              </w:rPr>
              <w:t xml:space="preserve">            331</w:t>
            </w:r>
          </w:p>
        </w:tc>
        <w:tc>
          <w:tcPr>
            <w:tcW w:w="975" w:type="dxa"/>
            <w:vAlign w:val="bottom"/>
          </w:tcPr>
          <w:p w:rsidR="00D11B62" w:rsidRPr="00584315" w:rsidRDefault="00D11B62" w:rsidP="00D11B62">
            <w:pPr>
              <w:tabs>
                <w:tab w:val="decimal" w:pos="748"/>
              </w:tabs>
              <w:jc w:val="left"/>
              <w:rPr>
                <w:sz w:val="14"/>
                <w:u w:val="single"/>
              </w:rPr>
            </w:pPr>
            <w:r w:rsidRPr="00584315">
              <w:rPr>
                <w:sz w:val="14"/>
                <w:u w:val="single"/>
              </w:rPr>
              <w:t xml:space="preserve">                 1</w:t>
            </w:r>
          </w:p>
        </w:tc>
      </w:tr>
      <w:tr w:rsidR="00D11B62" w:rsidRPr="00584315" w:rsidTr="005C6B61">
        <w:trPr>
          <w:jc w:val="center"/>
        </w:trPr>
        <w:tc>
          <w:tcPr>
            <w:tcW w:w="1790" w:type="dxa"/>
            <w:vAlign w:val="bottom"/>
          </w:tcPr>
          <w:p w:rsidR="00D11B62" w:rsidRPr="00584315" w:rsidRDefault="00D11B62" w:rsidP="00D11B62">
            <w:pPr>
              <w:ind w:left="338"/>
              <w:jc w:val="left"/>
              <w:rPr>
                <w:sz w:val="14"/>
              </w:rPr>
            </w:pPr>
            <w:r w:rsidRPr="00584315">
              <w:rPr>
                <w:sz w:val="14"/>
              </w:rPr>
              <w:t>Total Additions</w:t>
            </w:r>
          </w:p>
        </w:tc>
        <w:tc>
          <w:tcPr>
            <w:tcW w:w="944" w:type="dxa"/>
            <w:vAlign w:val="bottom"/>
          </w:tcPr>
          <w:p w:rsidR="00D11B62" w:rsidRPr="00584315" w:rsidRDefault="00D11B62" w:rsidP="00D11B62">
            <w:pPr>
              <w:tabs>
                <w:tab w:val="decimal" w:pos="728"/>
              </w:tabs>
              <w:jc w:val="left"/>
              <w:rPr>
                <w:sz w:val="14"/>
              </w:rPr>
            </w:pPr>
            <w:r w:rsidRPr="00584315">
              <w:rPr>
                <w:sz w:val="14"/>
              </w:rPr>
              <w:t>3,741,408</w:t>
            </w:r>
          </w:p>
        </w:tc>
        <w:tc>
          <w:tcPr>
            <w:tcW w:w="991" w:type="dxa"/>
            <w:vAlign w:val="bottom"/>
          </w:tcPr>
          <w:p w:rsidR="00D11B62" w:rsidRPr="00584315" w:rsidRDefault="00D11B62" w:rsidP="00D11B62">
            <w:pPr>
              <w:tabs>
                <w:tab w:val="decimal" w:pos="728"/>
              </w:tabs>
              <w:jc w:val="left"/>
              <w:rPr>
                <w:sz w:val="14"/>
              </w:rPr>
            </w:pPr>
            <w:r w:rsidRPr="00584315">
              <w:rPr>
                <w:sz w:val="14"/>
              </w:rPr>
              <w:t>433,519</w:t>
            </w:r>
          </w:p>
        </w:tc>
        <w:tc>
          <w:tcPr>
            <w:tcW w:w="964" w:type="dxa"/>
            <w:vAlign w:val="bottom"/>
          </w:tcPr>
          <w:p w:rsidR="00D11B62" w:rsidRPr="00584315" w:rsidRDefault="00D11B62" w:rsidP="00D11B62">
            <w:pPr>
              <w:tabs>
                <w:tab w:val="decimal" w:pos="710"/>
              </w:tabs>
              <w:jc w:val="left"/>
              <w:rPr>
                <w:sz w:val="14"/>
              </w:rPr>
            </w:pPr>
            <w:r w:rsidRPr="00584315">
              <w:rPr>
                <w:sz w:val="14"/>
              </w:rPr>
              <w:t>3,227,940</w:t>
            </w:r>
          </w:p>
        </w:tc>
        <w:tc>
          <w:tcPr>
            <w:tcW w:w="968" w:type="dxa"/>
            <w:vAlign w:val="bottom"/>
          </w:tcPr>
          <w:p w:rsidR="00D11B62" w:rsidRPr="00584315" w:rsidRDefault="00D11B62" w:rsidP="00D11B62">
            <w:pPr>
              <w:tabs>
                <w:tab w:val="decimal" w:pos="728"/>
              </w:tabs>
              <w:jc w:val="left"/>
              <w:rPr>
                <w:sz w:val="14"/>
              </w:rPr>
            </w:pPr>
            <w:r w:rsidRPr="00584315">
              <w:rPr>
                <w:sz w:val="14"/>
              </w:rPr>
              <w:t>1,726,026</w:t>
            </w:r>
          </w:p>
        </w:tc>
        <w:tc>
          <w:tcPr>
            <w:tcW w:w="1019" w:type="dxa"/>
            <w:vAlign w:val="bottom"/>
          </w:tcPr>
          <w:p w:rsidR="00D11B62" w:rsidRPr="00584315" w:rsidRDefault="00D11B62" w:rsidP="00D11B62">
            <w:pPr>
              <w:tabs>
                <w:tab w:val="decimal" w:pos="728"/>
              </w:tabs>
              <w:jc w:val="left"/>
              <w:rPr>
                <w:sz w:val="14"/>
              </w:rPr>
            </w:pPr>
            <w:r w:rsidRPr="00584315">
              <w:rPr>
                <w:sz w:val="14"/>
              </w:rPr>
              <w:t>944,291</w:t>
            </w:r>
          </w:p>
        </w:tc>
        <w:tc>
          <w:tcPr>
            <w:tcW w:w="967" w:type="dxa"/>
            <w:vAlign w:val="bottom"/>
          </w:tcPr>
          <w:p w:rsidR="00D11B62" w:rsidRPr="00584315" w:rsidRDefault="00D11B62" w:rsidP="00D11B62">
            <w:pPr>
              <w:tabs>
                <w:tab w:val="decimal" w:pos="710"/>
              </w:tabs>
              <w:jc w:val="left"/>
              <w:rPr>
                <w:sz w:val="14"/>
              </w:rPr>
            </w:pPr>
            <w:r w:rsidRPr="00584315">
              <w:rPr>
                <w:sz w:val="14"/>
              </w:rPr>
              <w:t>1,462,479</w:t>
            </w:r>
          </w:p>
        </w:tc>
        <w:tc>
          <w:tcPr>
            <w:tcW w:w="972" w:type="dxa"/>
            <w:vAlign w:val="bottom"/>
          </w:tcPr>
          <w:p w:rsidR="00D11B62" w:rsidRPr="00584315" w:rsidRDefault="00D11B62" w:rsidP="00D11B62">
            <w:pPr>
              <w:tabs>
                <w:tab w:val="decimal" w:pos="728"/>
              </w:tabs>
              <w:jc w:val="left"/>
              <w:rPr>
                <w:sz w:val="14"/>
              </w:rPr>
            </w:pPr>
            <w:r w:rsidRPr="00584315">
              <w:rPr>
                <w:sz w:val="14"/>
              </w:rPr>
              <w:t>2,563,225</w:t>
            </w:r>
          </w:p>
        </w:tc>
        <w:tc>
          <w:tcPr>
            <w:tcW w:w="1011" w:type="dxa"/>
            <w:vAlign w:val="bottom"/>
          </w:tcPr>
          <w:p w:rsidR="00D11B62" w:rsidRPr="00584315" w:rsidRDefault="00D11B62" w:rsidP="00D11B62">
            <w:pPr>
              <w:tabs>
                <w:tab w:val="decimal" w:pos="735"/>
              </w:tabs>
              <w:jc w:val="left"/>
              <w:rPr>
                <w:sz w:val="14"/>
              </w:rPr>
            </w:pPr>
            <w:r w:rsidRPr="00584315">
              <w:rPr>
                <w:sz w:val="14"/>
              </w:rPr>
              <w:t>2,089,883</w:t>
            </w:r>
          </w:p>
        </w:tc>
        <w:tc>
          <w:tcPr>
            <w:tcW w:w="1024" w:type="dxa"/>
            <w:vAlign w:val="bottom"/>
          </w:tcPr>
          <w:p w:rsidR="00D11B62" w:rsidRPr="00584315" w:rsidRDefault="00D11B62" w:rsidP="00D11B62">
            <w:pPr>
              <w:tabs>
                <w:tab w:val="decimal" w:pos="761"/>
              </w:tabs>
              <w:jc w:val="left"/>
              <w:rPr>
                <w:sz w:val="14"/>
              </w:rPr>
            </w:pPr>
            <w:r w:rsidRPr="00584315">
              <w:rPr>
                <w:sz w:val="14"/>
              </w:rPr>
              <w:t>786,177</w:t>
            </w:r>
          </w:p>
        </w:tc>
        <w:tc>
          <w:tcPr>
            <w:tcW w:w="975" w:type="dxa"/>
            <w:vAlign w:val="bottom"/>
          </w:tcPr>
          <w:p w:rsidR="00D11B62" w:rsidRPr="00584315" w:rsidRDefault="00D11B62" w:rsidP="00D11B62">
            <w:pPr>
              <w:tabs>
                <w:tab w:val="decimal" w:pos="748"/>
              </w:tabs>
              <w:jc w:val="left"/>
              <w:rPr>
                <w:sz w:val="14"/>
              </w:rPr>
            </w:pPr>
            <w:r w:rsidRPr="00584315">
              <w:rPr>
                <w:sz w:val="14"/>
              </w:rPr>
              <w:t>2,076,503</w:t>
            </w:r>
          </w:p>
        </w:tc>
      </w:tr>
      <w:tr w:rsidR="00D11B62" w:rsidRPr="00584315" w:rsidTr="005C6B61">
        <w:trPr>
          <w:jc w:val="center"/>
        </w:trPr>
        <w:tc>
          <w:tcPr>
            <w:tcW w:w="1790" w:type="dxa"/>
            <w:vAlign w:val="bottom"/>
          </w:tcPr>
          <w:p w:rsidR="00D11B62" w:rsidRPr="00584315" w:rsidRDefault="00D11B62" w:rsidP="00D11B62">
            <w:pPr>
              <w:jc w:val="left"/>
              <w:rPr>
                <w:sz w:val="14"/>
              </w:rPr>
            </w:pPr>
            <w:r w:rsidRPr="00584315">
              <w:rPr>
                <w:sz w:val="14"/>
              </w:rPr>
              <w:t>Deductions:</w:t>
            </w:r>
          </w:p>
        </w:tc>
        <w:tc>
          <w:tcPr>
            <w:tcW w:w="944" w:type="dxa"/>
            <w:vAlign w:val="bottom"/>
          </w:tcPr>
          <w:p w:rsidR="00D11B62" w:rsidRPr="00584315" w:rsidRDefault="00D11B62" w:rsidP="00D11B62">
            <w:pPr>
              <w:tabs>
                <w:tab w:val="decimal" w:pos="728"/>
              </w:tabs>
              <w:jc w:val="left"/>
              <w:rPr>
                <w:sz w:val="14"/>
              </w:rPr>
            </w:pPr>
          </w:p>
        </w:tc>
        <w:tc>
          <w:tcPr>
            <w:tcW w:w="991" w:type="dxa"/>
            <w:vAlign w:val="bottom"/>
          </w:tcPr>
          <w:p w:rsidR="00D11B62" w:rsidRPr="00584315" w:rsidRDefault="00D11B62" w:rsidP="00D11B62">
            <w:pPr>
              <w:tabs>
                <w:tab w:val="decimal" w:pos="728"/>
              </w:tabs>
              <w:jc w:val="left"/>
              <w:rPr>
                <w:sz w:val="14"/>
              </w:rPr>
            </w:pPr>
          </w:p>
        </w:tc>
        <w:tc>
          <w:tcPr>
            <w:tcW w:w="964" w:type="dxa"/>
            <w:vAlign w:val="bottom"/>
          </w:tcPr>
          <w:p w:rsidR="00D11B62" w:rsidRPr="00584315" w:rsidRDefault="00D11B62" w:rsidP="00D11B62">
            <w:pPr>
              <w:tabs>
                <w:tab w:val="decimal" w:pos="710"/>
              </w:tabs>
              <w:jc w:val="left"/>
              <w:rPr>
                <w:sz w:val="14"/>
              </w:rPr>
            </w:pPr>
          </w:p>
        </w:tc>
        <w:tc>
          <w:tcPr>
            <w:tcW w:w="968" w:type="dxa"/>
            <w:vAlign w:val="bottom"/>
          </w:tcPr>
          <w:p w:rsidR="00D11B62" w:rsidRPr="00584315" w:rsidRDefault="00D11B62" w:rsidP="00D11B62">
            <w:pPr>
              <w:tabs>
                <w:tab w:val="decimal" w:pos="728"/>
              </w:tabs>
              <w:jc w:val="left"/>
              <w:rPr>
                <w:sz w:val="14"/>
              </w:rPr>
            </w:pPr>
          </w:p>
        </w:tc>
        <w:tc>
          <w:tcPr>
            <w:tcW w:w="1019" w:type="dxa"/>
            <w:vAlign w:val="bottom"/>
          </w:tcPr>
          <w:p w:rsidR="00D11B62" w:rsidRPr="00584315" w:rsidRDefault="00D11B62" w:rsidP="00D11B62">
            <w:pPr>
              <w:tabs>
                <w:tab w:val="decimal" w:pos="728"/>
              </w:tabs>
              <w:jc w:val="left"/>
              <w:rPr>
                <w:sz w:val="14"/>
              </w:rPr>
            </w:pPr>
          </w:p>
        </w:tc>
        <w:tc>
          <w:tcPr>
            <w:tcW w:w="967" w:type="dxa"/>
            <w:vAlign w:val="bottom"/>
          </w:tcPr>
          <w:p w:rsidR="00D11B62" w:rsidRPr="00584315" w:rsidRDefault="00D11B62" w:rsidP="00D11B62">
            <w:pPr>
              <w:tabs>
                <w:tab w:val="decimal" w:pos="710"/>
              </w:tabs>
              <w:jc w:val="left"/>
              <w:rPr>
                <w:sz w:val="14"/>
              </w:rPr>
            </w:pPr>
          </w:p>
        </w:tc>
        <w:tc>
          <w:tcPr>
            <w:tcW w:w="972" w:type="dxa"/>
            <w:vAlign w:val="bottom"/>
          </w:tcPr>
          <w:p w:rsidR="00D11B62" w:rsidRPr="00584315" w:rsidRDefault="00D11B62" w:rsidP="00D11B62">
            <w:pPr>
              <w:tabs>
                <w:tab w:val="decimal" w:pos="728"/>
              </w:tabs>
              <w:jc w:val="left"/>
              <w:rPr>
                <w:sz w:val="14"/>
              </w:rPr>
            </w:pPr>
          </w:p>
        </w:tc>
        <w:tc>
          <w:tcPr>
            <w:tcW w:w="1011" w:type="dxa"/>
            <w:vAlign w:val="bottom"/>
          </w:tcPr>
          <w:p w:rsidR="00D11B62" w:rsidRPr="00584315" w:rsidRDefault="00D11B62" w:rsidP="00D11B62">
            <w:pPr>
              <w:tabs>
                <w:tab w:val="decimal" w:pos="735"/>
              </w:tabs>
              <w:jc w:val="left"/>
              <w:rPr>
                <w:sz w:val="14"/>
              </w:rPr>
            </w:pPr>
          </w:p>
        </w:tc>
        <w:tc>
          <w:tcPr>
            <w:tcW w:w="1024" w:type="dxa"/>
            <w:vAlign w:val="bottom"/>
          </w:tcPr>
          <w:p w:rsidR="00D11B62" w:rsidRPr="00584315" w:rsidRDefault="00D11B62" w:rsidP="00D11B62">
            <w:pPr>
              <w:tabs>
                <w:tab w:val="decimal" w:pos="761"/>
              </w:tabs>
              <w:jc w:val="left"/>
              <w:rPr>
                <w:sz w:val="14"/>
              </w:rPr>
            </w:pPr>
          </w:p>
        </w:tc>
        <w:tc>
          <w:tcPr>
            <w:tcW w:w="975" w:type="dxa"/>
            <w:vAlign w:val="bottom"/>
          </w:tcPr>
          <w:p w:rsidR="00D11B62" w:rsidRPr="00584315" w:rsidRDefault="00D11B62" w:rsidP="00D11B62">
            <w:pPr>
              <w:tabs>
                <w:tab w:val="decimal" w:pos="748"/>
              </w:tabs>
              <w:jc w:val="left"/>
              <w:rPr>
                <w:sz w:val="14"/>
              </w:rPr>
            </w:pPr>
          </w:p>
        </w:tc>
      </w:tr>
      <w:tr w:rsidR="00D11B62" w:rsidRPr="00584315" w:rsidTr="005C6B61">
        <w:trPr>
          <w:jc w:val="center"/>
        </w:trPr>
        <w:tc>
          <w:tcPr>
            <w:tcW w:w="1790" w:type="dxa"/>
            <w:vAlign w:val="bottom"/>
          </w:tcPr>
          <w:p w:rsidR="00D11B62" w:rsidRPr="00584315" w:rsidRDefault="00D11B62" w:rsidP="00D11B62">
            <w:pPr>
              <w:ind w:left="248" w:hanging="90"/>
              <w:jc w:val="left"/>
              <w:rPr>
                <w:sz w:val="14"/>
              </w:rPr>
            </w:pPr>
            <w:r w:rsidRPr="00584315">
              <w:rPr>
                <w:sz w:val="14"/>
              </w:rPr>
              <w:t>Benefit payments</w:t>
            </w:r>
          </w:p>
        </w:tc>
        <w:tc>
          <w:tcPr>
            <w:tcW w:w="944" w:type="dxa"/>
            <w:vAlign w:val="bottom"/>
          </w:tcPr>
          <w:p w:rsidR="00D11B62" w:rsidRPr="00584315" w:rsidRDefault="00D11B62" w:rsidP="00D11B62">
            <w:pPr>
              <w:tabs>
                <w:tab w:val="decimal" w:pos="728"/>
              </w:tabs>
              <w:jc w:val="left"/>
              <w:rPr>
                <w:sz w:val="14"/>
              </w:rPr>
            </w:pPr>
            <w:r w:rsidRPr="00584315">
              <w:rPr>
                <w:sz w:val="14"/>
              </w:rPr>
              <w:t>1,637,168</w:t>
            </w:r>
          </w:p>
        </w:tc>
        <w:tc>
          <w:tcPr>
            <w:tcW w:w="991" w:type="dxa"/>
            <w:vAlign w:val="bottom"/>
          </w:tcPr>
          <w:p w:rsidR="00D11B62" w:rsidRPr="00584315" w:rsidRDefault="00D11B62" w:rsidP="00D11B62">
            <w:pPr>
              <w:tabs>
                <w:tab w:val="decimal" w:pos="728"/>
              </w:tabs>
              <w:jc w:val="left"/>
              <w:rPr>
                <w:sz w:val="14"/>
              </w:rPr>
            </w:pPr>
            <w:r w:rsidRPr="00584315">
              <w:rPr>
                <w:sz w:val="14"/>
              </w:rPr>
              <w:t>1,608,534</w:t>
            </w:r>
          </w:p>
        </w:tc>
        <w:tc>
          <w:tcPr>
            <w:tcW w:w="964" w:type="dxa"/>
            <w:vAlign w:val="bottom"/>
          </w:tcPr>
          <w:p w:rsidR="00D11B62" w:rsidRPr="00584315" w:rsidRDefault="00D11B62" w:rsidP="00D11B62">
            <w:pPr>
              <w:tabs>
                <w:tab w:val="decimal" w:pos="710"/>
              </w:tabs>
              <w:jc w:val="left"/>
              <w:rPr>
                <w:sz w:val="14"/>
              </w:rPr>
            </w:pPr>
            <w:r w:rsidRPr="00584315">
              <w:rPr>
                <w:sz w:val="14"/>
              </w:rPr>
              <w:t>1,554,290</w:t>
            </w:r>
          </w:p>
        </w:tc>
        <w:tc>
          <w:tcPr>
            <w:tcW w:w="968" w:type="dxa"/>
            <w:vAlign w:val="bottom"/>
          </w:tcPr>
          <w:p w:rsidR="00D11B62" w:rsidRPr="00584315" w:rsidRDefault="00D11B62" w:rsidP="00D11B62">
            <w:pPr>
              <w:tabs>
                <w:tab w:val="decimal" w:pos="728"/>
              </w:tabs>
              <w:jc w:val="left"/>
              <w:rPr>
                <w:sz w:val="14"/>
              </w:rPr>
            </w:pPr>
            <w:r w:rsidRPr="00584315">
              <w:rPr>
                <w:sz w:val="14"/>
              </w:rPr>
              <w:t>1,483,828</w:t>
            </w:r>
          </w:p>
        </w:tc>
        <w:tc>
          <w:tcPr>
            <w:tcW w:w="1019" w:type="dxa"/>
            <w:vAlign w:val="bottom"/>
          </w:tcPr>
          <w:p w:rsidR="00D11B62" w:rsidRPr="00584315" w:rsidRDefault="00D11B62" w:rsidP="00D11B62">
            <w:pPr>
              <w:tabs>
                <w:tab w:val="decimal" w:pos="728"/>
              </w:tabs>
              <w:jc w:val="left"/>
              <w:rPr>
                <w:sz w:val="14"/>
              </w:rPr>
            </w:pPr>
            <w:r w:rsidRPr="00584315">
              <w:rPr>
                <w:sz w:val="14"/>
              </w:rPr>
              <w:t>1,417,862</w:t>
            </w:r>
          </w:p>
        </w:tc>
        <w:tc>
          <w:tcPr>
            <w:tcW w:w="967" w:type="dxa"/>
            <w:vAlign w:val="bottom"/>
          </w:tcPr>
          <w:p w:rsidR="00D11B62" w:rsidRPr="00584315" w:rsidRDefault="00D11B62" w:rsidP="00D11B62">
            <w:pPr>
              <w:tabs>
                <w:tab w:val="decimal" w:pos="710"/>
              </w:tabs>
              <w:jc w:val="left"/>
              <w:rPr>
                <w:sz w:val="14"/>
              </w:rPr>
            </w:pPr>
            <w:r w:rsidRPr="00584315">
              <w:rPr>
                <w:sz w:val="14"/>
              </w:rPr>
              <w:t>1,352,293</w:t>
            </w:r>
          </w:p>
        </w:tc>
        <w:tc>
          <w:tcPr>
            <w:tcW w:w="972" w:type="dxa"/>
            <w:vAlign w:val="bottom"/>
          </w:tcPr>
          <w:p w:rsidR="00D11B62" w:rsidRPr="00584315" w:rsidRDefault="00D11B62" w:rsidP="00D11B62">
            <w:pPr>
              <w:tabs>
                <w:tab w:val="decimal" w:pos="728"/>
              </w:tabs>
              <w:jc w:val="left"/>
              <w:rPr>
                <w:sz w:val="14"/>
              </w:rPr>
            </w:pPr>
            <w:r w:rsidRPr="00584315">
              <w:rPr>
                <w:sz w:val="14"/>
              </w:rPr>
              <w:t>1,295,780</w:t>
            </w:r>
          </w:p>
        </w:tc>
        <w:tc>
          <w:tcPr>
            <w:tcW w:w="1011" w:type="dxa"/>
            <w:vAlign w:val="bottom"/>
          </w:tcPr>
          <w:p w:rsidR="00D11B62" w:rsidRPr="00584315" w:rsidRDefault="00D11B62" w:rsidP="00D11B62">
            <w:pPr>
              <w:tabs>
                <w:tab w:val="decimal" w:pos="735"/>
              </w:tabs>
              <w:jc w:val="left"/>
              <w:rPr>
                <w:sz w:val="14"/>
              </w:rPr>
            </w:pPr>
            <w:r w:rsidRPr="00584315">
              <w:rPr>
                <w:sz w:val="14"/>
              </w:rPr>
              <w:t>1,231,922</w:t>
            </w:r>
          </w:p>
        </w:tc>
        <w:tc>
          <w:tcPr>
            <w:tcW w:w="1024" w:type="dxa"/>
            <w:vAlign w:val="bottom"/>
          </w:tcPr>
          <w:p w:rsidR="00D11B62" w:rsidRPr="00584315" w:rsidRDefault="00D11B62" w:rsidP="00D11B62">
            <w:pPr>
              <w:tabs>
                <w:tab w:val="decimal" w:pos="761"/>
              </w:tabs>
              <w:jc w:val="left"/>
              <w:rPr>
                <w:sz w:val="14"/>
              </w:rPr>
            </w:pPr>
            <w:r w:rsidRPr="00584315">
              <w:rPr>
                <w:sz w:val="14"/>
              </w:rPr>
              <w:t>1,174,707</w:t>
            </w:r>
          </w:p>
        </w:tc>
        <w:tc>
          <w:tcPr>
            <w:tcW w:w="975" w:type="dxa"/>
            <w:vAlign w:val="bottom"/>
          </w:tcPr>
          <w:p w:rsidR="00D11B62" w:rsidRPr="00584315" w:rsidRDefault="00D11B62" w:rsidP="00D11B62">
            <w:pPr>
              <w:tabs>
                <w:tab w:val="decimal" w:pos="748"/>
              </w:tabs>
              <w:jc w:val="left"/>
              <w:rPr>
                <w:sz w:val="14"/>
              </w:rPr>
            </w:pPr>
            <w:r w:rsidRPr="00584315">
              <w:rPr>
                <w:sz w:val="14"/>
              </w:rPr>
              <w:t>1,122,435</w:t>
            </w:r>
          </w:p>
        </w:tc>
      </w:tr>
      <w:tr w:rsidR="00D11B62" w:rsidRPr="00584315" w:rsidTr="005C6B61">
        <w:trPr>
          <w:jc w:val="center"/>
        </w:trPr>
        <w:tc>
          <w:tcPr>
            <w:tcW w:w="1790" w:type="dxa"/>
            <w:vAlign w:val="bottom"/>
          </w:tcPr>
          <w:p w:rsidR="00D11B62" w:rsidRPr="00584315" w:rsidRDefault="00D11B62" w:rsidP="00D11B62">
            <w:pPr>
              <w:ind w:left="248" w:hanging="90"/>
              <w:jc w:val="left"/>
              <w:rPr>
                <w:sz w:val="14"/>
              </w:rPr>
            </w:pPr>
            <w:r w:rsidRPr="00584315">
              <w:rPr>
                <w:sz w:val="14"/>
              </w:rPr>
              <w:t>Refunds</w:t>
            </w:r>
          </w:p>
        </w:tc>
        <w:tc>
          <w:tcPr>
            <w:tcW w:w="944" w:type="dxa"/>
            <w:vAlign w:val="bottom"/>
          </w:tcPr>
          <w:p w:rsidR="00D11B62" w:rsidRPr="00584315" w:rsidRDefault="00D11B62" w:rsidP="00D11B62">
            <w:pPr>
              <w:tabs>
                <w:tab w:val="decimal" w:pos="728"/>
              </w:tabs>
              <w:jc w:val="left"/>
              <w:rPr>
                <w:sz w:val="14"/>
              </w:rPr>
            </w:pPr>
            <w:r w:rsidRPr="00584315">
              <w:rPr>
                <w:sz w:val="14"/>
              </w:rPr>
              <w:t>61,832</w:t>
            </w:r>
          </w:p>
        </w:tc>
        <w:tc>
          <w:tcPr>
            <w:tcW w:w="991" w:type="dxa"/>
            <w:vAlign w:val="bottom"/>
          </w:tcPr>
          <w:p w:rsidR="00D11B62" w:rsidRPr="00584315" w:rsidRDefault="00D11B62" w:rsidP="00D11B62">
            <w:pPr>
              <w:tabs>
                <w:tab w:val="decimal" w:pos="728"/>
              </w:tabs>
              <w:jc w:val="left"/>
              <w:rPr>
                <w:sz w:val="14"/>
              </w:rPr>
            </w:pPr>
            <w:r w:rsidRPr="00584315">
              <w:rPr>
                <w:sz w:val="14"/>
              </w:rPr>
              <w:t>65,253</w:t>
            </w:r>
          </w:p>
        </w:tc>
        <w:tc>
          <w:tcPr>
            <w:tcW w:w="964" w:type="dxa"/>
            <w:vAlign w:val="bottom"/>
          </w:tcPr>
          <w:p w:rsidR="00D11B62" w:rsidRPr="00584315" w:rsidRDefault="00D11B62" w:rsidP="00D11B62">
            <w:pPr>
              <w:tabs>
                <w:tab w:val="decimal" w:pos="710"/>
              </w:tabs>
              <w:jc w:val="left"/>
              <w:rPr>
                <w:sz w:val="14"/>
              </w:rPr>
            </w:pPr>
            <w:r w:rsidRPr="00584315">
              <w:rPr>
                <w:sz w:val="14"/>
              </w:rPr>
              <w:t>58,696</w:t>
            </w:r>
          </w:p>
        </w:tc>
        <w:tc>
          <w:tcPr>
            <w:tcW w:w="968" w:type="dxa"/>
            <w:vAlign w:val="bottom"/>
          </w:tcPr>
          <w:p w:rsidR="00D11B62" w:rsidRPr="00584315" w:rsidRDefault="00D11B62" w:rsidP="00D11B62">
            <w:pPr>
              <w:tabs>
                <w:tab w:val="decimal" w:pos="728"/>
              </w:tabs>
              <w:jc w:val="left"/>
              <w:rPr>
                <w:sz w:val="14"/>
              </w:rPr>
            </w:pPr>
            <w:r w:rsidRPr="00584315">
              <w:rPr>
                <w:sz w:val="14"/>
              </w:rPr>
              <w:t>60,137</w:t>
            </w:r>
          </w:p>
        </w:tc>
        <w:tc>
          <w:tcPr>
            <w:tcW w:w="1019" w:type="dxa"/>
            <w:vAlign w:val="bottom"/>
          </w:tcPr>
          <w:p w:rsidR="00D11B62" w:rsidRPr="00584315" w:rsidRDefault="00D11B62" w:rsidP="00D11B62">
            <w:pPr>
              <w:tabs>
                <w:tab w:val="decimal" w:pos="728"/>
              </w:tabs>
              <w:jc w:val="left"/>
              <w:rPr>
                <w:sz w:val="14"/>
              </w:rPr>
            </w:pPr>
            <w:r w:rsidRPr="00584315">
              <w:rPr>
                <w:sz w:val="14"/>
              </w:rPr>
              <w:t>63,567</w:t>
            </w:r>
          </w:p>
        </w:tc>
        <w:tc>
          <w:tcPr>
            <w:tcW w:w="967" w:type="dxa"/>
            <w:vAlign w:val="bottom"/>
          </w:tcPr>
          <w:p w:rsidR="00D11B62" w:rsidRPr="00584315" w:rsidRDefault="00D11B62" w:rsidP="00D11B62">
            <w:pPr>
              <w:tabs>
                <w:tab w:val="decimal" w:pos="710"/>
              </w:tabs>
              <w:jc w:val="left"/>
              <w:rPr>
                <w:sz w:val="14"/>
              </w:rPr>
            </w:pPr>
            <w:r w:rsidRPr="00584315">
              <w:rPr>
                <w:sz w:val="14"/>
              </w:rPr>
              <w:t>61,152</w:t>
            </w:r>
          </w:p>
        </w:tc>
        <w:tc>
          <w:tcPr>
            <w:tcW w:w="972" w:type="dxa"/>
            <w:vAlign w:val="bottom"/>
          </w:tcPr>
          <w:p w:rsidR="00D11B62" w:rsidRPr="00584315" w:rsidRDefault="00D11B62" w:rsidP="00D11B62">
            <w:pPr>
              <w:tabs>
                <w:tab w:val="decimal" w:pos="728"/>
              </w:tabs>
              <w:jc w:val="left"/>
              <w:rPr>
                <w:sz w:val="14"/>
              </w:rPr>
            </w:pPr>
            <w:r w:rsidRPr="00584315">
              <w:rPr>
                <w:sz w:val="14"/>
              </w:rPr>
              <w:t>68,735</w:t>
            </w:r>
          </w:p>
        </w:tc>
        <w:tc>
          <w:tcPr>
            <w:tcW w:w="1011" w:type="dxa"/>
            <w:vAlign w:val="bottom"/>
          </w:tcPr>
          <w:p w:rsidR="00D11B62" w:rsidRPr="00584315" w:rsidRDefault="00D11B62" w:rsidP="00D11B62">
            <w:pPr>
              <w:tabs>
                <w:tab w:val="decimal" w:pos="735"/>
              </w:tabs>
              <w:jc w:val="left"/>
              <w:rPr>
                <w:sz w:val="14"/>
              </w:rPr>
            </w:pPr>
            <w:r w:rsidRPr="00584315">
              <w:rPr>
                <w:sz w:val="14"/>
              </w:rPr>
              <w:t>69,221</w:t>
            </w:r>
          </w:p>
        </w:tc>
        <w:tc>
          <w:tcPr>
            <w:tcW w:w="1024" w:type="dxa"/>
            <w:vAlign w:val="bottom"/>
          </w:tcPr>
          <w:p w:rsidR="00D11B62" w:rsidRPr="00584315" w:rsidRDefault="00D11B62" w:rsidP="00D11B62">
            <w:pPr>
              <w:tabs>
                <w:tab w:val="decimal" w:pos="761"/>
              </w:tabs>
              <w:jc w:val="left"/>
              <w:rPr>
                <w:sz w:val="14"/>
              </w:rPr>
            </w:pPr>
            <w:r w:rsidRPr="00584315">
              <w:rPr>
                <w:sz w:val="14"/>
              </w:rPr>
              <w:t>70,090</w:t>
            </w:r>
          </w:p>
        </w:tc>
        <w:tc>
          <w:tcPr>
            <w:tcW w:w="975" w:type="dxa"/>
            <w:vAlign w:val="bottom"/>
          </w:tcPr>
          <w:p w:rsidR="00D11B62" w:rsidRPr="00584315" w:rsidRDefault="00D11B62" w:rsidP="00D11B62">
            <w:pPr>
              <w:tabs>
                <w:tab w:val="decimal" w:pos="748"/>
              </w:tabs>
              <w:jc w:val="left"/>
              <w:rPr>
                <w:sz w:val="14"/>
              </w:rPr>
            </w:pPr>
            <w:r w:rsidRPr="00584315">
              <w:rPr>
                <w:sz w:val="14"/>
              </w:rPr>
              <w:t>68,844</w:t>
            </w:r>
          </w:p>
        </w:tc>
      </w:tr>
      <w:tr w:rsidR="00D11B62" w:rsidRPr="00584315" w:rsidTr="005C6B61">
        <w:trPr>
          <w:trHeight w:val="279"/>
          <w:jc w:val="center"/>
        </w:trPr>
        <w:tc>
          <w:tcPr>
            <w:tcW w:w="1790" w:type="dxa"/>
            <w:vAlign w:val="bottom"/>
          </w:tcPr>
          <w:p w:rsidR="00D11B62" w:rsidRPr="00584315" w:rsidRDefault="00D11B62" w:rsidP="00D11B62">
            <w:pPr>
              <w:ind w:left="248" w:hanging="90"/>
              <w:jc w:val="left"/>
              <w:rPr>
                <w:sz w:val="14"/>
              </w:rPr>
            </w:pPr>
            <w:r w:rsidRPr="00584315">
              <w:rPr>
                <w:sz w:val="14"/>
              </w:rPr>
              <w:t>Disability insurance premiums</w:t>
            </w:r>
          </w:p>
        </w:tc>
        <w:tc>
          <w:tcPr>
            <w:tcW w:w="944" w:type="dxa"/>
            <w:vAlign w:val="bottom"/>
          </w:tcPr>
          <w:p w:rsidR="00D11B62" w:rsidRPr="00584315" w:rsidRDefault="00D11B62" w:rsidP="00D11B62">
            <w:pPr>
              <w:tabs>
                <w:tab w:val="decimal" w:pos="728"/>
              </w:tabs>
              <w:jc w:val="left"/>
              <w:rPr>
                <w:sz w:val="14"/>
              </w:rPr>
            </w:pPr>
            <w:r w:rsidRPr="00584315">
              <w:rPr>
                <w:sz w:val="14"/>
              </w:rPr>
              <w:t>1,965</w:t>
            </w:r>
          </w:p>
        </w:tc>
        <w:tc>
          <w:tcPr>
            <w:tcW w:w="991" w:type="dxa"/>
            <w:vAlign w:val="bottom"/>
          </w:tcPr>
          <w:p w:rsidR="00D11B62" w:rsidRPr="00584315" w:rsidRDefault="00D11B62" w:rsidP="00D11B62">
            <w:pPr>
              <w:tabs>
                <w:tab w:val="decimal" w:pos="728"/>
              </w:tabs>
              <w:jc w:val="left"/>
              <w:rPr>
                <w:sz w:val="14"/>
              </w:rPr>
            </w:pPr>
            <w:r w:rsidRPr="00584315">
              <w:rPr>
                <w:sz w:val="14"/>
              </w:rPr>
              <w:t>2,093</w:t>
            </w:r>
          </w:p>
        </w:tc>
        <w:tc>
          <w:tcPr>
            <w:tcW w:w="964" w:type="dxa"/>
            <w:vAlign w:val="bottom"/>
          </w:tcPr>
          <w:p w:rsidR="00D11B62" w:rsidRPr="00584315" w:rsidRDefault="00D11B62" w:rsidP="00D11B62">
            <w:pPr>
              <w:tabs>
                <w:tab w:val="decimal" w:pos="710"/>
              </w:tabs>
              <w:jc w:val="left"/>
              <w:rPr>
                <w:sz w:val="14"/>
              </w:rPr>
            </w:pPr>
            <w:r w:rsidRPr="00584315">
              <w:rPr>
                <w:sz w:val="14"/>
              </w:rPr>
              <w:t>2,035</w:t>
            </w:r>
          </w:p>
        </w:tc>
        <w:tc>
          <w:tcPr>
            <w:tcW w:w="968" w:type="dxa"/>
            <w:vAlign w:val="bottom"/>
          </w:tcPr>
          <w:p w:rsidR="00D11B62" w:rsidRPr="00584315" w:rsidRDefault="00D11B62" w:rsidP="00D11B62">
            <w:pPr>
              <w:tabs>
                <w:tab w:val="decimal" w:pos="728"/>
              </w:tabs>
              <w:jc w:val="left"/>
              <w:rPr>
                <w:sz w:val="14"/>
              </w:rPr>
            </w:pPr>
            <w:r w:rsidRPr="00584315">
              <w:rPr>
                <w:sz w:val="14"/>
              </w:rPr>
              <w:t>2,106</w:t>
            </w:r>
          </w:p>
        </w:tc>
        <w:tc>
          <w:tcPr>
            <w:tcW w:w="1019" w:type="dxa"/>
            <w:vAlign w:val="bottom"/>
          </w:tcPr>
          <w:p w:rsidR="00D11B62" w:rsidRPr="00584315" w:rsidRDefault="00D11B62" w:rsidP="00D11B62">
            <w:pPr>
              <w:tabs>
                <w:tab w:val="decimal" w:pos="728"/>
              </w:tabs>
              <w:jc w:val="left"/>
              <w:rPr>
                <w:sz w:val="14"/>
              </w:rPr>
            </w:pPr>
            <w:r w:rsidRPr="00584315">
              <w:rPr>
                <w:sz w:val="14"/>
              </w:rPr>
              <w:t>2,088</w:t>
            </w:r>
          </w:p>
        </w:tc>
        <w:tc>
          <w:tcPr>
            <w:tcW w:w="967" w:type="dxa"/>
            <w:vAlign w:val="bottom"/>
          </w:tcPr>
          <w:p w:rsidR="00D11B62" w:rsidRPr="00584315" w:rsidRDefault="00D11B62" w:rsidP="00D11B62">
            <w:pPr>
              <w:tabs>
                <w:tab w:val="decimal" w:pos="710"/>
              </w:tabs>
              <w:jc w:val="left"/>
              <w:rPr>
                <w:sz w:val="14"/>
              </w:rPr>
            </w:pPr>
            <w:r w:rsidRPr="00584315">
              <w:rPr>
                <w:sz w:val="14"/>
              </w:rPr>
              <w:t>2,309</w:t>
            </w:r>
          </w:p>
        </w:tc>
        <w:tc>
          <w:tcPr>
            <w:tcW w:w="972" w:type="dxa"/>
            <w:vAlign w:val="bottom"/>
          </w:tcPr>
          <w:p w:rsidR="00D11B62" w:rsidRPr="00584315" w:rsidRDefault="00D11B62" w:rsidP="00D11B62">
            <w:pPr>
              <w:tabs>
                <w:tab w:val="decimal" w:pos="728"/>
              </w:tabs>
              <w:jc w:val="left"/>
              <w:rPr>
                <w:sz w:val="14"/>
              </w:rPr>
            </w:pPr>
            <w:r w:rsidRPr="00584315">
              <w:rPr>
                <w:sz w:val="14"/>
              </w:rPr>
              <w:t>2,229</w:t>
            </w:r>
          </w:p>
        </w:tc>
        <w:tc>
          <w:tcPr>
            <w:tcW w:w="1011" w:type="dxa"/>
            <w:vAlign w:val="bottom"/>
          </w:tcPr>
          <w:p w:rsidR="00D11B62" w:rsidRPr="00584315" w:rsidRDefault="00D11B62" w:rsidP="00D11B62">
            <w:pPr>
              <w:tabs>
                <w:tab w:val="decimal" w:pos="735"/>
              </w:tabs>
              <w:jc w:val="left"/>
              <w:rPr>
                <w:sz w:val="14"/>
              </w:rPr>
            </w:pPr>
            <w:r w:rsidRPr="00584315">
              <w:rPr>
                <w:sz w:val="14"/>
              </w:rPr>
              <w:t>1,570</w:t>
            </w:r>
          </w:p>
        </w:tc>
        <w:tc>
          <w:tcPr>
            <w:tcW w:w="1024" w:type="dxa"/>
            <w:vAlign w:val="bottom"/>
          </w:tcPr>
          <w:p w:rsidR="00D11B62" w:rsidRPr="00584315" w:rsidRDefault="00D11B62" w:rsidP="00D11B62">
            <w:pPr>
              <w:tabs>
                <w:tab w:val="decimal" w:pos="761"/>
              </w:tabs>
              <w:jc w:val="left"/>
              <w:rPr>
                <w:sz w:val="14"/>
              </w:rPr>
            </w:pPr>
            <w:r w:rsidRPr="00584315">
              <w:rPr>
                <w:sz w:val="14"/>
              </w:rPr>
              <w:t>1,685</w:t>
            </w:r>
          </w:p>
        </w:tc>
        <w:tc>
          <w:tcPr>
            <w:tcW w:w="975" w:type="dxa"/>
            <w:vAlign w:val="bottom"/>
          </w:tcPr>
          <w:p w:rsidR="00D11B62" w:rsidRPr="00584315" w:rsidRDefault="00D11B62" w:rsidP="00D11B62">
            <w:pPr>
              <w:tabs>
                <w:tab w:val="decimal" w:pos="748"/>
              </w:tabs>
              <w:jc w:val="left"/>
              <w:rPr>
                <w:sz w:val="14"/>
              </w:rPr>
            </w:pPr>
            <w:r w:rsidRPr="00584315">
              <w:rPr>
                <w:sz w:val="14"/>
              </w:rPr>
              <w:t>1,661</w:t>
            </w:r>
          </w:p>
        </w:tc>
      </w:tr>
      <w:tr w:rsidR="00D11B62" w:rsidRPr="00584315" w:rsidTr="005C6B61">
        <w:trPr>
          <w:jc w:val="center"/>
        </w:trPr>
        <w:tc>
          <w:tcPr>
            <w:tcW w:w="1790" w:type="dxa"/>
            <w:vAlign w:val="bottom"/>
          </w:tcPr>
          <w:p w:rsidR="00D11B62" w:rsidRPr="00584315" w:rsidRDefault="00D11B62" w:rsidP="00D11B62">
            <w:pPr>
              <w:ind w:left="248" w:hanging="90"/>
              <w:jc w:val="left"/>
              <w:rPr>
                <w:sz w:val="14"/>
              </w:rPr>
            </w:pPr>
            <w:r w:rsidRPr="00584315">
              <w:rPr>
                <w:sz w:val="14"/>
              </w:rPr>
              <w:t>Administrative expenses</w:t>
            </w:r>
          </w:p>
        </w:tc>
        <w:tc>
          <w:tcPr>
            <w:tcW w:w="944" w:type="dxa"/>
            <w:vAlign w:val="bottom"/>
          </w:tcPr>
          <w:p w:rsidR="00D11B62" w:rsidRPr="00584315" w:rsidRDefault="00D11B62" w:rsidP="00D11B62">
            <w:pPr>
              <w:tabs>
                <w:tab w:val="decimal" w:pos="728"/>
              </w:tabs>
              <w:jc w:val="left"/>
              <w:rPr>
                <w:sz w:val="14"/>
              </w:rPr>
            </w:pPr>
            <w:r w:rsidRPr="00584315">
              <w:rPr>
                <w:sz w:val="14"/>
              </w:rPr>
              <w:t>11,294</w:t>
            </w:r>
          </w:p>
        </w:tc>
        <w:tc>
          <w:tcPr>
            <w:tcW w:w="991" w:type="dxa"/>
            <w:vAlign w:val="bottom"/>
          </w:tcPr>
          <w:p w:rsidR="00D11B62" w:rsidRPr="00584315" w:rsidRDefault="00D11B62" w:rsidP="00D11B62">
            <w:pPr>
              <w:tabs>
                <w:tab w:val="decimal" w:pos="728"/>
              </w:tabs>
              <w:jc w:val="left"/>
              <w:rPr>
                <w:sz w:val="14"/>
              </w:rPr>
            </w:pPr>
            <w:r w:rsidRPr="00584315">
              <w:rPr>
                <w:sz w:val="14"/>
              </w:rPr>
              <w:t>11,903</w:t>
            </w:r>
          </w:p>
        </w:tc>
        <w:tc>
          <w:tcPr>
            <w:tcW w:w="964" w:type="dxa"/>
            <w:vAlign w:val="bottom"/>
          </w:tcPr>
          <w:p w:rsidR="00D11B62" w:rsidRPr="00584315" w:rsidRDefault="00D11B62" w:rsidP="00D11B62">
            <w:pPr>
              <w:tabs>
                <w:tab w:val="decimal" w:pos="710"/>
              </w:tabs>
              <w:jc w:val="left"/>
              <w:rPr>
                <w:sz w:val="14"/>
              </w:rPr>
            </w:pPr>
            <w:r w:rsidRPr="00584315">
              <w:rPr>
                <w:sz w:val="14"/>
              </w:rPr>
              <w:t>11,745</w:t>
            </w:r>
          </w:p>
        </w:tc>
        <w:tc>
          <w:tcPr>
            <w:tcW w:w="968" w:type="dxa"/>
            <w:vAlign w:val="bottom"/>
          </w:tcPr>
          <w:p w:rsidR="00D11B62" w:rsidRPr="00584315" w:rsidRDefault="00D11B62" w:rsidP="00D11B62">
            <w:pPr>
              <w:tabs>
                <w:tab w:val="decimal" w:pos="728"/>
              </w:tabs>
              <w:jc w:val="left"/>
              <w:rPr>
                <w:sz w:val="14"/>
              </w:rPr>
            </w:pPr>
            <w:r w:rsidRPr="00584315">
              <w:rPr>
                <w:sz w:val="14"/>
              </w:rPr>
              <w:t>11,271</w:t>
            </w:r>
          </w:p>
        </w:tc>
        <w:tc>
          <w:tcPr>
            <w:tcW w:w="1019" w:type="dxa"/>
            <w:vAlign w:val="bottom"/>
          </w:tcPr>
          <w:p w:rsidR="00D11B62" w:rsidRPr="00584315" w:rsidRDefault="00D11B62" w:rsidP="00D11B62">
            <w:pPr>
              <w:tabs>
                <w:tab w:val="decimal" w:pos="728"/>
              </w:tabs>
              <w:jc w:val="left"/>
              <w:rPr>
                <w:sz w:val="14"/>
              </w:rPr>
            </w:pPr>
            <w:r w:rsidRPr="00584315">
              <w:rPr>
                <w:sz w:val="14"/>
              </w:rPr>
              <w:t>10,779</w:t>
            </w:r>
          </w:p>
        </w:tc>
        <w:tc>
          <w:tcPr>
            <w:tcW w:w="967" w:type="dxa"/>
            <w:vAlign w:val="bottom"/>
          </w:tcPr>
          <w:p w:rsidR="00D11B62" w:rsidRPr="00584315" w:rsidRDefault="00D11B62" w:rsidP="00D11B62">
            <w:pPr>
              <w:tabs>
                <w:tab w:val="decimal" w:pos="710"/>
              </w:tabs>
              <w:jc w:val="left"/>
              <w:rPr>
                <w:sz w:val="14"/>
              </w:rPr>
            </w:pPr>
            <w:r w:rsidRPr="00584315">
              <w:rPr>
                <w:sz w:val="14"/>
              </w:rPr>
              <w:t>10,067</w:t>
            </w:r>
          </w:p>
        </w:tc>
        <w:tc>
          <w:tcPr>
            <w:tcW w:w="972" w:type="dxa"/>
            <w:vAlign w:val="bottom"/>
          </w:tcPr>
          <w:p w:rsidR="00D11B62" w:rsidRPr="00584315" w:rsidRDefault="00D11B62" w:rsidP="00D11B62">
            <w:pPr>
              <w:tabs>
                <w:tab w:val="decimal" w:pos="728"/>
              </w:tabs>
              <w:jc w:val="left"/>
              <w:rPr>
                <w:sz w:val="14"/>
              </w:rPr>
            </w:pPr>
            <w:r w:rsidRPr="00584315">
              <w:rPr>
                <w:sz w:val="14"/>
              </w:rPr>
              <w:t>9,780</w:t>
            </w:r>
          </w:p>
        </w:tc>
        <w:tc>
          <w:tcPr>
            <w:tcW w:w="1011" w:type="dxa"/>
            <w:vAlign w:val="bottom"/>
          </w:tcPr>
          <w:p w:rsidR="00D11B62" w:rsidRPr="00584315" w:rsidRDefault="00D11B62" w:rsidP="00D11B62">
            <w:pPr>
              <w:tabs>
                <w:tab w:val="decimal" w:pos="735"/>
              </w:tabs>
              <w:jc w:val="left"/>
              <w:rPr>
                <w:sz w:val="14"/>
              </w:rPr>
            </w:pPr>
            <w:r w:rsidRPr="00584315">
              <w:rPr>
                <w:sz w:val="14"/>
              </w:rPr>
              <w:t>8,568</w:t>
            </w:r>
          </w:p>
        </w:tc>
        <w:tc>
          <w:tcPr>
            <w:tcW w:w="1024" w:type="dxa"/>
            <w:vAlign w:val="bottom"/>
          </w:tcPr>
          <w:p w:rsidR="00D11B62" w:rsidRPr="00584315" w:rsidRDefault="00D11B62" w:rsidP="00D11B62">
            <w:pPr>
              <w:tabs>
                <w:tab w:val="decimal" w:pos="761"/>
              </w:tabs>
              <w:jc w:val="left"/>
              <w:rPr>
                <w:sz w:val="14"/>
              </w:rPr>
            </w:pPr>
            <w:r w:rsidRPr="00584315">
              <w:rPr>
                <w:sz w:val="14"/>
              </w:rPr>
              <w:t>8,685</w:t>
            </w:r>
          </w:p>
        </w:tc>
        <w:tc>
          <w:tcPr>
            <w:tcW w:w="975" w:type="dxa"/>
            <w:vAlign w:val="bottom"/>
          </w:tcPr>
          <w:p w:rsidR="00D11B62" w:rsidRPr="00584315" w:rsidRDefault="00D11B62" w:rsidP="00D11B62">
            <w:pPr>
              <w:tabs>
                <w:tab w:val="decimal" w:pos="748"/>
              </w:tabs>
              <w:jc w:val="left"/>
              <w:rPr>
                <w:sz w:val="14"/>
              </w:rPr>
            </w:pPr>
            <w:r w:rsidRPr="00584315">
              <w:rPr>
                <w:sz w:val="14"/>
              </w:rPr>
              <w:t>8,942</w:t>
            </w:r>
          </w:p>
        </w:tc>
      </w:tr>
      <w:tr w:rsidR="00D11B62" w:rsidRPr="00584315" w:rsidTr="005C6B61">
        <w:trPr>
          <w:jc w:val="center"/>
        </w:trPr>
        <w:tc>
          <w:tcPr>
            <w:tcW w:w="1790" w:type="dxa"/>
            <w:vAlign w:val="bottom"/>
          </w:tcPr>
          <w:p w:rsidR="00D11B62" w:rsidRPr="00584315" w:rsidRDefault="00D11B62" w:rsidP="00D11B62">
            <w:pPr>
              <w:ind w:left="248" w:hanging="90"/>
              <w:jc w:val="left"/>
              <w:rPr>
                <w:sz w:val="14"/>
              </w:rPr>
            </w:pPr>
            <w:r w:rsidRPr="00584315">
              <w:rPr>
                <w:sz w:val="14"/>
              </w:rPr>
              <w:t>Other</w:t>
            </w:r>
          </w:p>
        </w:tc>
        <w:tc>
          <w:tcPr>
            <w:tcW w:w="944" w:type="dxa"/>
            <w:vAlign w:val="bottom"/>
          </w:tcPr>
          <w:p w:rsidR="00D11B62" w:rsidRPr="00584315" w:rsidRDefault="00D11B62" w:rsidP="00D11B62">
            <w:pPr>
              <w:tabs>
                <w:tab w:val="decimal" w:pos="728"/>
              </w:tabs>
              <w:jc w:val="left"/>
              <w:rPr>
                <w:sz w:val="14"/>
                <w:u w:val="single"/>
              </w:rPr>
            </w:pPr>
            <w:r w:rsidRPr="00584315">
              <w:rPr>
                <w:sz w:val="14"/>
                <w:u w:val="single"/>
              </w:rPr>
              <w:t xml:space="preserve">         2,707</w:t>
            </w:r>
          </w:p>
        </w:tc>
        <w:tc>
          <w:tcPr>
            <w:tcW w:w="991" w:type="dxa"/>
            <w:vAlign w:val="bottom"/>
          </w:tcPr>
          <w:p w:rsidR="00D11B62" w:rsidRPr="00584315" w:rsidRDefault="00D11B62" w:rsidP="00D11B62">
            <w:pPr>
              <w:tabs>
                <w:tab w:val="decimal" w:pos="728"/>
              </w:tabs>
              <w:jc w:val="left"/>
              <w:rPr>
                <w:sz w:val="14"/>
                <w:u w:val="single"/>
              </w:rPr>
            </w:pPr>
            <w:r w:rsidRPr="00584315">
              <w:rPr>
                <w:sz w:val="14"/>
                <w:u w:val="single"/>
              </w:rPr>
              <w:t xml:space="preserve">         3,017</w:t>
            </w:r>
          </w:p>
        </w:tc>
        <w:tc>
          <w:tcPr>
            <w:tcW w:w="964" w:type="dxa"/>
            <w:vAlign w:val="bottom"/>
          </w:tcPr>
          <w:p w:rsidR="00D11B62" w:rsidRPr="00584315" w:rsidRDefault="00D11B62" w:rsidP="00D11B62">
            <w:pPr>
              <w:tabs>
                <w:tab w:val="decimal" w:pos="710"/>
              </w:tabs>
              <w:jc w:val="left"/>
              <w:rPr>
                <w:sz w:val="14"/>
                <w:u w:val="single"/>
              </w:rPr>
            </w:pPr>
            <w:r w:rsidRPr="00584315">
              <w:rPr>
                <w:sz w:val="14"/>
                <w:u w:val="single"/>
              </w:rPr>
              <w:t xml:space="preserve">          3,652</w:t>
            </w:r>
          </w:p>
        </w:tc>
        <w:tc>
          <w:tcPr>
            <w:tcW w:w="968" w:type="dxa"/>
            <w:vAlign w:val="bottom"/>
          </w:tcPr>
          <w:p w:rsidR="00D11B62" w:rsidRPr="00584315" w:rsidRDefault="00D11B62" w:rsidP="00D11B62">
            <w:pPr>
              <w:tabs>
                <w:tab w:val="decimal" w:pos="728"/>
              </w:tabs>
              <w:jc w:val="left"/>
              <w:rPr>
                <w:sz w:val="14"/>
                <w:u w:val="single"/>
              </w:rPr>
            </w:pPr>
            <w:r w:rsidRPr="00584315">
              <w:rPr>
                <w:sz w:val="14"/>
                <w:u w:val="single"/>
              </w:rPr>
              <w:t xml:space="preserve">          3,040</w:t>
            </w:r>
          </w:p>
        </w:tc>
        <w:tc>
          <w:tcPr>
            <w:tcW w:w="1019" w:type="dxa"/>
            <w:vAlign w:val="bottom"/>
          </w:tcPr>
          <w:p w:rsidR="00D11B62" w:rsidRPr="00584315" w:rsidRDefault="00D11B62" w:rsidP="00D11B62">
            <w:pPr>
              <w:tabs>
                <w:tab w:val="decimal" w:pos="728"/>
              </w:tabs>
              <w:jc w:val="left"/>
              <w:rPr>
                <w:sz w:val="14"/>
                <w:u w:val="single"/>
              </w:rPr>
            </w:pPr>
            <w:r w:rsidRPr="00584315">
              <w:rPr>
                <w:sz w:val="14"/>
                <w:u w:val="single"/>
              </w:rPr>
              <w:t xml:space="preserve">         3,406</w:t>
            </w:r>
          </w:p>
        </w:tc>
        <w:tc>
          <w:tcPr>
            <w:tcW w:w="967" w:type="dxa"/>
            <w:vAlign w:val="bottom"/>
          </w:tcPr>
          <w:p w:rsidR="00D11B62" w:rsidRPr="00584315" w:rsidRDefault="00D11B62" w:rsidP="00D11B62">
            <w:pPr>
              <w:tabs>
                <w:tab w:val="decimal" w:pos="710"/>
              </w:tabs>
              <w:jc w:val="left"/>
              <w:rPr>
                <w:sz w:val="14"/>
                <w:u w:val="single"/>
              </w:rPr>
            </w:pPr>
            <w:r w:rsidRPr="00584315">
              <w:rPr>
                <w:sz w:val="14"/>
                <w:u w:val="single"/>
              </w:rPr>
              <w:t xml:space="preserve">         3,171</w:t>
            </w:r>
          </w:p>
        </w:tc>
        <w:tc>
          <w:tcPr>
            <w:tcW w:w="972" w:type="dxa"/>
            <w:vAlign w:val="bottom"/>
          </w:tcPr>
          <w:p w:rsidR="00D11B62" w:rsidRPr="00584315" w:rsidRDefault="00D11B62" w:rsidP="00D11B62">
            <w:pPr>
              <w:tabs>
                <w:tab w:val="decimal" w:pos="728"/>
              </w:tabs>
              <w:jc w:val="left"/>
              <w:rPr>
                <w:sz w:val="14"/>
                <w:u w:val="single"/>
              </w:rPr>
            </w:pPr>
            <w:r w:rsidRPr="00584315">
              <w:rPr>
                <w:sz w:val="14"/>
                <w:u w:val="single"/>
              </w:rPr>
              <w:t xml:space="preserve">        3,593</w:t>
            </w:r>
          </w:p>
        </w:tc>
        <w:tc>
          <w:tcPr>
            <w:tcW w:w="1011" w:type="dxa"/>
            <w:vAlign w:val="bottom"/>
          </w:tcPr>
          <w:p w:rsidR="00D11B62" w:rsidRPr="00584315" w:rsidRDefault="00D11B62" w:rsidP="00D11B62">
            <w:pPr>
              <w:tabs>
                <w:tab w:val="decimal" w:pos="735"/>
              </w:tabs>
              <w:jc w:val="left"/>
              <w:rPr>
                <w:sz w:val="14"/>
                <w:u w:val="single"/>
              </w:rPr>
            </w:pPr>
            <w:r w:rsidRPr="00584315">
              <w:rPr>
                <w:sz w:val="14"/>
                <w:u w:val="single"/>
              </w:rPr>
              <w:t xml:space="preserve">         3,911</w:t>
            </w:r>
          </w:p>
        </w:tc>
        <w:tc>
          <w:tcPr>
            <w:tcW w:w="1024" w:type="dxa"/>
            <w:vAlign w:val="bottom"/>
          </w:tcPr>
          <w:p w:rsidR="00D11B62" w:rsidRPr="00584315" w:rsidRDefault="00D11B62" w:rsidP="00D11B62">
            <w:pPr>
              <w:tabs>
                <w:tab w:val="decimal" w:pos="761"/>
              </w:tabs>
              <w:jc w:val="left"/>
              <w:rPr>
                <w:sz w:val="14"/>
                <w:u w:val="single"/>
              </w:rPr>
            </w:pPr>
            <w:r w:rsidRPr="00584315">
              <w:rPr>
                <w:sz w:val="14"/>
                <w:u w:val="single"/>
              </w:rPr>
              <w:t xml:space="preserve">        (4,546)</w:t>
            </w:r>
          </w:p>
        </w:tc>
        <w:tc>
          <w:tcPr>
            <w:tcW w:w="975" w:type="dxa"/>
            <w:vAlign w:val="bottom"/>
          </w:tcPr>
          <w:p w:rsidR="00D11B62" w:rsidRPr="00584315" w:rsidRDefault="00D11B62" w:rsidP="00D11B62">
            <w:pPr>
              <w:tabs>
                <w:tab w:val="decimal" w:pos="748"/>
              </w:tabs>
              <w:jc w:val="left"/>
              <w:rPr>
                <w:sz w:val="14"/>
                <w:u w:val="single"/>
              </w:rPr>
            </w:pPr>
            <w:r w:rsidRPr="00584315">
              <w:rPr>
                <w:sz w:val="14"/>
                <w:u w:val="single"/>
              </w:rPr>
              <w:t xml:space="preserve">         (726)</w:t>
            </w:r>
          </w:p>
        </w:tc>
      </w:tr>
      <w:tr w:rsidR="00D11B62" w:rsidRPr="00584315" w:rsidTr="005C6B61">
        <w:trPr>
          <w:jc w:val="center"/>
        </w:trPr>
        <w:tc>
          <w:tcPr>
            <w:tcW w:w="1790" w:type="dxa"/>
            <w:vAlign w:val="bottom"/>
          </w:tcPr>
          <w:p w:rsidR="00D11B62" w:rsidRPr="00584315" w:rsidRDefault="00D11B62" w:rsidP="00D11B62">
            <w:pPr>
              <w:ind w:left="428"/>
              <w:jc w:val="left"/>
              <w:rPr>
                <w:sz w:val="14"/>
              </w:rPr>
            </w:pPr>
            <w:r w:rsidRPr="00584315">
              <w:rPr>
                <w:sz w:val="14"/>
              </w:rPr>
              <w:t>Total Deductions</w:t>
            </w:r>
          </w:p>
        </w:tc>
        <w:tc>
          <w:tcPr>
            <w:tcW w:w="944" w:type="dxa"/>
            <w:vAlign w:val="bottom"/>
          </w:tcPr>
          <w:p w:rsidR="00D11B62" w:rsidRPr="00584315" w:rsidRDefault="00D11B62" w:rsidP="00D11B62">
            <w:pPr>
              <w:tabs>
                <w:tab w:val="decimal" w:pos="728"/>
              </w:tabs>
              <w:jc w:val="left"/>
              <w:rPr>
                <w:sz w:val="14"/>
              </w:rPr>
            </w:pPr>
            <w:r w:rsidRPr="00584315">
              <w:rPr>
                <w:sz w:val="14"/>
              </w:rPr>
              <w:t>1,714,966</w:t>
            </w:r>
          </w:p>
        </w:tc>
        <w:tc>
          <w:tcPr>
            <w:tcW w:w="991" w:type="dxa"/>
            <w:vAlign w:val="bottom"/>
          </w:tcPr>
          <w:p w:rsidR="00D11B62" w:rsidRPr="00584315" w:rsidRDefault="00D11B62" w:rsidP="00D11B62">
            <w:pPr>
              <w:tabs>
                <w:tab w:val="decimal" w:pos="728"/>
              </w:tabs>
              <w:jc w:val="left"/>
              <w:rPr>
                <w:sz w:val="14"/>
              </w:rPr>
            </w:pPr>
            <w:r w:rsidRPr="00584315">
              <w:rPr>
                <w:sz w:val="14"/>
              </w:rPr>
              <w:t>1,690,800</w:t>
            </w:r>
          </w:p>
        </w:tc>
        <w:tc>
          <w:tcPr>
            <w:tcW w:w="964" w:type="dxa"/>
            <w:vAlign w:val="bottom"/>
          </w:tcPr>
          <w:p w:rsidR="00D11B62" w:rsidRPr="00584315" w:rsidRDefault="00D11B62" w:rsidP="00D11B62">
            <w:pPr>
              <w:tabs>
                <w:tab w:val="decimal" w:pos="710"/>
              </w:tabs>
              <w:jc w:val="left"/>
              <w:rPr>
                <w:sz w:val="14"/>
              </w:rPr>
            </w:pPr>
            <w:r w:rsidRPr="00584315">
              <w:rPr>
                <w:sz w:val="14"/>
              </w:rPr>
              <w:t>1,630,418</w:t>
            </w:r>
          </w:p>
        </w:tc>
        <w:tc>
          <w:tcPr>
            <w:tcW w:w="968" w:type="dxa"/>
            <w:vAlign w:val="bottom"/>
          </w:tcPr>
          <w:p w:rsidR="00D11B62" w:rsidRPr="00584315" w:rsidRDefault="00D11B62" w:rsidP="00D11B62">
            <w:pPr>
              <w:tabs>
                <w:tab w:val="decimal" w:pos="728"/>
              </w:tabs>
              <w:jc w:val="left"/>
              <w:rPr>
                <w:sz w:val="14"/>
              </w:rPr>
            </w:pPr>
            <w:r w:rsidRPr="00584315">
              <w:rPr>
                <w:sz w:val="14"/>
              </w:rPr>
              <w:t>1,560,382</w:t>
            </w:r>
          </w:p>
        </w:tc>
        <w:tc>
          <w:tcPr>
            <w:tcW w:w="1019" w:type="dxa"/>
            <w:vAlign w:val="bottom"/>
          </w:tcPr>
          <w:p w:rsidR="00D11B62" w:rsidRPr="00584315" w:rsidRDefault="00D11B62" w:rsidP="00D11B62">
            <w:pPr>
              <w:tabs>
                <w:tab w:val="decimal" w:pos="728"/>
              </w:tabs>
              <w:jc w:val="left"/>
              <w:rPr>
                <w:sz w:val="14"/>
              </w:rPr>
            </w:pPr>
            <w:r w:rsidRPr="00584315">
              <w:rPr>
                <w:sz w:val="14"/>
              </w:rPr>
              <w:t>1,497,702</w:t>
            </w:r>
          </w:p>
        </w:tc>
        <w:tc>
          <w:tcPr>
            <w:tcW w:w="967" w:type="dxa"/>
            <w:vAlign w:val="bottom"/>
          </w:tcPr>
          <w:p w:rsidR="00D11B62" w:rsidRPr="00584315" w:rsidRDefault="00D11B62" w:rsidP="00D11B62">
            <w:pPr>
              <w:tabs>
                <w:tab w:val="decimal" w:pos="710"/>
              </w:tabs>
              <w:jc w:val="left"/>
              <w:rPr>
                <w:sz w:val="14"/>
              </w:rPr>
            </w:pPr>
            <w:r w:rsidRPr="00584315">
              <w:rPr>
                <w:sz w:val="14"/>
              </w:rPr>
              <w:t>1,428,992</w:t>
            </w:r>
          </w:p>
        </w:tc>
        <w:tc>
          <w:tcPr>
            <w:tcW w:w="972" w:type="dxa"/>
            <w:vAlign w:val="bottom"/>
          </w:tcPr>
          <w:p w:rsidR="00D11B62" w:rsidRPr="00584315" w:rsidRDefault="00D11B62" w:rsidP="00D11B62">
            <w:pPr>
              <w:tabs>
                <w:tab w:val="decimal" w:pos="728"/>
              </w:tabs>
              <w:jc w:val="left"/>
              <w:rPr>
                <w:sz w:val="14"/>
              </w:rPr>
            </w:pPr>
            <w:r w:rsidRPr="00584315">
              <w:rPr>
                <w:sz w:val="14"/>
              </w:rPr>
              <w:t>1,380,117</w:t>
            </w:r>
          </w:p>
        </w:tc>
        <w:tc>
          <w:tcPr>
            <w:tcW w:w="1011" w:type="dxa"/>
            <w:vAlign w:val="bottom"/>
          </w:tcPr>
          <w:p w:rsidR="00D11B62" w:rsidRPr="00584315" w:rsidRDefault="00D11B62" w:rsidP="00D11B62">
            <w:pPr>
              <w:tabs>
                <w:tab w:val="decimal" w:pos="735"/>
              </w:tabs>
              <w:jc w:val="left"/>
              <w:rPr>
                <w:sz w:val="14"/>
              </w:rPr>
            </w:pPr>
            <w:r w:rsidRPr="00584315">
              <w:rPr>
                <w:sz w:val="14"/>
              </w:rPr>
              <w:t>1,315,192</w:t>
            </w:r>
          </w:p>
        </w:tc>
        <w:tc>
          <w:tcPr>
            <w:tcW w:w="1024" w:type="dxa"/>
            <w:vAlign w:val="bottom"/>
          </w:tcPr>
          <w:p w:rsidR="00D11B62" w:rsidRPr="00584315" w:rsidRDefault="00D11B62" w:rsidP="00D11B62">
            <w:pPr>
              <w:tabs>
                <w:tab w:val="decimal" w:pos="761"/>
              </w:tabs>
              <w:jc w:val="left"/>
              <w:rPr>
                <w:sz w:val="14"/>
              </w:rPr>
            </w:pPr>
            <w:r w:rsidRPr="00584315">
              <w:rPr>
                <w:sz w:val="14"/>
              </w:rPr>
              <w:t>1,250,621</w:t>
            </w:r>
          </w:p>
        </w:tc>
        <w:tc>
          <w:tcPr>
            <w:tcW w:w="975" w:type="dxa"/>
            <w:vAlign w:val="bottom"/>
          </w:tcPr>
          <w:p w:rsidR="00D11B62" w:rsidRPr="00584315" w:rsidRDefault="00D11B62" w:rsidP="00D11B62">
            <w:pPr>
              <w:tabs>
                <w:tab w:val="decimal" w:pos="748"/>
              </w:tabs>
              <w:jc w:val="left"/>
              <w:rPr>
                <w:sz w:val="14"/>
              </w:rPr>
            </w:pPr>
            <w:r w:rsidRPr="00584315">
              <w:rPr>
                <w:sz w:val="14"/>
              </w:rPr>
              <w:t>1,201,156</w:t>
            </w:r>
          </w:p>
        </w:tc>
      </w:tr>
      <w:tr w:rsidR="00D11B62" w:rsidRPr="00584315" w:rsidTr="005C6B61">
        <w:trPr>
          <w:jc w:val="center"/>
        </w:trPr>
        <w:tc>
          <w:tcPr>
            <w:tcW w:w="1790" w:type="dxa"/>
            <w:vAlign w:val="bottom"/>
          </w:tcPr>
          <w:p w:rsidR="00D11B62" w:rsidRPr="00584315" w:rsidRDefault="00D11B62" w:rsidP="00D11B62">
            <w:pPr>
              <w:ind w:left="68" w:hanging="68"/>
              <w:jc w:val="left"/>
              <w:rPr>
                <w:sz w:val="14"/>
              </w:rPr>
            </w:pPr>
            <w:r w:rsidRPr="00584315">
              <w:rPr>
                <w:sz w:val="14"/>
              </w:rPr>
              <w:t>Change in fiduciary net position</w:t>
            </w:r>
          </w:p>
        </w:tc>
        <w:tc>
          <w:tcPr>
            <w:tcW w:w="944" w:type="dxa"/>
            <w:vAlign w:val="bottom"/>
          </w:tcPr>
          <w:p w:rsidR="00D11B62" w:rsidRPr="00584315" w:rsidRDefault="00D11B62" w:rsidP="00D11B62">
            <w:pPr>
              <w:tabs>
                <w:tab w:val="decimal" w:pos="728"/>
              </w:tabs>
              <w:jc w:val="left"/>
              <w:rPr>
                <w:sz w:val="14"/>
              </w:rPr>
            </w:pPr>
            <w:r w:rsidRPr="00584315">
              <w:rPr>
                <w:sz w:val="14"/>
              </w:rPr>
              <w:t>2,026,442</w:t>
            </w:r>
          </w:p>
        </w:tc>
        <w:tc>
          <w:tcPr>
            <w:tcW w:w="991" w:type="dxa"/>
            <w:vAlign w:val="bottom"/>
          </w:tcPr>
          <w:p w:rsidR="00D11B62" w:rsidRPr="00584315" w:rsidRDefault="00D11B62" w:rsidP="00D11B62">
            <w:pPr>
              <w:tabs>
                <w:tab w:val="decimal" w:pos="728"/>
              </w:tabs>
              <w:jc w:val="left"/>
              <w:rPr>
                <w:sz w:val="14"/>
              </w:rPr>
            </w:pPr>
            <w:r w:rsidRPr="00584315">
              <w:rPr>
                <w:sz w:val="14"/>
              </w:rPr>
              <w:t>(1,257,281)</w:t>
            </w:r>
          </w:p>
        </w:tc>
        <w:tc>
          <w:tcPr>
            <w:tcW w:w="964" w:type="dxa"/>
            <w:vAlign w:val="bottom"/>
          </w:tcPr>
          <w:p w:rsidR="00D11B62" w:rsidRPr="00584315" w:rsidRDefault="00D11B62" w:rsidP="00D11B62">
            <w:pPr>
              <w:tabs>
                <w:tab w:val="decimal" w:pos="710"/>
              </w:tabs>
              <w:jc w:val="left"/>
              <w:rPr>
                <w:sz w:val="14"/>
              </w:rPr>
            </w:pPr>
            <w:r w:rsidRPr="00584315">
              <w:rPr>
                <w:sz w:val="14"/>
              </w:rPr>
              <w:t>1,597,522</w:t>
            </w:r>
          </w:p>
        </w:tc>
        <w:tc>
          <w:tcPr>
            <w:tcW w:w="968" w:type="dxa"/>
            <w:vAlign w:val="bottom"/>
          </w:tcPr>
          <w:p w:rsidR="00D11B62" w:rsidRPr="00584315" w:rsidRDefault="00D11B62" w:rsidP="00D11B62">
            <w:pPr>
              <w:tabs>
                <w:tab w:val="decimal" w:pos="728"/>
              </w:tabs>
              <w:jc w:val="left"/>
              <w:rPr>
                <w:sz w:val="14"/>
              </w:rPr>
            </w:pPr>
            <w:r w:rsidRPr="00584315">
              <w:rPr>
                <w:sz w:val="14"/>
              </w:rPr>
              <w:t>165,644</w:t>
            </w:r>
          </w:p>
        </w:tc>
        <w:tc>
          <w:tcPr>
            <w:tcW w:w="1019" w:type="dxa"/>
            <w:vAlign w:val="bottom"/>
          </w:tcPr>
          <w:p w:rsidR="00D11B62" w:rsidRPr="00584315" w:rsidRDefault="00D11B62" w:rsidP="00D11B62">
            <w:pPr>
              <w:tabs>
                <w:tab w:val="decimal" w:pos="728"/>
              </w:tabs>
              <w:jc w:val="left"/>
              <w:rPr>
                <w:sz w:val="14"/>
              </w:rPr>
            </w:pPr>
            <w:r w:rsidRPr="00584315">
              <w:rPr>
                <w:sz w:val="14"/>
              </w:rPr>
              <w:t>(553,411)</w:t>
            </w:r>
          </w:p>
        </w:tc>
        <w:tc>
          <w:tcPr>
            <w:tcW w:w="967" w:type="dxa"/>
            <w:vAlign w:val="bottom"/>
          </w:tcPr>
          <w:p w:rsidR="00D11B62" w:rsidRPr="00584315" w:rsidRDefault="00D11B62" w:rsidP="00D11B62">
            <w:pPr>
              <w:tabs>
                <w:tab w:val="decimal" w:pos="710"/>
              </w:tabs>
              <w:jc w:val="left"/>
              <w:rPr>
                <w:sz w:val="14"/>
              </w:rPr>
            </w:pPr>
            <w:r w:rsidRPr="00584315">
              <w:rPr>
                <w:sz w:val="14"/>
              </w:rPr>
              <w:t>33,487</w:t>
            </w:r>
          </w:p>
        </w:tc>
        <w:tc>
          <w:tcPr>
            <w:tcW w:w="972" w:type="dxa"/>
            <w:vAlign w:val="bottom"/>
          </w:tcPr>
          <w:p w:rsidR="00D11B62" w:rsidRPr="00584315" w:rsidRDefault="00D11B62" w:rsidP="00D11B62">
            <w:pPr>
              <w:tabs>
                <w:tab w:val="decimal" w:pos="728"/>
              </w:tabs>
              <w:jc w:val="left"/>
              <w:rPr>
                <w:sz w:val="14"/>
              </w:rPr>
            </w:pPr>
            <w:r w:rsidRPr="00584315">
              <w:rPr>
                <w:sz w:val="14"/>
              </w:rPr>
              <w:t>1,183,108</w:t>
            </w:r>
          </w:p>
        </w:tc>
        <w:tc>
          <w:tcPr>
            <w:tcW w:w="1011" w:type="dxa"/>
            <w:vAlign w:val="bottom"/>
          </w:tcPr>
          <w:p w:rsidR="00D11B62" w:rsidRPr="00584315" w:rsidRDefault="00D11B62" w:rsidP="00D11B62">
            <w:pPr>
              <w:tabs>
                <w:tab w:val="decimal" w:pos="735"/>
              </w:tabs>
              <w:jc w:val="left"/>
              <w:rPr>
                <w:sz w:val="14"/>
              </w:rPr>
            </w:pPr>
            <w:r w:rsidRPr="00584315">
              <w:rPr>
                <w:sz w:val="14"/>
              </w:rPr>
              <w:t>774,691</w:t>
            </w:r>
          </w:p>
        </w:tc>
        <w:tc>
          <w:tcPr>
            <w:tcW w:w="1024" w:type="dxa"/>
            <w:vAlign w:val="bottom"/>
          </w:tcPr>
          <w:p w:rsidR="00D11B62" w:rsidRPr="00584315" w:rsidRDefault="00D11B62" w:rsidP="00D11B62">
            <w:pPr>
              <w:tabs>
                <w:tab w:val="decimal" w:pos="761"/>
              </w:tabs>
              <w:jc w:val="left"/>
              <w:rPr>
                <w:sz w:val="14"/>
              </w:rPr>
            </w:pPr>
            <w:r w:rsidRPr="00584315">
              <w:rPr>
                <w:sz w:val="14"/>
              </w:rPr>
              <w:t>(464,444)</w:t>
            </w:r>
          </w:p>
        </w:tc>
        <w:tc>
          <w:tcPr>
            <w:tcW w:w="975" w:type="dxa"/>
            <w:vAlign w:val="bottom"/>
          </w:tcPr>
          <w:p w:rsidR="00D11B62" w:rsidRPr="00584315" w:rsidRDefault="00D11B62" w:rsidP="00D11B62">
            <w:pPr>
              <w:tabs>
                <w:tab w:val="decimal" w:pos="748"/>
              </w:tabs>
              <w:jc w:val="left"/>
              <w:rPr>
                <w:sz w:val="14"/>
              </w:rPr>
            </w:pPr>
            <w:r w:rsidRPr="00584315">
              <w:rPr>
                <w:sz w:val="14"/>
              </w:rPr>
              <w:t>875,347</w:t>
            </w:r>
          </w:p>
        </w:tc>
      </w:tr>
      <w:tr w:rsidR="00D11B62" w:rsidRPr="00584315" w:rsidTr="005C6B61">
        <w:trPr>
          <w:jc w:val="center"/>
        </w:trPr>
        <w:tc>
          <w:tcPr>
            <w:tcW w:w="1790" w:type="dxa"/>
            <w:vAlign w:val="bottom"/>
          </w:tcPr>
          <w:p w:rsidR="00D11B62" w:rsidRPr="00584315" w:rsidRDefault="00D11B62" w:rsidP="00D11B62">
            <w:pPr>
              <w:ind w:left="68" w:hanging="68"/>
              <w:jc w:val="left"/>
              <w:rPr>
                <w:sz w:val="14"/>
              </w:rPr>
            </w:pPr>
            <w:r w:rsidRPr="00584315">
              <w:rPr>
                <w:sz w:val="14"/>
              </w:rPr>
              <w:t>Fiduciary net position held at beginning of year</w:t>
            </w:r>
          </w:p>
        </w:tc>
        <w:tc>
          <w:tcPr>
            <w:tcW w:w="944" w:type="dxa"/>
            <w:vAlign w:val="bottom"/>
          </w:tcPr>
          <w:p w:rsidR="00D11B62" w:rsidRPr="00584315" w:rsidRDefault="00D11B62" w:rsidP="00D11B62">
            <w:pPr>
              <w:tabs>
                <w:tab w:val="decimal" w:pos="728"/>
              </w:tabs>
              <w:jc w:val="left"/>
              <w:rPr>
                <w:sz w:val="14"/>
              </w:rPr>
            </w:pPr>
            <w:r w:rsidRPr="00584315">
              <w:rPr>
                <w:sz w:val="14"/>
              </w:rPr>
              <w:t>13,966,421</w:t>
            </w:r>
          </w:p>
        </w:tc>
        <w:tc>
          <w:tcPr>
            <w:tcW w:w="991" w:type="dxa"/>
            <w:vAlign w:val="bottom"/>
          </w:tcPr>
          <w:p w:rsidR="00D11B62" w:rsidRPr="00584315" w:rsidRDefault="00D11B62" w:rsidP="00D11B62">
            <w:pPr>
              <w:tabs>
                <w:tab w:val="decimal" w:pos="728"/>
              </w:tabs>
              <w:jc w:val="left"/>
              <w:rPr>
                <w:sz w:val="14"/>
              </w:rPr>
            </w:pPr>
            <w:r w:rsidRPr="00584315">
              <w:rPr>
                <w:sz w:val="14"/>
              </w:rPr>
              <w:t>15,223,702</w:t>
            </w:r>
          </w:p>
        </w:tc>
        <w:tc>
          <w:tcPr>
            <w:tcW w:w="964" w:type="dxa"/>
            <w:vAlign w:val="bottom"/>
          </w:tcPr>
          <w:p w:rsidR="00D11B62" w:rsidRPr="00584315" w:rsidRDefault="00D11B62" w:rsidP="00D11B62">
            <w:pPr>
              <w:tabs>
                <w:tab w:val="decimal" w:pos="710"/>
              </w:tabs>
              <w:jc w:val="left"/>
              <w:rPr>
                <w:sz w:val="14"/>
              </w:rPr>
            </w:pPr>
            <w:r w:rsidRPr="00584315">
              <w:rPr>
                <w:sz w:val="14"/>
              </w:rPr>
              <w:t>13,626,180</w:t>
            </w:r>
          </w:p>
        </w:tc>
        <w:tc>
          <w:tcPr>
            <w:tcW w:w="968" w:type="dxa"/>
            <w:vAlign w:val="bottom"/>
          </w:tcPr>
          <w:p w:rsidR="00D11B62" w:rsidRPr="00584315" w:rsidRDefault="00D11B62" w:rsidP="00D11B62">
            <w:pPr>
              <w:tabs>
                <w:tab w:val="decimal" w:pos="728"/>
              </w:tabs>
              <w:jc w:val="left"/>
              <w:rPr>
                <w:sz w:val="14"/>
              </w:rPr>
            </w:pPr>
            <w:r w:rsidRPr="00584315">
              <w:rPr>
                <w:sz w:val="14"/>
              </w:rPr>
              <w:t>13,460,536</w:t>
            </w:r>
          </w:p>
        </w:tc>
        <w:tc>
          <w:tcPr>
            <w:tcW w:w="1019" w:type="dxa"/>
            <w:vAlign w:val="bottom"/>
          </w:tcPr>
          <w:p w:rsidR="00D11B62" w:rsidRPr="00584315" w:rsidRDefault="00D11B62" w:rsidP="00D11B62">
            <w:pPr>
              <w:tabs>
                <w:tab w:val="decimal" w:pos="728"/>
              </w:tabs>
              <w:jc w:val="left"/>
              <w:rPr>
                <w:sz w:val="14"/>
              </w:rPr>
            </w:pPr>
            <w:r w:rsidRPr="00584315">
              <w:rPr>
                <w:sz w:val="14"/>
              </w:rPr>
              <w:t>14,013,947</w:t>
            </w:r>
          </w:p>
        </w:tc>
        <w:tc>
          <w:tcPr>
            <w:tcW w:w="967" w:type="dxa"/>
            <w:vAlign w:val="bottom"/>
          </w:tcPr>
          <w:p w:rsidR="00D11B62" w:rsidRPr="00584315" w:rsidRDefault="00D11B62" w:rsidP="00D11B62">
            <w:pPr>
              <w:tabs>
                <w:tab w:val="decimal" w:pos="710"/>
              </w:tabs>
              <w:jc w:val="left"/>
              <w:rPr>
                <w:sz w:val="14"/>
              </w:rPr>
            </w:pPr>
            <w:r w:rsidRPr="00584315">
              <w:rPr>
                <w:sz w:val="14"/>
              </w:rPr>
              <w:t>13,980,460</w:t>
            </w:r>
          </w:p>
        </w:tc>
        <w:tc>
          <w:tcPr>
            <w:tcW w:w="972" w:type="dxa"/>
            <w:vAlign w:val="bottom"/>
          </w:tcPr>
          <w:p w:rsidR="00D11B62" w:rsidRPr="00584315" w:rsidRDefault="00D11B62" w:rsidP="00D11B62">
            <w:pPr>
              <w:tabs>
                <w:tab w:val="decimal" w:pos="728"/>
              </w:tabs>
              <w:jc w:val="left"/>
              <w:rPr>
                <w:sz w:val="14"/>
              </w:rPr>
            </w:pPr>
            <w:r w:rsidRPr="00584315">
              <w:rPr>
                <w:sz w:val="14"/>
              </w:rPr>
              <w:t>12,797,352</w:t>
            </w:r>
          </w:p>
        </w:tc>
        <w:tc>
          <w:tcPr>
            <w:tcW w:w="1011" w:type="dxa"/>
            <w:vAlign w:val="bottom"/>
          </w:tcPr>
          <w:p w:rsidR="00D11B62" w:rsidRPr="00584315" w:rsidRDefault="00D11B62" w:rsidP="00D11B62">
            <w:pPr>
              <w:tabs>
                <w:tab w:val="decimal" w:pos="735"/>
              </w:tabs>
              <w:jc w:val="left"/>
              <w:rPr>
                <w:sz w:val="14"/>
              </w:rPr>
            </w:pPr>
            <w:r w:rsidRPr="00584315">
              <w:rPr>
                <w:sz w:val="14"/>
              </w:rPr>
              <w:t>12,022,661</w:t>
            </w:r>
          </w:p>
        </w:tc>
        <w:tc>
          <w:tcPr>
            <w:tcW w:w="1024" w:type="dxa"/>
            <w:vAlign w:val="bottom"/>
          </w:tcPr>
          <w:p w:rsidR="00D11B62" w:rsidRPr="00584315" w:rsidRDefault="00D11B62" w:rsidP="00D11B62">
            <w:pPr>
              <w:tabs>
                <w:tab w:val="decimal" w:pos="761"/>
              </w:tabs>
              <w:jc w:val="left"/>
              <w:rPr>
                <w:sz w:val="14"/>
              </w:rPr>
            </w:pPr>
            <w:r w:rsidRPr="00584315">
              <w:rPr>
                <w:sz w:val="14"/>
              </w:rPr>
              <w:t>12,487,105</w:t>
            </w:r>
          </w:p>
        </w:tc>
        <w:tc>
          <w:tcPr>
            <w:tcW w:w="975" w:type="dxa"/>
            <w:vAlign w:val="bottom"/>
          </w:tcPr>
          <w:p w:rsidR="00D11B62" w:rsidRPr="00584315" w:rsidRDefault="00D11B62" w:rsidP="00D11B62">
            <w:pPr>
              <w:tabs>
                <w:tab w:val="decimal" w:pos="748"/>
              </w:tabs>
              <w:jc w:val="left"/>
              <w:rPr>
                <w:sz w:val="14"/>
              </w:rPr>
            </w:pPr>
            <w:r w:rsidRPr="00584315">
              <w:rPr>
                <w:sz w:val="14"/>
              </w:rPr>
              <w:t>11,611,758</w:t>
            </w:r>
          </w:p>
        </w:tc>
      </w:tr>
      <w:tr w:rsidR="00D11B62" w:rsidRPr="00584315" w:rsidTr="005C6B61">
        <w:trPr>
          <w:jc w:val="center"/>
        </w:trPr>
        <w:tc>
          <w:tcPr>
            <w:tcW w:w="1790" w:type="dxa"/>
            <w:vAlign w:val="bottom"/>
          </w:tcPr>
          <w:p w:rsidR="00D11B62" w:rsidRPr="00584315" w:rsidRDefault="00D11B62" w:rsidP="00D11B62">
            <w:pPr>
              <w:ind w:left="68" w:hanging="68"/>
              <w:jc w:val="left"/>
              <w:rPr>
                <w:sz w:val="14"/>
              </w:rPr>
            </w:pPr>
            <w:r w:rsidRPr="00584315">
              <w:rPr>
                <w:sz w:val="14"/>
              </w:rPr>
              <w:t>Fiduciary net position held at end of year</w:t>
            </w:r>
          </w:p>
        </w:tc>
        <w:tc>
          <w:tcPr>
            <w:tcW w:w="944" w:type="dxa"/>
            <w:vAlign w:val="bottom"/>
          </w:tcPr>
          <w:p w:rsidR="00D11B62" w:rsidRPr="00584315" w:rsidRDefault="00D11B62" w:rsidP="00D11B62">
            <w:pPr>
              <w:tabs>
                <w:tab w:val="decimal" w:pos="728"/>
              </w:tabs>
              <w:jc w:val="left"/>
              <w:rPr>
                <w:sz w:val="14"/>
              </w:rPr>
            </w:pPr>
            <w:r w:rsidRPr="00584315">
              <w:rPr>
                <w:sz w:val="14"/>
              </w:rPr>
              <w:t>15,992,863</w:t>
            </w:r>
          </w:p>
        </w:tc>
        <w:tc>
          <w:tcPr>
            <w:tcW w:w="991" w:type="dxa"/>
            <w:vAlign w:val="bottom"/>
          </w:tcPr>
          <w:p w:rsidR="00D11B62" w:rsidRPr="00584315" w:rsidRDefault="00D11B62" w:rsidP="00D11B62">
            <w:pPr>
              <w:tabs>
                <w:tab w:val="decimal" w:pos="728"/>
              </w:tabs>
              <w:jc w:val="left"/>
              <w:rPr>
                <w:sz w:val="14"/>
              </w:rPr>
            </w:pPr>
            <w:r w:rsidRPr="00584315">
              <w:rPr>
                <w:sz w:val="14"/>
              </w:rPr>
              <w:t>$13,966,421</w:t>
            </w:r>
          </w:p>
        </w:tc>
        <w:tc>
          <w:tcPr>
            <w:tcW w:w="964" w:type="dxa"/>
            <w:vAlign w:val="bottom"/>
          </w:tcPr>
          <w:p w:rsidR="00D11B62" w:rsidRPr="00584315" w:rsidRDefault="00D11B62" w:rsidP="00D11B62">
            <w:pPr>
              <w:tabs>
                <w:tab w:val="decimal" w:pos="710"/>
              </w:tabs>
              <w:jc w:val="left"/>
              <w:rPr>
                <w:sz w:val="14"/>
              </w:rPr>
            </w:pPr>
            <w:r w:rsidRPr="00584315">
              <w:rPr>
                <w:sz w:val="14"/>
              </w:rPr>
              <w:t>$15,223,702</w:t>
            </w:r>
          </w:p>
        </w:tc>
        <w:tc>
          <w:tcPr>
            <w:tcW w:w="968" w:type="dxa"/>
            <w:vAlign w:val="bottom"/>
          </w:tcPr>
          <w:p w:rsidR="00D11B62" w:rsidRPr="00584315" w:rsidRDefault="00D11B62" w:rsidP="00D11B62">
            <w:pPr>
              <w:tabs>
                <w:tab w:val="decimal" w:pos="728"/>
              </w:tabs>
              <w:jc w:val="left"/>
              <w:rPr>
                <w:sz w:val="14"/>
              </w:rPr>
            </w:pPr>
            <w:r w:rsidRPr="00584315">
              <w:rPr>
                <w:sz w:val="14"/>
              </w:rPr>
              <w:t>$13,626,180</w:t>
            </w:r>
          </w:p>
        </w:tc>
        <w:tc>
          <w:tcPr>
            <w:tcW w:w="1019" w:type="dxa"/>
            <w:vAlign w:val="bottom"/>
          </w:tcPr>
          <w:p w:rsidR="00D11B62" w:rsidRPr="00584315" w:rsidRDefault="00D11B62" w:rsidP="00D11B62">
            <w:pPr>
              <w:tabs>
                <w:tab w:val="decimal" w:pos="728"/>
              </w:tabs>
              <w:jc w:val="left"/>
              <w:rPr>
                <w:sz w:val="14"/>
              </w:rPr>
            </w:pPr>
            <w:r w:rsidRPr="00584315">
              <w:rPr>
                <w:sz w:val="14"/>
              </w:rPr>
              <w:t>$13,460,536</w:t>
            </w:r>
          </w:p>
        </w:tc>
        <w:tc>
          <w:tcPr>
            <w:tcW w:w="967" w:type="dxa"/>
            <w:vAlign w:val="bottom"/>
          </w:tcPr>
          <w:p w:rsidR="00D11B62" w:rsidRPr="00584315" w:rsidRDefault="00D11B62" w:rsidP="00D11B62">
            <w:pPr>
              <w:tabs>
                <w:tab w:val="decimal" w:pos="710"/>
              </w:tabs>
              <w:jc w:val="left"/>
              <w:rPr>
                <w:sz w:val="14"/>
              </w:rPr>
            </w:pPr>
            <w:r w:rsidRPr="00584315">
              <w:rPr>
                <w:sz w:val="14"/>
              </w:rPr>
              <w:t>$14,013,947</w:t>
            </w:r>
          </w:p>
        </w:tc>
        <w:tc>
          <w:tcPr>
            <w:tcW w:w="972" w:type="dxa"/>
            <w:vAlign w:val="bottom"/>
          </w:tcPr>
          <w:p w:rsidR="00D11B62" w:rsidRPr="00584315" w:rsidRDefault="00D11B62" w:rsidP="00D11B62">
            <w:pPr>
              <w:tabs>
                <w:tab w:val="decimal" w:pos="728"/>
              </w:tabs>
              <w:jc w:val="left"/>
              <w:rPr>
                <w:sz w:val="14"/>
              </w:rPr>
            </w:pPr>
            <w:r w:rsidRPr="00584315">
              <w:rPr>
                <w:sz w:val="14"/>
              </w:rPr>
              <w:t>$13,980,460</w:t>
            </w:r>
          </w:p>
        </w:tc>
        <w:tc>
          <w:tcPr>
            <w:tcW w:w="1011" w:type="dxa"/>
            <w:vAlign w:val="bottom"/>
          </w:tcPr>
          <w:p w:rsidR="00D11B62" w:rsidRPr="00584315" w:rsidRDefault="00D11B62" w:rsidP="00D11B62">
            <w:pPr>
              <w:tabs>
                <w:tab w:val="decimal" w:pos="735"/>
              </w:tabs>
              <w:jc w:val="left"/>
              <w:rPr>
                <w:sz w:val="14"/>
              </w:rPr>
            </w:pPr>
            <w:r w:rsidRPr="00584315">
              <w:rPr>
                <w:sz w:val="14"/>
              </w:rPr>
              <w:t>$12,797,352</w:t>
            </w:r>
          </w:p>
        </w:tc>
        <w:tc>
          <w:tcPr>
            <w:tcW w:w="1024" w:type="dxa"/>
            <w:vAlign w:val="bottom"/>
          </w:tcPr>
          <w:p w:rsidR="00D11B62" w:rsidRPr="00584315" w:rsidRDefault="00D11B62" w:rsidP="00D11B62">
            <w:pPr>
              <w:tabs>
                <w:tab w:val="decimal" w:pos="761"/>
              </w:tabs>
              <w:jc w:val="left"/>
              <w:rPr>
                <w:sz w:val="14"/>
              </w:rPr>
            </w:pPr>
            <w:r w:rsidRPr="00584315">
              <w:rPr>
                <w:sz w:val="14"/>
              </w:rPr>
              <w:t>$12,022,661</w:t>
            </w:r>
          </w:p>
        </w:tc>
        <w:tc>
          <w:tcPr>
            <w:tcW w:w="975" w:type="dxa"/>
            <w:vAlign w:val="bottom"/>
          </w:tcPr>
          <w:p w:rsidR="00D11B62" w:rsidRPr="00584315" w:rsidRDefault="00D11B62" w:rsidP="00D11B62">
            <w:pPr>
              <w:tabs>
                <w:tab w:val="decimal" w:pos="748"/>
              </w:tabs>
              <w:jc w:val="left"/>
              <w:rPr>
                <w:sz w:val="14"/>
              </w:rPr>
            </w:pPr>
            <w:r w:rsidRPr="00584315">
              <w:rPr>
                <w:sz w:val="14"/>
              </w:rPr>
              <w:t>$12,487,105</w:t>
            </w:r>
          </w:p>
        </w:tc>
      </w:tr>
      <w:tr w:rsidR="00D11B62" w:rsidRPr="00584315" w:rsidTr="00D11B62">
        <w:trPr>
          <w:jc w:val="center"/>
        </w:trPr>
        <w:tc>
          <w:tcPr>
            <w:tcW w:w="11625" w:type="dxa"/>
            <w:gridSpan w:val="11"/>
            <w:vAlign w:val="bottom"/>
          </w:tcPr>
          <w:p w:rsidR="00D11B62" w:rsidRPr="00584315" w:rsidRDefault="00D11B62" w:rsidP="00D11B62">
            <w:pPr>
              <w:rPr>
                <w:sz w:val="14"/>
              </w:rPr>
            </w:pPr>
            <w:r w:rsidRPr="00584315">
              <w:rPr>
                <w:sz w:val="14"/>
              </w:rPr>
              <w:t>____________________</w:t>
            </w:r>
          </w:p>
          <w:p w:rsidR="00D11B62" w:rsidRPr="00584315" w:rsidRDefault="00D11B62" w:rsidP="00D11B62">
            <w:pPr>
              <w:rPr>
                <w:sz w:val="14"/>
              </w:rPr>
            </w:pPr>
            <w:r w:rsidRPr="00584315">
              <w:rPr>
                <w:sz w:val="14"/>
              </w:rPr>
              <w:t>Source: PERA 2019 CAFR</w:t>
            </w:r>
          </w:p>
        </w:tc>
      </w:tr>
    </w:tbl>
    <w:p w:rsidR="00D11B62" w:rsidRDefault="00D11B62" w:rsidP="00347EFC"/>
    <w:p w:rsidR="00D11B62" w:rsidRDefault="00D11B62" w:rsidP="00D11B62">
      <w:pPr>
        <w:pStyle w:val="OSappendixsubheading0"/>
      </w:pPr>
      <w:r>
        <w:t>Net Pension Liability of the State Division Plan</w:t>
      </w:r>
    </w:p>
    <w:p w:rsidR="00D11B62" w:rsidRDefault="00D11B62" w:rsidP="00D11B62">
      <w:pPr>
        <w:pStyle w:val="BodyText1"/>
      </w:pPr>
      <w:r>
        <w:t>As noted above, GASB 67 requires a different approach for determining net pension liability as compared to the previously disclosed UAAL, and also requires disclosing the plan’s net pension liability and ratio of fiduciary net position to total pension liability.  The schedule of net pension liability presents multi-year trend information about whether the fiduciary net position is increasing or decreasing over time relative to total pension liability.</w:t>
      </w:r>
    </w:p>
    <w:p w:rsidR="005C6B61" w:rsidRDefault="005C6B61">
      <w:pPr>
        <w:spacing w:after="160" w:line="259" w:lineRule="auto"/>
        <w:jc w:val="left"/>
        <w:rPr>
          <w:rFonts w:eastAsia="Times New Roman" w:cs="Times New Roman"/>
          <w:szCs w:val="24"/>
        </w:rPr>
      </w:pPr>
      <w:r>
        <w:br w:type="page"/>
      </w:r>
    </w:p>
    <w:p w:rsidR="00D11B62" w:rsidRDefault="00D11B62" w:rsidP="00D11B62">
      <w:pPr>
        <w:pStyle w:val="BodyText1"/>
      </w:pPr>
      <w:r>
        <w:t>The following table sets forth for the years 2013-2019 (the only years for which information is available) the net pension liability and related information regarding the State Division Plan.  The required supplemental information in the PERA 2019 CAFR includes a schedule showing the sources of the changes in net pension liability for 2014-2019 (information for 2013 is not available).  See also “ – Implementation of Changes in Pension Accounting Standards Applicable to the State – GASB 68” hereafter.</w:t>
      </w:r>
    </w:p>
    <w:tbl>
      <w:tblPr>
        <w:tblStyle w:val="TableGrid30"/>
        <w:tblW w:w="112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1291"/>
        <w:gridCol w:w="1291"/>
        <w:gridCol w:w="1291"/>
        <w:gridCol w:w="1269"/>
        <w:gridCol w:w="1269"/>
        <w:gridCol w:w="1269"/>
        <w:gridCol w:w="1269"/>
      </w:tblGrid>
      <w:tr w:rsidR="00D11B62" w:rsidRPr="00584315" w:rsidTr="00D11B62">
        <w:trPr>
          <w:jc w:val="center"/>
        </w:trPr>
        <w:tc>
          <w:tcPr>
            <w:tcW w:w="11218" w:type="dxa"/>
            <w:gridSpan w:val="8"/>
            <w:vAlign w:val="bottom"/>
          </w:tcPr>
          <w:p w:rsidR="00D11B62" w:rsidRPr="00584315" w:rsidRDefault="00D11B62" w:rsidP="00D11B62">
            <w:pPr>
              <w:keepNext/>
              <w:keepLines/>
              <w:widowControl w:val="0"/>
              <w:spacing w:after="120"/>
              <w:jc w:val="center"/>
              <w:rPr>
                <w:sz w:val="18"/>
                <w:szCs w:val="18"/>
              </w:rPr>
            </w:pPr>
            <w:r w:rsidRPr="00584315">
              <w:rPr>
                <w:sz w:val="18"/>
                <w:szCs w:val="18"/>
              </w:rPr>
              <w:t>Table 5</w:t>
            </w:r>
            <w:r w:rsidRPr="00584315">
              <w:rPr>
                <w:sz w:val="18"/>
                <w:szCs w:val="18"/>
              </w:rPr>
              <w:br/>
              <w:t>Net Pension Liability</w:t>
            </w:r>
            <w:r w:rsidRPr="00584315">
              <w:rPr>
                <w:sz w:val="18"/>
                <w:szCs w:val="18"/>
              </w:rPr>
              <w:br/>
              <w:t>State Division</w:t>
            </w:r>
            <w:r w:rsidRPr="00584315">
              <w:rPr>
                <w:sz w:val="18"/>
                <w:szCs w:val="18"/>
                <w:vertAlign w:val="superscript"/>
              </w:rPr>
              <w:t>1,2</w:t>
            </w:r>
            <w:r w:rsidRPr="00584315">
              <w:rPr>
                <w:sz w:val="18"/>
                <w:szCs w:val="18"/>
              </w:rPr>
              <w:br/>
              <w:t>(Dollar Amounts in Thousands)</w:t>
            </w:r>
          </w:p>
        </w:tc>
      </w:tr>
      <w:tr w:rsidR="00D11B62" w:rsidRPr="00584315" w:rsidTr="00D11B62">
        <w:trPr>
          <w:jc w:val="center"/>
        </w:trPr>
        <w:tc>
          <w:tcPr>
            <w:tcW w:w="2269" w:type="dxa"/>
            <w:vAlign w:val="bottom"/>
          </w:tcPr>
          <w:p w:rsidR="00D11B62" w:rsidRPr="00584315" w:rsidRDefault="00D11B62" w:rsidP="00D11B62">
            <w:pPr>
              <w:keepNext/>
              <w:keepLines/>
              <w:widowControl w:val="0"/>
              <w:spacing w:after="120"/>
              <w:jc w:val="center"/>
              <w:rPr>
                <w:sz w:val="18"/>
                <w:szCs w:val="18"/>
              </w:rPr>
            </w:pPr>
          </w:p>
        </w:tc>
        <w:tc>
          <w:tcPr>
            <w:tcW w:w="8949" w:type="dxa"/>
            <w:gridSpan w:val="7"/>
            <w:vAlign w:val="bottom"/>
          </w:tcPr>
          <w:p w:rsidR="00D11B62" w:rsidRPr="00584315" w:rsidRDefault="00D11B62" w:rsidP="00D11B62">
            <w:pPr>
              <w:keepNext/>
              <w:keepLines/>
              <w:widowControl w:val="0"/>
              <w:pBdr>
                <w:bottom w:val="single" w:sz="4" w:space="1" w:color="auto"/>
              </w:pBdr>
              <w:spacing w:after="120"/>
              <w:jc w:val="center"/>
              <w:rPr>
                <w:sz w:val="18"/>
                <w:szCs w:val="18"/>
              </w:rPr>
            </w:pPr>
            <w:r w:rsidRPr="00584315">
              <w:rPr>
                <w:sz w:val="18"/>
                <w:szCs w:val="18"/>
              </w:rPr>
              <w:t>For the Year Ended December 31,</w:t>
            </w:r>
          </w:p>
        </w:tc>
      </w:tr>
      <w:tr w:rsidR="00D11B62" w:rsidRPr="00584315" w:rsidTr="00D11B62">
        <w:trPr>
          <w:jc w:val="center"/>
        </w:trPr>
        <w:tc>
          <w:tcPr>
            <w:tcW w:w="2269" w:type="dxa"/>
            <w:vAlign w:val="bottom"/>
          </w:tcPr>
          <w:p w:rsidR="00D11B62" w:rsidRPr="00584315" w:rsidRDefault="00D11B62" w:rsidP="00D11B62">
            <w:pPr>
              <w:keepNext/>
              <w:keepLines/>
              <w:widowControl w:val="0"/>
              <w:spacing w:after="120"/>
              <w:jc w:val="center"/>
              <w:rPr>
                <w:sz w:val="18"/>
                <w:szCs w:val="18"/>
              </w:rPr>
            </w:pPr>
          </w:p>
        </w:tc>
        <w:tc>
          <w:tcPr>
            <w:tcW w:w="1291" w:type="dxa"/>
            <w:vAlign w:val="bottom"/>
          </w:tcPr>
          <w:p w:rsidR="00D11B62" w:rsidRPr="00584315" w:rsidRDefault="00D11B62" w:rsidP="00D11B62">
            <w:pPr>
              <w:keepNext/>
              <w:keepLines/>
              <w:widowControl w:val="0"/>
              <w:pBdr>
                <w:bottom w:val="single" w:sz="4" w:space="1" w:color="auto"/>
              </w:pBdr>
              <w:spacing w:after="120"/>
              <w:jc w:val="center"/>
              <w:rPr>
                <w:sz w:val="18"/>
                <w:szCs w:val="18"/>
              </w:rPr>
            </w:pPr>
            <w:r w:rsidRPr="00584315">
              <w:rPr>
                <w:sz w:val="18"/>
                <w:szCs w:val="18"/>
              </w:rPr>
              <w:t>2019</w:t>
            </w:r>
          </w:p>
        </w:tc>
        <w:tc>
          <w:tcPr>
            <w:tcW w:w="1291" w:type="dxa"/>
            <w:vAlign w:val="bottom"/>
          </w:tcPr>
          <w:p w:rsidR="00D11B62" w:rsidRPr="00584315" w:rsidRDefault="00D11B62" w:rsidP="00D11B62">
            <w:pPr>
              <w:keepNext/>
              <w:keepLines/>
              <w:widowControl w:val="0"/>
              <w:pBdr>
                <w:bottom w:val="single" w:sz="4" w:space="1" w:color="auto"/>
              </w:pBdr>
              <w:spacing w:after="120"/>
              <w:jc w:val="center"/>
              <w:rPr>
                <w:sz w:val="18"/>
                <w:szCs w:val="18"/>
              </w:rPr>
            </w:pPr>
            <w:r w:rsidRPr="00584315">
              <w:rPr>
                <w:sz w:val="18"/>
                <w:szCs w:val="18"/>
              </w:rPr>
              <w:t>2018</w:t>
            </w:r>
          </w:p>
        </w:tc>
        <w:tc>
          <w:tcPr>
            <w:tcW w:w="1291" w:type="dxa"/>
            <w:vAlign w:val="bottom"/>
          </w:tcPr>
          <w:p w:rsidR="00D11B62" w:rsidRPr="00584315" w:rsidRDefault="00D11B62" w:rsidP="00D11B62">
            <w:pPr>
              <w:keepNext/>
              <w:keepLines/>
              <w:widowControl w:val="0"/>
              <w:pBdr>
                <w:bottom w:val="single" w:sz="4" w:space="1" w:color="auto"/>
              </w:pBdr>
              <w:spacing w:after="120"/>
              <w:jc w:val="center"/>
              <w:rPr>
                <w:sz w:val="18"/>
                <w:szCs w:val="18"/>
              </w:rPr>
            </w:pPr>
            <w:r w:rsidRPr="00584315">
              <w:rPr>
                <w:sz w:val="18"/>
                <w:szCs w:val="18"/>
              </w:rPr>
              <w:t>2017</w:t>
            </w:r>
          </w:p>
        </w:tc>
        <w:tc>
          <w:tcPr>
            <w:tcW w:w="1269" w:type="dxa"/>
            <w:vAlign w:val="bottom"/>
          </w:tcPr>
          <w:p w:rsidR="00D11B62" w:rsidRPr="00584315" w:rsidRDefault="00D11B62" w:rsidP="00D11B62">
            <w:pPr>
              <w:keepNext/>
              <w:keepLines/>
              <w:widowControl w:val="0"/>
              <w:pBdr>
                <w:bottom w:val="single" w:sz="4" w:space="1" w:color="auto"/>
              </w:pBdr>
              <w:spacing w:after="120"/>
              <w:jc w:val="center"/>
              <w:rPr>
                <w:sz w:val="18"/>
                <w:szCs w:val="18"/>
              </w:rPr>
            </w:pPr>
            <w:r w:rsidRPr="00584315">
              <w:rPr>
                <w:sz w:val="18"/>
                <w:szCs w:val="18"/>
              </w:rPr>
              <w:t>2016</w:t>
            </w:r>
          </w:p>
        </w:tc>
        <w:tc>
          <w:tcPr>
            <w:tcW w:w="1269" w:type="dxa"/>
            <w:vAlign w:val="bottom"/>
          </w:tcPr>
          <w:p w:rsidR="00D11B62" w:rsidRPr="00584315" w:rsidRDefault="00D11B62" w:rsidP="00D11B62">
            <w:pPr>
              <w:keepNext/>
              <w:keepLines/>
              <w:widowControl w:val="0"/>
              <w:pBdr>
                <w:bottom w:val="single" w:sz="4" w:space="1" w:color="auto"/>
              </w:pBdr>
              <w:spacing w:after="120"/>
              <w:jc w:val="center"/>
              <w:rPr>
                <w:sz w:val="18"/>
                <w:szCs w:val="18"/>
              </w:rPr>
            </w:pPr>
            <w:r w:rsidRPr="00584315">
              <w:rPr>
                <w:sz w:val="18"/>
                <w:szCs w:val="18"/>
              </w:rPr>
              <w:t>2015</w:t>
            </w:r>
          </w:p>
        </w:tc>
        <w:tc>
          <w:tcPr>
            <w:tcW w:w="1269" w:type="dxa"/>
            <w:vAlign w:val="bottom"/>
          </w:tcPr>
          <w:p w:rsidR="00D11B62" w:rsidRPr="00584315" w:rsidRDefault="00D11B62" w:rsidP="00D11B62">
            <w:pPr>
              <w:keepNext/>
              <w:keepLines/>
              <w:widowControl w:val="0"/>
              <w:pBdr>
                <w:bottom w:val="single" w:sz="4" w:space="1" w:color="auto"/>
              </w:pBdr>
              <w:spacing w:after="120"/>
              <w:jc w:val="center"/>
              <w:rPr>
                <w:sz w:val="18"/>
                <w:szCs w:val="18"/>
              </w:rPr>
            </w:pPr>
            <w:r w:rsidRPr="00584315">
              <w:rPr>
                <w:sz w:val="18"/>
                <w:szCs w:val="18"/>
              </w:rPr>
              <w:t>2014</w:t>
            </w:r>
          </w:p>
        </w:tc>
        <w:tc>
          <w:tcPr>
            <w:tcW w:w="1269" w:type="dxa"/>
          </w:tcPr>
          <w:p w:rsidR="00D11B62" w:rsidRPr="00584315" w:rsidRDefault="00D11B62" w:rsidP="00D11B62">
            <w:pPr>
              <w:keepNext/>
              <w:keepLines/>
              <w:widowControl w:val="0"/>
              <w:pBdr>
                <w:bottom w:val="single" w:sz="4" w:space="1" w:color="auto"/>
              </w:pBdr>
              <w:spacing w:after="120"/>
              <w:jc w:val="center"/>
              <w:rPr>
                <w:sz w:val="18"/>
                <w:szCs w:val="18"/>
              </w:rPr>
            </w:pPr>
            <w:r w:rsidRPr="00584315">
              <w:rPr>
                <w:sz w:val="18"/>
                <w:szCs w:val="18"/>
              </w:rPr>
              <w:t>2013</w:t>
            </w:r>
          </w:p>
        </w:tc>
      </w:tr>
      <w:tr w:rsidR="00D11B62" w:rsidRPr="00584315" w:rsidTr="00D11B62">
        <w:trPr>
          <w:jc w:val="center"/>
        </w:trPr>
        <w:tc>
          <w:tcPr>
            <w:tcW w:w="2269" w:type="dxa"/>
            <w:vAlign w:val="bottom"/>
          </w:tcPr>
          <w:p w:rsidR="00D11B62" w:rsidRPr="00584315" w:rsidRDefault="00D11B62" w:rsidP="00D11B62">
            <w:pPr>
              <w:keepNext/>
              <w:keepLines/>
              <w:widowControl w:val="0"/>
              <w:ind w:left="162" w:hanging="162"/>
              <w:jc w:val="left"/>
              <w:rPr>
                <w:sz w:val="18"/>
                <w:szCs w:val="18"/>
              </w:rPr>
            </w:pPr>
            <w:r w:rsidRPr="00584315">
              <w:rPr>
                <w:sz w:val="18"/>
                <w:szCs w:val="18"/>
              </w:rPr>
              <w:t>Total pension liability</w:t>
            </w:r>
            <w:r w:rsidRPr="00584315">
              <w:rPr>
                <w:sz w:val="18"/>
                <w:szCs w:val="18"/>
                <w:vertAlign w:val="superscript"/>
              </w:rPr>
              <w:t>3,4</w:t>
            </w:r>
          </w:p>
        </w:tc>
        <w:tc>
          <w:tcPr>
            <w:tcW w:w="1291" w:type="dxa"/>
            <w:vAlign w:val="bottom"/>
          </w:tcPr>
          <w:p w:rsidR="00D11B62" w:rsidRPr="00584315" w:rsidRDefault="00D11B62" w:rsidP="00D11B62">
            <w:pPr>
              <w:keepNext/>
              <w:keepLines/>
              <w:widowControl w:val="0"/>
              <w:tabs>
                <w:tab w:val="decimal" w:pos="945"/>
              </w:tabs>
              <w:rPr>
                <w:sz w:val="18"/>
                <w:szCs w:val="18"/>
              </w:rPr>
            </w:pPr>
            <w:r w:rsidRPr="00584315">
              <w:rPr>
                <w:sz w:val="18"/>
                <w:szCs w:val="18"/>
              </w:rPr>
              <w:t>$25,696,667</w:t>
            </w:r>
          </w:p>
        </w:tc>
        <w:tc>
          <w:tcPr>
            <w:tcW w:w="1291" w:type="dxa"/>
            <w:vAlign w:val="bottom"/>
          </w:tcPr>
          <w:p w:rsidR="00D11B62" w:rsidRPr="00584315" w:rsidRDefault="00D11B62" w:rsidP="00D11B62">
            <w:pPr>
              <w:keepNext/>
              <w:keepLines/>
              <w:widowControl w:val="0"/>
              <w:tabs>
                <w:tab w:val="decimal" w:pos="945"/>
              </w:tabs>
              <w:rPr>
                <w:sz w:val="18"/>
                <w:szCs w:val="18"/>
              </w:rPr>
            </w:pPr>
            <w:r w:rsidRPr="00584315">
              <w:rPr>
                <w:sz w:val="18"/>
                <w:szCs w:val="18"/>
              </w:rPr>
              <w:t>$25,345,094</w:t>
            </w:r>
          </w:p>
        </w:tc>
        <w:tc>
          <w:tcPr>
            <w:tcW w:w="1291" w:type="dxa"/>
            <w:vAlign w:val="bottom"/>
          </w:tcPr>
          <w:p w:rsidR="00D11B62" w:rsidRPr="00584315" w:rsidRDefault="00D11B62" w:rsidP="00D11B62">
            <w:pPr>
              <w:keepNext/>
              <w:keepLines/>
              <w:widowControl w:val="0"/>
              <w:tabs>
                <w:tab w:val="decimal" w:pos="963"/>
              </w:tabs>
              <w:rPr>
                <w:sz w:val="18"/>
                <w:szCs w:val="18"/>
              </w:rPr>
            </w:pPr>
            <w:r w:rsidRPr="00584315">
              <w:rPr>
                <w:sz w:val="18"/>
                <w:szCs w:val="18"/>
              </w:rPr>
              <w:t>$35,241,684</w:t>
            </w:r>
          </w:p>
        </w:tc>
        <w:tc>
          <w:tcPr>
            <w:tcW w:w="1269" w:type="dxa"/>
            <w:vAlign w:val="bottom"/>
          </w:tcPr>
          <w:p w:rsidR="00D11B62" w:rsidRPr="00584315" w:rsidRDefault="00D11B62" w:rsidP="00D11B62">
            <w:pPr>
              <w:keepNext/>
              <w:keepLines/>
              <w:widowControl w:val="0"/>
              <w:tabs>
                <w:tab w:val="decimal" w:pos="972"/>
              </w:tabs>
              <w:rPr>
                <w:sz w:val="18"/>
                <w:szCs w:val="18"/>
              </w:rPr>
            </w:pPr>
            <w:r w:rsidRPr="00584315">
              <w:rPr>
                <w:sz w:val="18"/>
                <w:szCs w:val="18"/>
              </w:rPr>
              <w:t>$31,994,311</w:t>
            </w:r>
          </w:p>
        </w:tc>
        <w:tc>
          <w:tcPr>
            <w:tcW w:w="1269" w:type="dxa"/>
            <w:vAlign w:val="bottom"/>
          </w:tcPr>
          <w:p w:rsidR="00D11B62" w:rsidRPr="00584315" w:rsidRDefault="00D11B62" w:rsidP="00D11B62">
            <w:pPr>
              <w:keepNext/>
              <w:keepLines/>
              <w:widowControl w:val="0"/>
              <w:tabs>
                <w:tab w:val="decimal" w:pos="942"/>
              </w:tabs>
              <w:rPr>
                <w:sz w:val="18"/>
                <w:szCs w:val="18"/>
              </w:rPr>
            </w:pPr>
            <w:r w:rsidRPr="00584315">
              <w:rPr>
                <w:sz w:val="18"/>
                <w:szCs w:val="18"/>
              </w:rPr>
              <w:t>$23,991,569</w:t>
            </w:r>
          </w:p>
        </w:tc>
        <w:tc>
          <w:tcPr>
            <w:tcW w:w="1269" w:type="dxa"/>
            <w:vAlign w:val="bottom"/>
          </w:tcPr>
          <w:p w:rsidR="00D11B62" w:rsidRPr="00584315" w:rsidRDefault="00D11B62" w:rsidP="00D11B62">
            <w:pPr>
              <w:keepNext/>
              <w:keepLines/>
              <w:widowControl w:val="0"/>
              <w:tabs>
                <w:tab w:val="decimal" w:pos="946"/>
              </w:tabs>
              <w:rPr>
                <w:sz w:val="18"/>
                <w:szCs w:val="18"/>
              </w:rPr>
            </w:pPr>
            <w:r w:rsidRPr="00584315">
              <w:rPr>
                <w:sz w:val="18"/>
                <w:szCs w:val="18"/>
              </w:rPr>
              <w:t>$23,420,461</w:t>
            </w:r>
          </w:p>
        </w:tc>
        <w:tc>
          <w:tcPr>
            <w:tcW w:w="1269" w:type="dxa"/>
          </w:tcPr>
          <w:p w:rsidR="00D11B62" w:rsidRPr="00584315" w:rsidRDefault="00D11B62" w:rsidP="00D11B62">
            <w:pPr>
              <w:keepNext/>
              <w:keepLines/>
              <w:widowControl w:val="0"/>
              <w:tabs>
                <w:tab w:val="decimal" w:pos="946"/>
              </w:tabs>
              <w:rPr>
                <w:sz w:val="18"/>
                <w:szCs w:val="18"/>
              </w:rPr>
            </w:pPr>
            <w:r w:rsidRPr="00584315">
              <w:rPr>
                <w:sz w:val="18"/>
                <w:szCs w:val="18"/>
              </w:rPr>
              <w:t>$22,888,431</w:t>
            </w:r>
          </w:p>
        </w:tc>
      </w:tr>
      <w:tr w:rsidR="00D11B62" w:rsidRPr="00584315" w:rsidTr="00D11B62">
        <w:trPr>
          <w:jc w:val="center"/>
        </w:trPr>
        <w:tc>
          <w:tcPr>
            <w:tcW w:w="2269" w:type="dxa"/>
            <w:vAlign w:val="bottom"/>
          </w:tcPr>
          <w:p w:rsidR="00D11B62" w:rsidRPr="00584315" w:rsidRDefault="00D11B62" w:rsidP="00D11B62">
            <w:pPr>
              <w:keepNext/>
              <w:keepLines/>
              <w:widowControl w:val="0"/>
              <w:ind w:left="162" w:hanging="162"/>
              <w:jc w:val="left"/>
              <w:rPr>
                <w:sz w:val="18"/>
                <w:szCs w:val="18"/>
              </w:rPr>
            </w:pPr>
            <w:r w:rsidRPr="00584315">
              <w:rPr>
                <w:sz w:val="18"/>
                <w:szCs w:val="18"/>
              </w:rPr>
              <w:t>Plan fiduciary net position</w:t>
            </w:r>
          </w:p>
        </w:tc>
        <w:tc>
          <w:tcPr>
            <w:tcW w:w="1291" w:type="dxa"/>
            <w:vAlign w:val="bottom"/>
          </w:tcPr>
          <w:p w:rsidR="00D11B62" w:rsidRPr="00584315" w:rsidRDefault="00D11B62" w:rsidP="00D11B62">
            <w:pPr>
              <w:keepNext/>
              <w:keepLines/>
              <w:widowControl w:val="0"/>
              <w:pBdr>
                <w:bottom w:val="single" w:sz="4" w:space="1" w:color="auto"/>
              </w:pBdr>
              <w:tabs>
                <w:tab w:val="decimal" w:pos="945"/>
              </w:tabs>
              <w:rPr>
                <w:sz w:val="18"/>
                <w:szCs w:val="18"/>
              </w:rPr>
            </w:pPr>
            <w:r w:rsidRPr="00584315">
              <w:rPr>
                <w:sz w:val="18"/>
                <w:szCs w:val="18"/>
              </w:rPr>
              <w:t>15,992,863</w:t>
            </w:r>
          </w:p>
        </w:tc>
        <w:tc>
          <w:tcPr>
            <w:tcW w:w="1291" w:type="dxa"/>
            <w:vAlign w:val="bottom"/>
          </w:tcPr>
          <w:p w:rsidR="00D11B62" w:rsidRPr="00584315" w:rsidRDefault="00D11B62" w:rsidP="00D11B62">
            <w:pPr>
              <w:keepNext/>
              <w:keepLines/>
              <w:widowControl w:val="0"/>
              <w:pBdr>
                <w:bottom w:val="single" w:sz="4" w:space="1" w:color="auto"/>
              </w:pBdr>
              <w:tabs>
                <w:tab w:val="decimal" w:pos="945"/>
              </w:tabs>
              <w:rPr>
                <w:sz w:val="18"/>
                <w:szCs w:val="18"/>
              </w:rPr>
            </w:pPr>
            <w:r w:rsidRPr="00584315">
              <w:rPr>
                <w:sz w:val="18"/>
                <w:szCs w:val="18"/>
              </w:rPr>
              <w:t>13,966,421</w:t>
            </w:r>
          </w:p>
        </w:tc>
        <w:tc>
          <w:tcPr>
            <w:tcW w:w="1291" w:type="dxa"/>
            <w:vAlign w:val="bottom"/>
          </w:tcPr>
          <w:p w:rsidR="00D11B62" w:rsidRPr="00584315" w:rsidRDefault="00D11B62" w:rsidP="00D11B62">
            <w:pPr>
              <w:keepNext/>
              <w:keepLines/>
              <w:widowControl w:val="0"/>
              <w:pBdr>
                <w:bottom w:val="single" w:sz="4" w:space="1" w:color="auto"/>
              </w:pBdr>
              <w:tabs>
                <w:tab w:val="decimal" w:pos="963"/>
              </w:tabs>
              <w:rPr>
                <w:sz w:val="18"/>
                <w:szCs w:val="18"/>
              </w:rPr>
            </w:pPr>
            <w:r w:rsidRPr="00584315">
              <w:rPr>
                <w:sz w:val="18"/>
                <w:szCs w:val="18"/>
              </w:rPr>
              <w:t>15,223,702</w:t>
            </w:r>
          </w:p>
        </w:tc>
        <w:tc>
          <w:tcPr>
            <w:tcW w:w="1269" w:type="dxa"/>
            <w:vAlign w:val="bottom"/>
          </w:tcPr>
          <w:p w:rsidR="00D11B62" w:rsidRPr="00584315" w:rsidRDefault="00D11B62" w:rsidP="00D11B62">
            <w:pPr>
              <w:keepNext/>
              <w:keepLines/>
              <w:widowControl w:val="0"/>
              <w:pBdr>
                <w:bottom w:val="single" w:sz="4" w:space="1" w:color="auto"/>
              </w:pBdr>
              <w:tabs>
                <w:tab w:val="decimal" w:pos="972"/>
              </w:tabs>
              <w:rPr>
                <w:sz w:val="18"/>
                <w:szCs w:val="18"/>
              </w:rPr>
            </w:pPr>
            <w:r w:rsidRPr="00584315">
              <w:rPr>
                <w:sz w:val="18"/>
                <w:szCs w:val="18"/>
              </w:rPr>
              <w:t>13,626,180</w:t>
            </w:r>
          </w:p>
        </w:tc>
        <w:tc>
          <w:tcPr>
            <w:tcW w:w="1269" w:type="dxa"/>
            <w:vAlign w:val="bottom"/>
          </w:tcPr>
          <w:p w:rsidR="00D11B62" w:rsidRPr="00584315" w:rsidRDefault="00D11B62" w:rsidP="00D11B62">
            <w:pPr>
              <w:keepNext/>
              <w:keepLines/>
              <w:widowControl w:val="0"/>
              <w:pBdr>
                <w:bottom w:val="single" w:sz="4" w:space="1" w:color="auto"/>
              </w:pBdr>
              <w:tabs>
                <w:tab w:val="decimal" w:pos="942"/>
              </w:tabs>
              <w:rPr>
                <w:sz w:val="18"/>
                <w:szCs w:val="18"/>
              </w:rPr>
            </w:pPr>
            <w:r w:rsidRPr="00584315">
              <w:rPr>
                <w:sz w:val="18"/>
                <w:szCs w:val="18"/>
              </w:rPr>
              <w:t>13,460,536</w:t>
            </w:r>
          </w:p>
        </w:tc>
        <w:tc>
          <w:tcPr>
            <w:tcW w:w="1269" w:type="dxa"/>
            <w:vAlign w:val="bottom"/>
          </w:tcPr>
          <w:p w:rsidR="00D11B62" w:rsidRPr="00584315" w:rsidRDefault="00D11B62" w:rsidP="00D11B62">
            <w:pPr>
              <w:keepNext/>
              <w:keepLines/>
              <w:widowControl w:val="0"/>
              <w:pBdr>
                <w:bottom w:val="single" w:sz="4" w:space="1" w:color="auto"/>
              </w:pBdr>
              <w:tabs>
                <w:tab w:val="decimal" w:pos="946"/>
              </w:tabs>
              <w:rPr>
                <w:sz w:val="18"/>
                <w:szCs w:val="18"/>
              </w:rPr>
            </w:pPr>
            <w:r w:rsidRPr="00584315">
              <w:rPr>
                <w:sz w:val="18"/>
                <w:szCs w:val="18"/>
              </w:rPr>
              <w:t>14,013,947</w:t>
            </w:r>
          </w:p>
        </w:tc>
        <w:tc>
          <w:tcPr>
            <w:tcW w:w="1269" w:type="dxa"/>
          </w:tcPr>
          <w:p w:rsidR="00D11B62" w:rsidRPr="00584315" w:rsidRDefault="00D11B62" w:rsidP="00D11B62">
            <w:pPr>
              <w:keepNext/>
              <w:keepLines/>
              <w:widowControl w:val="0"/>
              <w:pBdr>
                <w:bottom w:val="single" w:sz="4" w:space="1" w:color="auto"/>
              </w:pBdr>
              <w:tabs>
                <w:tab w:val="decimal" w:pos="946"/>
              </w:tabs>
              <w:rPr>
                <w:sz w:val="18"/>
                <w:szCs w:val="18"/>
              </w:rPr>
            </w:pPr>
            <w:r w:rsidRPr="00584315">
              <w:rPr>
                <w:sz w:val="18"/>
                <w:szCs w:val="18"/>
              </w:rPr>
              <w:t>13,980,460</w:t>
            </w:r>
          </w:p>
        </w:tc>
      </w:tr>
      <w:tr w:rsidR="00D11B62" w:rsidRPr="00584315" w:rsidTr="00D11B62">
        <w:trPr>
          <w:jc w:val="center"/>
        </w:trPr>
        <w:tc>
          <w:tcPr>
            <w:tcW w:w="2269" w:type="dxa"/>
            <w:vAlign w:val="bottom"/>
          </w:tcPr>
          <w:p w:rsidR="00D11B62" w:rsidRPr="00584315" w:rsidRDefault="00D11B62" w:rsidP="00D11B62">
            <w:pPr>
              <w:keepNext/>
              <w:keepLines/>
              <w:widowControl w:val="0"/>
              <w:ind w:left="162" w:hanging="162"/>
              <w:jc w:val="left"/>
              <w:rPr>
                <w:sz w:val="18"/>
                <w:szCs w:val="18"/>
              </w:rPr>
            </w:pPr>
            <w:r w:rsidRPr="00584315">
              <w:rPr>
                <w:sz w:val="18"/>
                <w:szCs w:val="18"/>
              </w:rPr>
              <w:t>Net pension liability</w:t>
            </w:r>
          </w:p>
        </w:tc>
        <w:tc>
          <w:tcPr>
            <w:tcW w:w="1291" w:type="dxa"/>
            <w:vAlign w:val="bottom"/>
          </w:tcPr>
          <w:p w:rsidR="00D11B62" w:rsidRPr="00584315" w:rsidRDefault="00D11B62" w:rsidP="00D11B62">
            <w:pPr>
              <w:keepNext/>
              <w:keepLines/>
              <w:widowControl w:val="0"/>
              <w:pBdr>
                <w:bottom w:val="double" w:sz="4" w:space="1" w:color="auto"/>
              </w:pBdr>
              <w:tabs>
                <w:tab w:val="decimal" w:pos="945"/>
              </w:tabs>
              <w:rPr>
                <w:sz w:val="18"/>
                <w:szCs w:val="18"/>
              </w:rPr>
            </w:pPr>
            <w:r w:rsidRPr="00584315">
              <w:rPr>
                <w:sz w:val="18"/>
                <w:szCs w:val="18"/>
              </w:rPr>
              <w:t>$ 9,703,804</w:t>
            </w:r>
          </w:p>
        </w:tc>
        <w:tc>
          <w:tcPr>
            <w:tcW w:w="1291" w:type="dxa"/>
            <w:vAlign w:val="bottom"/>
          </w:tcPr>
          <w:p w:rsidR="00D11B62" w:rsidRPr="00584315" w:rsidRDefault="00D11B62" w:rsidP="00D11B62">
            <w:pPr>
              <w:keepNext/>
              <w:keepLines/>
              <w:widowControl w:val="0"/>
              <w:pBdr>
                <w:bottom w:val="double" w:sz="4" w:space="1" w:color="auto"/>
              </w:pBdr>
              <w:tabs>
                <w:tab w:val="decimal" w:pos="945"/>
              </w:tabs>
              <w:rPr>
                <w:sz w:val="18"/>
                <w:szCs w:val="18"/>
              </w:rPr>
            </w:pPr>
            <w:r w:rsidRPr="00584315">
              <w:rPr>
                <w:sz w:val="18"/>
                <w:szCs w:val="18"/>
              </w:rPr>
              <w:t>$11,378,673</w:t>
            </w:r>
          </w:p>
        </w:tc>
        <w:tc>
          <w:tcPr>
            <w:tcW w:w="1291" w:type="dxa"/>
            <w:vAlign w:val="bottom"/>
          </w:tcPr>
          <w:p w:rsidR="00D11B62" w:rsidRPr="00584315" w:rsidRDefault="00D11B62" w:rsidP="00D11B62">
            <w:pPr>
              <w:keepNext/>
              <w:keepLines/>
              <w:widowControl w:val="0"/>
              <w:pBdr>
                <w:bottom w:val="double" w:sz="4" w:space="1" w:color="auto"/>
              </w:pBdr>
              <w:tabs>
                <w:tab w:val="decimal" w:pos="963"/>
              </w:tabs>
              <w:rPr>
                <w:sz w:val="18"/>
                <w:szCs w:val="18"/>
              </w:rPr>
            </w:pPr>
            <w:r w:rsidRPr="00584315">
              <w:rPr>
                <w:sz w:val="18"/>
                <w:szCs w:val="18"/>
              </w:rPr>
              <w:t>$20,017,982</w:t>
            </w:r>
          </w:p>
        </w:tc>
        <w:tc>
          <w:tcPr>
            <w:tcW w:w="1269" w:type="dxa"/>
            <w:vAlign w:val="bottom"/>
          </w:tcPr>
          <w:p w:rsidR="00D11B62" w:rsidRPr="00584315" w:rsidRDefault="00D11B62" w:rsidP="00D11B62">
            <w:pPr>
              <w:keepNext/>
              <w:keepLines/>
              <w:widowControl w:val="0"/>
              <w:pBdr>
                <w:bottom w:val="double" w:sz="4" w:space="1" w:color="auto"/>
              </w:pBdr>
              <w:tabs>
                <w:tab w:val="decimal" w:pos="972"/>
              </w:tabs>
              <w:rPr>
                <w:sz w:val="18"/>
                <w:szCs w:val="18"/>
              </w:rPr>
            </w:pPr>
            <w:r w:rsidRPr="00584315">
              <w:rPr>
                <w:sz w:val="18"/>
                <w:szCs w:val="18"/>
              </w:rPr>
              <w:t>$18,368,131</w:t>
            </w:r>
          </w:p>
        </w:tc>
        <w:tc>
          <w:tcPr>
            <w:tcW w:w="1269" w:type="dxa"/>
            <w:vAlign w:val="bottom"/>
          </w:tcPr>
          <w:p w:rsidR="00D11B62" w:rsidRPr="00584315" w:rsidRDefault="00D11B62" w:rsidP="00D11B62">
            <w:pPr>
              <w:keepNext/>
              <w:keepLines/>
              <w:widowControl w:val="0"/>
              <w:pBdr>
                <w:bottom w:val="double" w:sz="4" w:space="1" w:color="auto"/>
              </w:pBdr>
              <w:tabs>
                <w:tab w:val="decimal" w:pos="942"/>
              </w:tabs>
              <w:rPr>
                <w:sz w:val="18"/>
                <w:szCs w:val="18"/>
              </w:rPr>
            </w:pPr>
            <w:r w:rsidRPr="00584315">
              <w:rPr>
                <w:sz w:val="18"/>
                <w:szCs w:val="18"/>
              </w:rPr>
              <w:t>$10,531,033</w:t>
            </w:r>
          </w:p>
        </w:tc>
        <w:tc>
          <w:tcPr>
            <w:tcW w:w="1269" w:type="dxa"/>
            <w:vAlign w:val="bottom"/>
          </w:tcPr>
          <w:p w:rsidR="00D11B62" w:rsidRPr="00584315" w:rsidRDefault="00D11B62" w:rsidP="00D11B62">
            <w:pPr>
              <w:keepNext/>
              <w:keepLines/>
              <w:widowControl w:val="0"/>
              <w:pBdr>
                <w:bottom w:val="double" w:sz="4" w:space="1" w:color="auto"/>
              </w:pBdr>
              <w:tabs>
                <w:tab w:val="decimal" w:pos="946"/>
              </w:tabs>
              <w:rPr>
                <w:sz w:val="18"/>
                <w:szCs w:val="18"/>
              </w:rPr>
            </w:pPr>
            <w:r w:rsidRPr="00584315">
              <w:rPr>
                <w:sz w:val="18"/>
                <w:szCs w:val="18"/>
              </w:rPr>
              <w:t>$ 9,406,514</w:t>
            </w:r>
          </w:p>
        </w:tc>
        <w:tc>
          <w:tcPr>
            <w:tcW w:w="1269" w:type="dxa"/>
          </w:tcPr>
          <w:p w:rsidR="00D11B62" w:rsidRPr="00584315" w:rsidRDefault="00D11B62" w:rsidP="00D11B62">
            <w:pPr>
              <w:keepNext/>
              <w:keepLines/>
              <w:widowControl w:val="0"/>
              <w:pBdr>
                <w:bottom w:val="double" w:sz="4" w:space="1" w:color="auto"/>
              </w:pBdr>
              <w:tabs>
                <w:tab w:val="decimal" w:pos="946"/>
              </w:tabs>
              <w:rPr>
                <w:sz w:val="18"/>
                <w:szCs w:val="18"/>
              </w:rPr>
            </w:pPr>
            <w:r w:rsidRPr="00584315">
              <w:rPr>
                <w:sz w:val="18"/>
                <w:szCs w:val="18"/>
              </w:rPr>
              <w:t>$ 8,907,971</w:t>
            </w:r>
          </w:p>
        </w:tc>
      </w:tr>
      <w:tr w:rsidR="00D11B62" w:rsidRPr="00584315" w:rsidTr="00D11B62">
        <w:trPr>
          <w:jc w:val="center"/>
        </w:trPr>
        <w:tc>
          <w:tcPr>
            <w:tcW w:w="2269" w:type="dxa"/>
            <w:vAlign w:val="bottom"/>
          </w:tcPr>
          <w:p w:rsidR="00D11B62" w:rsidRPr="00584315" w:rsidRDefault="00D11B62" w:rsidP="00D11B62">
            <w:pPr>
              <w:keepNext/>
              <w:keepLines/>
              <w:widowControl w:val="0"/>
              <w:ind w:left="162" w:hanging="162"/>
              <w:jc w:val="left"/>
              <w:rPr>
                <w:sz w:val="18"/>
                <w:szCs w:val="18"/>
              </w:rPr>
            </w:pPr>
            <w:r w:rsidRPr="00584315">
              <w:rPr>
                <w:sz w:val="18"/>
                <w:szCs w:val="18"/>
              </w:rPr>
              <w:t>Net pension liability as a percentage of total pension liability</w:t>
            </w:r>
          </w:p>
        </w:tc>
        <w:tc>
          <w:tcPr>
            <w:tcW w:w="1291" w:type="dxa"/>
            <w:vAlign w:val="bottom"/>
          </w:tcPr>
          <w:p w:rsidR="00D11B62" w:rsidRPr="00584315" w:rsidRDefault="00D11B62" w:rsidP="00D11B62">
            <w:pPr>
              <w:keepNext/>
              <w:keepLines/>
              <w:widowControl w:val="0"/>
              <w:jc w:val="center"/>
              <w:rPr>
                <w:sz w:val="18"/>
                <w:szCs w:val="18"/>
              </w:rPr>
            </w:pPr>
            <w:r w:rsidRPr="00584315">
              <w:rPr>
                <w:sz w:val="18"/>
                <w:szCs w:val="18"/>
              </w:rPr>
              <w:t>62.24%</w:t>
            </w:r>
          </w:p>
        </w:tc>
        <w:tc>
          <w:tcPr>
            <w:tcW w:w="1291" w:type="dxa"/>
            <w:vAlign w:val="bottom"/>
          </w:tcPr>
          <w:p w:rsidR="00D11B62" w:rsidRPr="00584315" w:rsidRDefault="00D11B62" w:rsidP="00D11B62">
            <w:pPr>
              <w:keepNext/>
              <w:keepLines/>
              <w:widowControl w:val="0"/>
              <w:jc w:val="center"/>
              <w:rPr>
                <w:sz w:val="18"/>
                <w:szCs w:val="18"/>
              </w:rPr>
            </w:pPr>
            <w:r w:rsidRPr="00584315">
              <w:rPr>
                <w:sz w:val="18"/>
                <w:szCs w:val="18"/>
              </w:rPr>
              <w:t>55.11%</w:t>
            </w:r>
          </w:p>
        </w:tc>
        <w:tc>
          <w:tcPr>
            <w:tcW w:w="1291" w:type="dxa"/>
            <w:vAlign w:val="bottom"/>
          </w:tcPr>
          <w:p w:rsidR="00D11B62" w:rsidRPr="00584315" w:rsidRDefault="00D11B62" w:rsidP="00D11B62">
            <w:pPr>
              <w:keepNext/>
              <w:keepLines/>
              <w:widowControl w:val="0"/>
              <w:jc w:val="center"/>
              <w:rPr>
                <w:sz w:val="18"/>
                <w:szCs w:val="18"/>
              </w:rPr>
            </w:pPr>
            <w:r w:rsidRPr="00584315">
              <w:rPr>
                <w:sz w:val="18"/>
                <w:szCs w:val="18"/>
              </w:rPr>
              <w:t>43.20%</w:t>
            </w:r>
          </w:p>
        </w:tc>
        <w:tc>
          <w:tcPr>
            <w:tcW w:w="1269" w:type="dxa"/>
            <w:vAlign w:val="bottom"/>
          </w:tcPr>
          <w:p w:rsidR="00D11B62" w:rsidRPr="00584315" w:rsidRDefault="00D11B62" w:rsidP="00D11B62">
            <w:pPr>
              <w:keepNext/>
              <w:keepLines/>
              <w:widowControl w:val="0"/>
              <w:jc w:val="center"/>
              <w:rPr>
                <w:sz w:val="18"/>
                <w:szCs w:val="18"/>
              </w:rPr>
            </w:pPr>
            <w:r w:rsidRPr="00584315">
              <w:rPr>
                <w:sz w:val="18"/>
                <w:szCs w:val="18"/>
              </w:rPr>
              <w:t>42.59%</w:t>
            </w:r>
          </w:p>
        </w:tc>
        <w:tc>
          <w:tcPr>
            <w:tcW w:w="1269" w:type="dxa"/>
            <w:vAlign w:val="bottom"/>
          </w:tcPr>
          <w:p w:rsidR="00D11B62" w:rsidRPr="00584315" w:rsidRDefault="00D11B62" w:rsidP="00D11B62">
            <w:pPr>
              <w:keepNext/>
              <w:keepLines/>
              <w:widowControl w:val="0"/>
              <w:jc w:val="center"/>
              <w:rPr>
                <w:sz w:val="18"/>
                <w:szCs w:val="18"/>
              </w:rPr>
            </w:pPr>
            <w:r w:rsidRPr="00584315">
              <w:rPr>
                <w:sz w:val="18"/>
                <w:szCs w:val="18"/>
              </w:rPr>
              <w:t>56.11%</w:t>
            </w:r>
          </w:p>
        </w:tc>
        <w:tc>
          <w:tcPr>
            <w:tcW w:w="1269" w:type="dxa"/>
            <w:vAlign w:val="bottom"/>
          </w:tcPr>
          <w:p w:rsidR="00D11B62" w:rsidRPr="00584315" w:rsidRDefault="00D11B62" w:rsidP="00D11B62">
            <w:pPr>
              <w:keepNext/>
              <w:keepLines/>
              <w:widowControl w:val="0"/>
              <w:jc w:val="center"/>
              <w:rPr>
                <w:sz w:val="18"/>
                <w:szCs w:val="18"/>
              </w:rPr>
            </w:pPr>
            <w:r w:rsidRPr="00584315">
              <w:rPr>
                <w:sz w:val="18"/>
                <w:szCs w:val="18"/>
              </w:rPr>
              <w:t>59.84%</w:t>
            </w:r>
          </w:p>
        </w:tc>
        <w:tc>
          <w:tcPr>
            <w:tcW w:w="1269" w:type="dxa"/>
          </w:tcPr>
          <w:p w:rsidR="00D11B62" w:rsidRPr="00584315" w:rsidRDefault="00D11B62" w:rsidP="00D11B62">
            <w:pPr>
              <w:keepNext/>
              <w:keepLines/>
              <w:widowControl w:val="0"/>
              <w:jc w:val="center"/>
              <w:rPr>
                <w:sz w:val="18"/>
                <w:szCs w:val="18"/>
              </w:rPr>
            </w:pPr>
          </w:p>
          <w:p w:rsidR="00D11B62" w:rsidRPr="00584315" w:rsidRDefault="00D11B62" w:rsidP="00D11B62">
            <w:pPr>
              <w:keepNext/>
              <w:keepLines/>
              <w:widowControl w:val="0"/>
              <w:jc w:val="center"/>
              <w:rPr>
                <w:sz w:val="18"/>
                <w:szCs w:val="18"/>
              </w:rPr>
            </w:pPr>
          </w:p>
          <w:p w:rsidR="00D11B62" w:rsidRPr="00584315" w:rsidRDefault="00D11B62" w:rsidP="00D11B62">
            <w:pPr>
              <w:keepNext/>
              <w:keepLines/>
              <w:widowControl w:val="0"/>
              <w:jc w:val="center"/>
              <w:rPr>
                <w:sz w:val="18"/>
                <w:szCs w:val="18"/>
              </w:rPr>
            </w:pPr>
            <w:r w:rsidRPr="00584315">
              <w:rPr>
                <w:sz w:val="18"/>
                <w:szCs w:val="18"/>
              </w:rPr>
              <w:t>61.08%</w:t>
            </w:r>
          </w:p>
        </w:tc>
      </w:tr>
      <w:tr w:rsidR="00D11B62" w:rsidRPr="00584315" w:rsidTr="00D11B62">
        <w:trPr>
          <w:jc w:val="center"/>
        </w:trPr>
        <w:tc>
          <w:tcPr>
            <w:tcW w:w="2269" w:type="dxa"/>
            <w:vAlign w:val="bottom"/>
          </w:tcPr>
          <w:p w:rsidR="00D11B62" w:rsidRPr="00584315" w:rsidRDefault="00D11B62" w:rsidP="00D11B62">
            <w:pPr>
              <w:keepNext/>
              <w:keepLines/>
              <w:widowControl w:val="0"/>
              <w:ind w:left="162" w:hanging="162"/>
              <w:jc w:val="left"/>
              <w:rPr>
                <w:sz w:val="18"/>
                <w:szCs w:val="18"/>
              </w:rPr>
            </w:pPr>
            <w:r w:rsidRPr="00584315">
              <w:rPr>
                <w:sz w:val="18"/>
                <w:szCs w:val="18"/>
              </w:rPr>
              <w:t>Covered employee payroll</w:t>
            </w:r>
          </w:p>
        </w:tc>
        <w:tc>
          <w:tcPr>
            <w:tcW w:w="1291" w:type="dxa"/>
            <w:vAlign w:val="bottom"/>
          </w:tcPr>
          <w:p w:rsidR="00D11B62" w:rsidRPr="00584315" w:rsidRDefault="00D11B62" w:rsidP="00D11B62">
            <w:pPr>
              <w:keepNext/>
              <w:keepLines/>
              <w:widowControl w:val="0"/>
              <w:tabs>
                <w:tab w:val="decimal" w:pos="945"/>
              </w:tabs>
              <w:rPr>
                <w:sz w:val="18"/>
                <w:szCs w:val="18"/>
              </w:rPr>
            </w:pPr>
            <w:r w:rsidRPr="00584315">
              <w:rPr>
                <w:sz w:val="18"/>
                <w:szCs w:val="18"/>
              </w:rPr>
              <w:t>$ 2,995,453</w:t>
            </w:r>
          </w:p>
        </w:tc>
        <w:tc>
          <w:tcPr>
            <w:tcW w:w="1291" w:type="dxa"/>
            <w:vAlign w:val="bottom"/>
          </w:tcPr>
          <w:p w:rsidR="00D11B62" w:rsidRPr="00584315" w:rsidRDefault="00D11B62" w:rsidP="00D11B62">
            <w:pPr>
              <w:keepNext/>
              <w:keepLines/>
              <w:widowControl w:val="0"/>
              <w:tabs>
                <w:tab w:val="decimal" w:pos="945"/>
              </w:tabs>
              <w:rPr>
                <w:sz w:val="18"/>
                <w:szCs w:val="18"/>
              </w:rPr>
            </w:pPr>
            <w:r w:rsidRPr="00584315">
              <w:rPr>
                <w:sz w:val="18"/>
                <w:szCs w:val="18"/>
              </w:rPr>
              <w:t>$2,898,827</w:t>
            </w:r>
          </w:p>
        </w:tc>
        <w:tc>
          <w:tcPr>
            <w:tcW w:w="1291" w:type="dxa"/>
            <w:vAlign w:val="bottom"/>
          </w:tcPr>
          <w:p w:rsidR="00D11B62" w:rsidRPr="00584315" w:rsidRDefault="00D11B62" w:rsidP="00D11B62">
            <w:pPr>
              <w:keepNext/>
              <w:keepLines/>
              <w:widowControl w:val="0"/>
              <w:tabs>
                <w:tab w:val="decimal" w:pos="963"/>
              </w:tabs>
              <w:rPr>
                <w:sz w:val="18"/>
                <w:szCs w:val="18"/>
              </w:rPr>
            </w:pPr>
            <w:r w:rsidRPr="00584315">
              <w:rPr>
                <w:sz w:val="18"/>
                <w:szCs w:val="18"/>
              </w:rPr>
              <w:t>$2,774,207</w:t>
            </w:r>
          </w:p>
        </w:tc>
        <w:tc>
          <w:tcPr>
            <w:tcW w:w="1269" w:type="dxa"/>
            <w:vAlign w:val="bottom"/>
          </w:tcPr>
          <w:p w:rsidR="00D11B62" w:rsidRPr="00584315" w:rsidRDefault="00D11B62" w:rsidP="00D11B62">
            <w:pPr>
              <w:keepNext/>
              <w:keepLines/>
              <w:widowControl w:val="0"/>
              <w:tabs>
                <w:tab w:val="decimal" w:pos="972"/>
              </w:tabs>
              <w:rPr>
                <w:sz w:val="18"/>
                <w:szCs w:val="18"/>
              </w:rPr>
            </w:pPr>
            <w:r w:rsidRPr="00584315">
              <w:rPr>
                <w:sz w:val="18"/>
                <w:szCs w:val="18"/>
              </w:rPr>
              <w:t>$2,710,651</w:t>
            </w:r>
          </w:p>
        </w:tc>
        <w:tc>
          <w:tcPr>
            <w:tcW w:w="1269" w:type="dxa"/>
            <w:vAlign w:val="bottom"/>
          </w:tcPr>
          <w:p w:rsidR="00D11B62" w:rsidRPr="00584315" w:rsidRDefault="00D11B62" w:rsidP="00D11B62">
            <w:pPr>
              <w:keepNext/>
              <w:keepLines/>
              <w:widowControl w:val="0"/>
              <w:tabs>
                <w:tab w:val="decimal" w:pos="942"/>
              </w:tabs>
              <w:rPr>
                <w:sz w:val="18"/>
                <w:szCs w:val="18"/>
              </w:rPr>
            </w:pPr>
            <w:r w:rsidRPr="00584315">
              <w:rPr>
                <w:sz w:val="18"/>
                <w:szCs w:val="18"/>
              </w:rPr>
              <w:t>$  2,641,867</w:t>
            </w:r>
          </w:p>
        </w:tc>
        <w:tc>
          <w:tcPr>
            <w:tcW w:w="1269" w:type="dxa"/>
            <w:vAlign w:val="bottom"/>
          </w:tcPr>
          <w:p w:rsidR="00D11B62" w:rsidRPr="00584315" w:rsidRDefault="00D11B62" w:rsidP="00D11B62">
            <w:pPr>
              <w:keepNext/>
              <w:keepLines/>
              <w:widowControl w:val="0"/>
              <w:tabs>
                <w:tab w:val="decimal" w:pos="946"/>
              </w:tabs>
              <w:rPr>
                <w:sz w:val="18"/>
                <w:szCs w:val="18"/>
              </w:rPr>
            </w:pPr>
            <w:r w:rsidRPr="00584315">
              <w:rPr>
                <w:sz w:val="18"/>
                <w:szCs w:val="18"/>
              </w:rPr>
              <w:t>$  2,564,670</w:t>
            </w:r>
          </w:p>
        </w:tc>
        <w:tc>
          <w:tcPr>
            <w:tcW w:w="1269" w:type="dxa"/>
          </w:tcPr>
          <w:p w:rsidR="00D11B62" w:rsidRPr="00584315" w:rsidRDefault="00D11B62" w:rsidP="00D11B62">
            <w:pPr>
              <w:keepNext/>
              <w:keepLines/>
              <w:widowControl w:val="0"/>
              <w:tabs>
                <w:tab w:val="decimal" w:pos="946"/>
              </w:tabs>
              <w:rPr>
                <w:sz w:val="18"/>
                <w:szCs w:val="18"/>
              </w:rPr>
            </w:pPr>
            <w:r w:rsidRPr="00584315">
              <w:rPr>
                <w:sz w:val="18"/>
                <w:szCs w:val="18"/>
              </w:rPr>
              <w:t>$  2,474,965</w:t>
            </w:r>
          </w:p>
        </w:tc>
      </w:tr>
      <w:tr w:rsidR="00D11B62" w:rsidRPr="00584315" w:rsidTr="00D11B62">
        <w:trPr>
          <w:jc w:val="center"/>
        </w:trPr>
        <w:tc>
          <w:tcPr>
            <w:tcW w:w="2269" w:type="dxa"/>
            <w:vAlign w:val="bottom"/>
          </w:tcPr>
          <w:p w:rsidR="00D11B62" w:rsidRPr="00584315" w:rsidRDefault="00D11B62" w:rsidP="00D11B62">
            <w:pPr>
              <w:keepNext/>
              <w:keepLines/>
              <w:widowControl w:val="0"/>
              <w:ind w:left="162" w:hanging="162"/>
              <w:jc w:val="left"/>
              <w:rPr>
                <w:sz w:val="18"/>
                <w:szCs w:val="18"/>
              </w:rPr>
            </w:pPr>
            <w:r w:rsidRPr="00584315">
              <w:rPr>
                <w:sz w:val="18"/>
                <w:szCs w:val="18"/>
              </w:rPr>
              <w:t>Net pension liability as a percentage of covered employee payroll</w:t>
            </w:r>
          </w:p>
        </w:tc>
        <w:tc>
          <w:tcPr>
            <w:tcW w:w="1291" w:type="dxa"/>
            <w:vAlign w:val="bottom"/>
          </w:tcPr>
          <w:p w:rsidR="00D11B62" w:rsidRPr="00584315" w:rsidRDefault="00D11B62" w:rsidP="00D11B62">
            <w:pPr>
              <w:keepNext/>
              <w:keepLines/>
              <w:widowControl w:val="0"/>
              <w:jc w:val="center"/>
              <w:rPr>
                <w:sz w:val="18"/>
                <w:szCs w:val="18"/>
              </w:rPr>
            </w:pPr>
            <w:r w:rsidRPr="00584315">
              <w:rPr>
                <w:sz w:val="18"/>
                <w:szCs w:val="18"/>
              </w:rPr>
              <w:t>323.95%</w:t>
            </w:r>
          </w:p>
        </w:tc>
        <w:tc>
          <w:tcPr>
            <w:tcW w:w="1291" w:type="dxa"/>
            <w:vAlign w:val="bottom"/>
          </w:tcPr>
          <w:p w:rsidR="00D11B62" w:rsidRPr="00584315" w:rsidRDefault="00D11B62" w:rsidP="00D11B62">
            <w:pPr>
              <w:keepNext/>
              <w:keepLines/>
              <w:widowControl w:val="0"/>
              <w:jc w:val="center"/>
              <w:rPr>
                <w:sz w:val="18"/>
                <w:szCs w:val="18"/>
              </w:rPr>
            </w:pPr>
            <w:r w:rsidRPr="00584315">
              <w:rPr>
                <w:sz w:val="18"/>
                <w:szCs w:val="18"/>
              </w:rPr>
              <w:t>392.53%</w:t>
            </w:r>
          </w:p>
        </w:tc>
        <w:tc>
          <w:tcPr>
            <w:tcW w:w="1291" w:type="dxa"/>
            <w:vAlign w:val="bottom"/>
          </w:tcPr>
          <w:p w:rsidR="00D11B62" w:rsidRPr="00584315" w:rsidRDefault="00D11B62" w:rsidP="00D11B62">
            <w:pPr>
              <w:keepNext/>
              <w:keepLines/>
              <w:widowControl w:val="0"/>
              <w:jc w:val="center"/>
              <w:rPr>
                <w:sz w:val="18"/>
                <w:szCs w:val="18"/>
              </w:rPr>
            </w:pPr>
            <w:r w:rsidRPr="00584315">
              <w:rPr>
                <w:sz w:val="18"/>
                <w:szCs w:val="18"/>
              </w:rPr>
              <w:t>721.57%</w:t>
            </w:r>
          </w:p>
        </w:tc>
        <w:tc>
          <w:tcPr>
            <w:tcW w:w="1269" w:type="dxa"/>
            <w:vAlign w:val="bottom"/>
          </w:tcPr>
          <w:p w:rsidR="00D11B62" w:rsidRPr="00584315" w:rsidRDefault="00D11B62" w:rsidP="00D11B62">
            <w:pPr>
              <w:keepNext/>
              <w:keepLines/>
              <w:widowControl w:val="0"/>
              <w:jc w:val="center"/>
              <w:rPr>
                <w:sz w:val="18"/>
                <w:szCs w:val="18"/>
              </w:rPr>
            </w:pPr>
            <w:r w:rsidRPr="00584315">
              <w:rPr>
                <w:sz w:val="18"/>
                <w:szCs w:val="18"/>
              </w:rPr>
              <w:t>677.63%</w:t>
            </w:r>
          </w:p>
        </w:tc>
        <w:tc>
          <w:tcPr>
            <w:tcW w:w="1269" w:type="dxa"/>
            <w:vAlign w:val="bottom"/>
          </w:tcPr>
          <w:p w:rsidR="00D11B62" w:rsidRPr="00584315" w:rsidRDefault="00D11B62" w:rsidP="00D11B62">
            <w:pPr>
              <w:keepNext/>
              <w:keepLines/>
              <w:widowControl w:val="0"/>
              <w:jc w:val="center"/>
              <w:rPr>
                <w:sz w:val="18"/>
                <w:szCs w:val="18"/>
              </w:rPr>
            </w:pPr>
            <w:r w:rsidRPr="00584315">
              <w:rPr>
                <w:sz w:val="18"/>
                <w:szCs w:val="18"/>
              </w:rPr>
              <w:t>398.62%</w:t>
            </w:r>
          </w:p>
        </w:tc>
        <w:tc>
          <w:tcPr>
            <w:tcW w:w="1269" w:type="dxa"/>
            <w:vAlign w:val="bottom"/>
          </w:tcPr>
          <w:p w:rsidR="00D11B62" w:rsidRPr="00584315" w:rsidRDefault="00D11B62" w:rsidP="00D11B62">
            <w:pPr>
              <w:keepNext/>
              <w:keepLines/>
              <w:widowControl w:val="0"/>
              <w:jc w:val="center"/>
              <w:rPr>
                <w:sz w:val="18"/>
                <w:szCs w:val="18"/>
              </w:rPr>
            </w:pPr>
            <w:r w:rsidRPr="00584315">
              <w:rPr>
                <w:sz w:val="18"/>
                <w:szCs w:val="18"/>
              </w:rPr>
              <w:t>366.77%</w:t>
            </w:r>
          </w:p>
        </w:tc>
        <w:tc>
          <w:tcPr>
            <w:tcW w:w="1269" w:type="dxa"/>
          </w:tcPr>
          <w:p w:rsidR="00D11B62" w:rsidRPr="00584315" w:rsidRDefault="00D11B62" w:rsidP="00D11B62">
            <w:pPr>
              <w:keepNext/>
              <w:keepLines/>
              <w:widowControl w:val="0"/>
              <w:jc w:val="center"/>
              <w:rPr>
                <w:sz w:val="18"/>
                <w:szCs w:val="18"/>
              </w:rPr>
            </w:pPr>
          </w:p>
          <w:p w:rsidR="00D11B62" w:rsidRPr="00584315" w:rsidRDefault="00D11B62" w:rsidP="00D11B62">
            <w:pPr>
              <w:keepNext/>
              <w:keepLines/>
              <w:widowControl w:val="0"/>
              <w:jc w:val="center"/>
              <w:rPr>
                <w:sz w:val="18"/>
                <w:szCs w:val="18"/>
              </w:rPr>
            </w:pPr>
          </w:p>
          <w:p w:rsidR="00D11B62" w:rsidRPr="00584315" w:rsidRDefault="00D11B62" w:rsidP="00D11B62">
            <w:pPr>
              <w:keepNext/>
              <w:keepLines/>
              <w:widowControl w:val="0"/>
              <w:jc w:val="center"/>
              <w:rPr>
                <w:sz w:val="18"/>
                <w:szCs w:val="18"/>
              </w:rPr>
            </w:pPr>
            <w:r w:rsidRPr="00584315">
              <w:rPr>
                <w:sz w:val="18"/>
                <w:szCs w:val="18"/>
              </w:rPr>
              <w:t>359.92%</w:t>
            </w:r>
          </w:p>
        </w:tc>
      </w:tr>
      <w:tr w:rsidR="00D11B62" w:rsidRPr="00584315" w:rsidTr="00D11B62">
        <w:trPr>
          <w:jc w:val="center"/>
        </w:trPr>
        <w:tc>
          <w:tcPr>
            <w:tcW w:w="11218" w:type="dxa"/>
            <w:gridSpan w:val="8"/>
            <w:vAlign w:val="bottom"/>
          </w:tcPr>
          <w:p w:rsidR="00D11B62" w:rsidRPr="00584315" w:rsidRDefault="00D11B62" w:rsidP="00D11B62">
            <w:pPr>
              <w:keepNext/>
              <w:keepLines/>
              <w:widowControl w:val="0"/>
              <w:jc w:val="left"/>
              <w:rPr>
                <w:sz w:val="16"/>
                <w:szCs w:val="16"/>
                <w:u w:val="single"/>
              </w:rPr>
            </w:pPr>
            <w:r w:rsidRPr="00584315">
              <w:rPr>
                <w:sz w:val="16"/>
                <w:szCs w:val="16"/>
                <w:u w:val="single"/>
              </w:rPr>
              <w:tab/>
            </w:r>
            <w:r w:rsidRPr="00584315">
              <w:rPr>
                <w:sz w:val="16"/>
                <w:szCs w:val="16"/>
                <w:u w:val="single"/>
              </w:rPr>
              <w:tab/>
            </w:r>
            <w:r w:rsidRPr="00584315">
              <w:rPr>
                <w:sz w:val="16"/>
                <w:szCs w:val="16"/>
                <w:u w:val="single"/>
              </w:rPr>
              <w:tab/>
            </w:r>
          </w:p>
          <w:p w:rsidR="00D11B62" w:rsidRPr="00584315" w:rsidRDefault="00D11B62" w:rsidP="00D11B62">
            <w:pPr>
              <w:keepNext/>
              <w:keepLines/>
              <w:widowControl w:val="0"/>
              <w:ind w:left="129" w:hanging="129"/>
              <w:jc w:val="left"/>
              <w:rPr>
                <w:sz w:val="16"/>
                <w:szCs w:val="16"/>
                <w:vertAlign w:val="superscript"/>
              </w:rPr>
            </w:pPr>
            <w:r w:rsidRPr="00584315">
              <w:rPr>
                <w:sz w:val="16"/>
                <w:szCs w:val="16"/>
                <w:vertAlign w:val="superscript"/>
              </w:rPr>
              <w:t>1</w:t>
            </w:r>
            <w:r w:rsidRPr="00584315">
              <w:rPr>
                <w:sz w:val="16"/>
                <w:szCs w:val="16"/>
              </w:rPr>
              <w:tab/>
              <w:t>Information for years prior to 2013 is not available.</w:t>
            </w:r>
          </w:p>
          <w:p w:rsidR="00D11B62" w:rsidRPr="00584315" w:rsidRDefault="00D11B62" w:rsidP="00D11B62">
            <w:pPr>
              <w:keepNext/>
              <w:keepLines/>
              <w:widowControl w:val="0"/>
              <w:ind w:left="129" w:hanging="129"/>
              <w:jc w:val="left"/>
              <w:rPr>
                <w:sz w:val="16"/>
                <w:szCs w:val="16"/>
              </w:rPr>
            </w:pPr>
            <w:r w:rsidRPr="00584315">
              <w:rPr>
                <w:sz w:val="16"/>
                <w:szCs w:val="16"/>
                <w:vertAlign w:val="superscript"/>
              </w:rPr>
              <w:t>2</w:t>
            </w:r>
            <w:r w:rsidRPr="00584315">
              <w:rPr>
                <w:sz w:val="16"/>
                <w:szCs w:val="16"/>
              </w:rPr>
              <w:tab/>
              <w:t>Government accounting standards require that pension liabilities for financial reporting purposes be measured using the plan provisions in effect at the pension plan’s year-end.  Therefore, unlike the tables in “—Funding Status of the State Division Plan” above, the changes made by S.B. 18-200 are not reflected in this table for years 2013-2017.</w:t>
            </w:r>
          </w:p>
          <w:p w:rsidR="00D11B62" w:rsidRPr="00584315" w:rsidRDefault="00D11B62" w:rsidP="00D11B62">
            <w:pPr>
              <w:keepNext/>
              <w:keepLines/>
              <w:widowControl w:val="0"/>
              <w:ind w:left="129" w:hanging="129"/>
              <w:jc w:val="left"/>
              <w:rPr>
                <w:sz w:val="16"/>
                <w:szCs w:val="16"/>
              </w:rPr>
            </w:pPr>
            <w:r w:rsidRPr="00584315">
              <w:rPr>
                <w:sz w:val="16"/>
                <w:szCs w:val="16"/>
                <w:vertAlign w:val="superscript"/>
              </w:rPr>
              <w:t>3</w:t>
            </w:r>
            <w:r w:rsidRPr="00584315">
              <w:rPr>
                <w:sz w:val="16"/>
                <w:szCs w:val="16"/>
              </w:rPr>
              <w:tab/>
              <w:t>The total pension liability as of December 31, 2019, was determined by actuarial valuations as of December 31, 2018, and accepted actuarial procedures were applied to roll-forward the total pension liability to December 31, 2019.  The actuarial valuations as of December 31, 2018, used the key actuarial methods, assumptions or other inputs discussed in “Funding Status of the State Division Plan” above, except that the fair value (or market value) of assets, rather than a four-year smoothed market value of assets, was used to determine the net pension liability.</w:t>
            </w:r>
          </w:p>
          <w:p w:rsidR="00D11B62" w:rsidRPr="00584315" w:rsidRDefault="00D11B62" w:rsidP="00D11B62">
            <w:pPr>
              <w:keepNext/>
              <w:keepLines/>
              <w:widowControl w:val="0"/>
              <w:ind w:left="129" w:hanging="129"/>
              <w:jc w:val="left"/>
              <w:rPr>
                <w:sz w:val="16"/>
                <w:szCs w:val="16"/>
              </w:rPr>
            </w:pPr>
            <w:r w:rsidRPr="00584315">
              <w:rPr>
                <w:sz w:val="16"/>
                <w:szCs w:val="16"/>
                <w:vertAlign w:val="superscript"/>
              </w:rPr>
              <w:t>4</w:t>
            </w:r>
            <w:r w:rsidRPr="00584315">
              <w:rPr>
                <w:sz w:val="16"/>
                <w:szCs w:val="16"/>
              </w:rPr>
              <w:tab/>
              <w:t>The decrease in the total pension liability at December 31, 2018, is primarily due to changing from a blended discount rate to a discount rate equal to the long-term assumed rate of return in accordance with GASB 67.</w:t>
            </w:r>
          </w:p>
          <w:p w:rsidR="00D11B62" w:rsidRPr="00584315" w:rsidRDefault="00D11B62" w:rsidP="00D11B62">
            <w:pPr>
              <w:rPr>
                <w:sz w:val="18"/>
                <w:szCs w:val="18"/>
              </w:rPr>
            </w:pPr>
            <w:r w:rsidRPr="00584315">
              <w:rPr>
                <w:sz w:val="16"/>
                <w:szCs w:val="16"/>
              </w:rPr>
              <w:t>Source: PERA 2019 CAFR</w:t>
            </w:r>
          </w:p>
        </w:tc>
      </w:tr>
    </w:tbl>
    <w:p w:rsidR="00D11B62" w:rsidRDefault="00D11B62" w:rsidP="00347EFC"/>
    <w:p w:rsidR="005C6B61" w:rsidRDefault="005C6B61" w:rsidP="005C6B61">
      <w:pPr>
        <w:pStyle w:val="OSappendixsubheading0"/>
      </w:pPr>
      <w:r>
        <w:t>Investment of State Division Plan Assets</w:t>
      </w:r>
    </w:p>
    <w:p w:rsidR="005C6B61" w:rsidRDefault="005C6B61" w:rsidP="005C6B61">
      <w:pPr>
        <w:pStyle w:val="BodyText1"/>
      </w:pPr>
      <w:r>
        <w:t>State law authorizes the investment of PERA’s funds by the PERA Board, subject to the following limitations:</w:t>
      </w:r>
    </w:p>
    <w:p w:rsidR="005C6B61" w:rsidRDefault="005C6B61" w:rsidP="005C6B61">
      <w:pPr>
        <w:pStyle w:val="BodyText1"/>
      </w:pPr>
      <w:r>
        <w:t>•</w:t>
      </w:r>
      <w:r>
        <w:tab/>
        <w:t>The aggregate amount of investment trust shares, corporate stocks, corporate bonds and convertible debentures cannot exceed 65% of the book value of the fund.</w:t>
      </w:r>
    </w:p>
    <w:p w:rsidR="005C6B61" w:rsidRDefault="005C6B61" w:rsidP="005C6B61">
      <w:pPr>
        <w:pStyle w:val="BodyText1"/>
      </w:pPr>
      <w:r>
        <w:t>•</w:t>
      </w:r>
      <w:r>
        <w:tab/>
        <w:t>Neither common nor preferred stock of a single corporation can exceed 5% of the book value of the fund.</w:t>
      </w:r>
    </w:p>
    <w:p w:rsidR="005C6B61" w:rsidRDefault="005C6B61" w:rsidP="005C6B61">
      <w:pPr>
        <w:pStyle w:val="BodyText1"/>
      </w:pPr>
      <w:r>
        <w:t>•</w:t>
      </w:r>
      <w:r>
        <w:tab/>
        <w:t>The fund cannot acquire more than 12% of the outstanding stocks or bonds of a single corporation.</w:t>
      </w:r>
    </w:p>
    <w:p w:rsidR="005C6B61" w:rsidRDefault="005C6B61" w:rsidP="005C6B61">
      <w:pPr>
        <w:pStyle w:val="BodyText1"/>
      </w:pPr>
      <w:r>
        <w:t>See Note 5 to the financial statements and the Investment Section of the PERA 2019 CAFR for additional discussion of PERA’s investment responsibilities and investment policies.</w:t>
      </w:r>
    </w:p>
    <w:p w:rsidR="005C6B61" w:rsidRDefault="005C6B61" w:rsidP="005C6B61">
      <w:pPr>
        <w:pStyle w:val="BodyText1"/>
      </w:pPr>
      <w:r>
        <w:t>Implementation of Changes in Pension Accounting Standards Applicable to the State – GASB 68 and GASB 75</w:t>
      </w:r>
    </w:p>
    <w:p w:rsidR="005C6B61" w:rsidRDefault="005C6B61" w:rsidP="005C6B61">
      <w:pPr>
        <w:pStyle w:val="BodyText1"/>
      </w:pPr>
      <w:r>
        <w:t>GASB Statement No. 68, “Accounting and Financial Reporting for Pensions” (“GASB 68”) is a GASB pronouncement that is related to GASB 67 and applicable to governmental entities, such as the State, that provide their employees with pension benefits.  GASB 68 is effective for fiscal years beginning after June 15, 2014, and accordingly has been implemented beginning with the State’s Fiscal Year 2014-15 CAFR.  GASB 68 revises and establishes new financial reporting requirements for governmental entities, and, among other things, requires cost-sharing employers participating in defined benefit plans to record their proportionate share of the unfunded pension liability.  See Table 2 in this Appendix for the UAAL of the State Division Plan for the past ten years as set forth in the PERA 2019 CAFR.</w:t>
      </w:r>
    </w:p>
    <w:p w:rsidR="005C6B61" w:rsidRDefault="005C6B61" w:rsidP="005C6B61">
      <w:pPr>
        <w:pStyle w:val="BodyText1"/>
      </w:pPr>
      <w:r>
        <w:t>The State reported a net pension liability in the State’s Fiscal Year 2018-19 CAFR of approximately $13.531 billion at June 30, 2019, compared to a reported net pension liability in the State’s Fiscal Year 2017-18 CAFR of approximately $19.382 billion at June 30, 2018.  The amounts presented for each Division were determined as of the calendar year-end that occurred within the Fiscal Year.  See also Note 6 to the State’s Fiscal Year 2018-19 CAFR appended to this Official Statement for a description of the methodology utilized to determine these amounts.</w:t>
      </w:r>
    </w:p>
    <w:p w:rsidR="005C6B61" w:rsidRDefault="005C6B61" w:rsidP="005C6B61">
      <w:pPr>
        <w:pStyle w:val="BodyText1"/>
      </w:pPr>
      <w:r>
        <w:t>There is a difference between the net pension liability for the State reported by PERA and the State in their respective financial statements.  The difference results from PERA’s inclusion of employers in the State Division and the Judicial Division which are not included in the State’s financial statement reporting entity.  The PERA Board has statutory authority to assign employers to the State Division and Judicial Division that are not part of the State’s financial statement reporting entity as defined by GASB Statement No. 14, as amended by GASB Statements No. 39 and 61.  Examples of these employers in the State Division include Pinnacol Insurance, Fire and Police Pension Association and District Attorneys.  Denver County Courts is the only Judicial Division employer that is not part of the State’s financial statement reporting entity.  The State includes in its financial statements a percentage of the net pension liability reported by PERA in its financial statements for each Division to determine the State’s proportionate share in accordance with requirements of GASB 68.  Additional information concerning the State’s reporting entity can found in Note 1 to the State’s Fiscal Year 2018-19 CAFR appended to this Official Statement, and additional information concerning the proportionate share calculation can be found in Note 6 of the State’s Fiscal Year 2018-19 CAFR.</w:t>
      </w:r>
    </w:p>
    <w:p w:rsidR="005C6B61" w:rsidRDefault="005C6B61" w:rsidP="005C6B61"/>
    <w:p w:rsidR="005C6B61" w:rsidRDefault="005C6B61" w:rsidP="005C6B61">
      <w:pPr>
        <w:jc w:val="center"/>
      </w:pPr>
      <w:r>
        <w:t>[Remainder of page intentionally left blank]</w:t>
      </w:r>
    </w:p>
    <w:p w:rsidR="005C6B61" w:rsidRDefault="005C6B61" w:rsidP="005C6B61"/>
    <w:p w:rsidR="005C6B61" w:rsidRDefault="005C6B61" w:rsidP="005C6B61"/>
    <w:p w:rsidR="005C6B61" w:rsidRDefault="005C6B61">
      <w:pPr>
        <w:spacing w:after="160" w:line="259" w:lineRule="auto"/>
        <w:jc w:val="left"/>
      </w:pPr>
      <w:r>
        <w:br w:type="page"/>
      </w:r>
    </w:p>
    <w:p w:rsidR="00D11B62" w:rsidRDefault="005C6B61" w:rsidP="005C6B61">
      <w:pPr>
        <w:pStyle w:val="BodyText1"/>
      </w:pPr>
      <w:r>
        <w:t>The State’s proportionate share of the net pension liability at the end of calendar years 2013-2018 in accordance with requirements of GASB 68 is set forth in the following table.</w:t>
      </w:r>
    </w:p>
    <w:tbl>
      <w:tblPr>
        <w:tblStyle w:val="TableGrid30"/>
        <w:tblW w:w="1011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77"/>
        <w:gridCol w:w="1012"/>
        <w:gridCol w:w="990"/>
        <w:gridCol w:w="1017"/>
        <w:gridCol w:w="873"/>
        <w:gridCol w:w="904"/>
        <w:gridCol w:w="17"/>
        <w:gridCol w:w="904"/>
        <w:gridCol w:w="17"/>
      </w:tblGrid>
      <w:tr w:rsidR="005C6B61" w:rsidRPr="00584315" w:rsidTr="000D32C5">
        <w:trPr>
          <w:jc w:val="center"/>
        </w:trPr>
        <w:tc>
          <w:tcPr>
            <w:tcW w:w="10111" w:type="dxa"/>
            <w:gridSpan w:val="9"/>
          </w:tcPr>
          <w:p w:rsidR="005C6B61" w:rsidRPr="00584315" w:rsidRDefault="005C6B61" w:rsidP="000D32C5">
            <w:pPr>
              <w:keepNext/>
              <w:keepLines/>
              <w:widowControl w:val="0"/>
              <w:jc w:val="center"/>
              <w:rPr>
                <w:sz w:val="18"/>
                <w:szCs w:val="18"/>
              </w:rPr>
            </w:pPr>
            <w:r w:rsidRPr="00584315">
              <w:rPr>
                <w:sz w:val="18"/>
                <w:szCs w:val="18"/>
              </w:rPr>
              <w:t>Table 6</w:t>
            </w:r>
          </w:p>
          <w:p w:rsidR="005C6B61" w:rsidRPr="00584315" w:rsidRDefault="005C6B61" w:rsidP="000D32C5">
            <w:pPr>
              <w:keepNext/>
              <w:keepLines/>
              <w:widowControl w:val="0"/>
              <w:jc w:val="center"/>
              <w:rPr>
                <w:sz w:val="18"/>
                <w:szCs w:val="18"/>
              </w:rPr>
            </w:pPr>
            <w:r w:rsidRPr="00584315">
              <w:rPr>
                <w:sz w:val="18"/>
                <w:szCs w:val="18"/>
              </w:rPr>
              <w:t>State’s (Primary Government’s) Proportionate</w:t>
            </w:r>
          </w:p>
          <w:p w:rsidR="005C6B61" w:rsidRPr="00584315" w:rsidRDefault="005C6B61" w:rsidP="000D32C5">
            <w:pPr>
              <w:keepNext/>
              <w:keepLines/>
              <w:widowControl w:val="0"/>
              <w:jc w:val="center"/>
              <w:rPr>
                <w:sz w:val="18"/>
                <w:szCs w:val="18"/>
              </w:rPr>
            </w:pPr>
            <w:r w:rsidRPr="00584315">
              <w:rPr>
                <w:sz w:val="18"/>
                <w:szCs w:val="18"/>
              </w:rPr>
              <w:t>Share of the Net Pension Liability</w:t>
            </w:r>
            <w:r w:rsidRPr="00584315">
              <w:rPr>
                <w:sz w:val="18"/>
                <w:szCs w:val="18"/>
                <w:vertAlign w:val="superscript"/>
              </w:rPr>
              <w:t>1</w:t>
            </w:r>
          </w:p>
          <w:p w:rsidR="005C6B61" w:rsidRPr="00584315" w:rsidRDefault="005C6B61" w:rsidP="000D32C5">
            <w:pPr>
              <w:spacing w:after="240"/>
              <w:jc w:val="center"/>
              <w:rPr>
                <w:sz w:val="18"/>
                <w:szCs w:val="18"/>
              </w:rPr>
            </w:pPr>
            <w:r w:rsidRPr="00584315">
              <w:rPr>
                <w:sz w:val="18"/>
                <w:szCs w:val="18"/>
              </w:rPr>
              <w:t>(Dollar Amounts in Thousands)</w:t>
            </w:r>
          </w:p>
          <w:p w:rsidR="005C6B61" w:rsidRPr="00584315" w:rsidRDefault="005C6B61" w:rsidP="000D32C5">
            <w:pPr>
              <w:spacing w:after="240"/>
              <w:jc w:val="center"/>
              <w:rPr>
                <w:sz w:val="16"/>
                <w:szCs w:val="16"/>
              </w:rPr>
            </w:pPr>
            <w:r w:rsidRPr="00584315">
              <w:rPr>
                <w:sz w:val="18"/>
                <w:szCs w:val="18"/>
                <w:u w:val="single"/>
              </w:rPr>
              <w:t>State Division</w:t>
            </w:r>
          </w:p>
        </w:tc>
      </w:tr>
      <w:tr w:rsidR="005C6B61" w:rsidRPr="00584315" w:rsidTr="000D32C5">
        <w:trPr>
          <w:jc w:val="center"/>
        </w:trPr>
        <w:tc>
          <w:tcPr>
            <w:tcW w:w="4377" w:type="dxa"/>
          </w:tcPr>
          <w:p w:rsidR="005C6B61" w:rsidRPr="00584315" w:rsidRDefault="005C6B61" w:rsidP="000D32C5">
            <w:pPr>
              <w:keepNext/>
              <w:keepLines/>
              <w:widowControl w:val="0"/>
              <w:spacing w:after="60"/>
              <w:rPr>
                <w:sz w:val="16"/>
                <w:szCs w:val="16"/>
              </w:rPr>
            </w:pPr>
          </w:p>
        </w:tc>
        <w:tc>
          <w:tcPr>
            <w:tcW w:w="5734" w:type="dxa"/>
            <w:gridSpan w:val="8"/>
          </w:tcPr>
          <w:p w:rsidR="005C6B61" w:rsidRPr="00584315" w:rsidRDefault="005C6B61" w:rsidP="000D32C5">
            <w:pPr>
              <w:keepNext/>
              <w:keepLines/>
              <w:widowControl w:val="0"/>
              <w:pBdr>
                <w:bottom w:val="single" w:sz="4" w:space="1" w:color="auto"/>
              </w:pBdr>
              <w:spacing w:after="60"/>
              <w:jc w:val="center"/>
              <w:rPr>
                <w:sz w:val="16"/>
                <w:szCs w:val="16"/>
              </w:rPr>
            </w:pPr>
            <w:r w:rsidRPr="00584315">
              <w:rPr>
                <w:sz w:val="16"/>
                <w:szCs w:val="16"/>
              </w:rPr>
              <w:t>Calendar Year</w:t>
            </w:r>
          </w:p>
        </w:tc>
      </w:tr>
      <w:tr w:rsidR="005C6B61" w:rsidRPr="00584315" w:rsidTr="000D32C5">
        <w:trPr>
          <w:jc w:val="center"/>
        </w:trPr>
        <w:tc>
          <w:tcPr>
            <w:tcW w:w="4377" w:type="dxa"/>
          </w:tcPr>
          <w:p w:rsidR="005C6B61" w:rsidRPr="00584315" w:rsidRDefault="005C6B61" w:rsidP="000D32C5">
            <w:pPr>
              <w:keepNext/>
              <w:keepLines/>
              <w:widowControl w:val="0"/>
              <w:spacing w:after="60"/>
              <w:rPr>
                <w:sz w:val="16"/>
                <w:szCs w:val="16"/>
              </w:rPr>
            </w:pPr>
          </w:p>
        </w:tc>
        <w:tc>
          <w:tcPr>
            <w:tcW w:w="1012" w:type="dxa"/>
          </w:tcPr>
          <w:p w:rsidR="005C6B61" w:rsidRPr="00584315" w:rsidRDefault="005C6B61" w:rsidP="000D32C5">
            <w:pPr>
              <w:keepNext/>
              <w:keepLines/>
              <w:widowControl w:val="0"/>
              <w:pBdr>
                <w:bottom w:val="single" w:sz="4" w:space="1" w:color="auto"/>
              </w:pBdr>
              <w:spacing w:after="60"/>
              <w:jc w:val="center"/>
              <w:rPr>
                <w:sz w:val="16"/>
                <w:szCs w:val="16"/>
              </w:rPr>
            </w:pPr>
            <w:r w:rsidRPr="00584315">
              <w:rPr>
                <w:sz w:val="16"/>
                <w:szCs w:val="16"/>
              </w:rPr>
              <w:t>2018</w:t>
            </w:r>
          </w:p>
        </w:tc>
        <w:tc>
          <w:tcPr>
            <w:tcW w:w="990" w:type="dxa"/>
          </w:tcPr>
          <w:p w:rsidR="005C6B61" w:rsidRPr="00584315" w:rsidRDefault="005C6B61" w:rsidP="000D32C5">
            <w:pPr>
              <w:keepNext/>
              <w:keepLines/>
              <w:widowControl w:val="0"/>
              <w:pBdr>
                <w:bottom w:val="single" w:sz="4" w:space="1" w:color="auto"/>
              </w:pBdr>
              <w:spacing w:after="60"/>
              <w:jc w:val="center"/>
              <w:rPr>
                <w:sz w:val="16"/>
                <w:szCs w:val="16"/>
              </w:rPr>
            </w:pPr>
            <w:r w:rsidRPr="00584315">
              <w:rPr>
                <w:sz w:val="16"/>
                <w:szCs w:val="16"/>
              </w:rPr>
              <w:t>2017</w:t>
            </w:r>
          </w:p>
        </w:tc>
        <w:tc>
          <w:tcPr>
            <w:tcW w:w="1017" w:type="dxa"/>
          </w:tcPr>
          <w:p w:rsidR="005C6B61" w:rsidRPr="00584315" w:rsidRDefault="005C6B61" w:rsidP="000D32C5">
            <w:pPr>
              <w:keepNext/>
              <w:keepLines/>
              <w:widowControl w:val="0"/>
              <w:pBdr>
                <w:bottom w:val="single" w:sz="4" w:space="1" w:color="auto"/>
              </w:pBdr>
              <w:spacing w:after="60"/>
              <w:jc w:val="center"/>
              <w:rPr>
                <w:sz w:val="16"/>
                <w:szCs w:val="16"/>
              </w:rPr>
            </w:pPr>
            <w:r w:rsidRPr="00584315">
              <w:rPr>
                <w:sz w:val="16"/>
                <w:szCs w:val="16"/>
              </w:rPr>
              <w:t>2016</w:t>
            </w:r>
          </w:p>
        </w:tc>
        <w:tc>
          <w:tcPr>
            <w:tcW w:w="873" w:type="dxa"/>
          </w:tcPr>
          <w:p w:rsidR="005C6B61" w:rsidRPr="00584315" w:rsidRDefault="005C6B61" w:rsidP="000D32C5">
            <w:pPr>
              <w:keepNext/>
              <w:keepLines/>
              <w:widowControl w:val="0"/>
              <w:pBdr>
                <w:bottom w:val="single" w:sz="4" w:space="1" w:color="auto"/>
              </w:pBdr>
              <w:spacing w:after="60"/>
              <w:jc w:val="center"/>
              <w:rPr>
                <w:sz w:val="16"/>
                <w:szCs w:val="16"/>
              </w:rPr>
            </w:pPr>
            <w:r w:rsidRPr="00584315">
              <w:rPr>
                <w:sz w:val="16"/>
                <w:szCs w:val="16"/>
              </w:rPr>
              <w:t>2015</w:t>
            </w:r>
          </w:p>
        </w:tc>
        <w:tc>
          <w:tcPr>
            <w:tcW w:w="921" w:type="dxa"/>
            <w:gridSpan w:val="2"/>
          </w:tcPr>
          <w:p w:rsidR="005C6B61" w:rsidRPr="00584315" w:rsidRDefault="005C6B61" w:rsidP="000D32C5">
            <w:pPr>
              <w:keepNext/>
              <w:keepLines/>
              <w:widowControl w:val="0"/>
              <w:pBdr>
                <w:bottom w:val="single" w:sz="4" w:space="1" w:color="auto"/>
              </w:pBdr>
              <w:spacing w:after="60"/>
              <w:jc w:val="center"/>
              <w:rPr>
                <w:sz w:val="16"/>
                <w:szCs w:val="16"/>
              </w:rPr>
            </w:pPr>
            <w:r w:rsidRPr="00584315">
              <w:rPr>
                <w:sz w:val="16"/>
                <w:szCs w:val="16"/>
              </w:rPr>
              <w:t>2014</w:t>
            </w:r>
          </w:p>
        </w:tc>
        <w:tc>
          <w:tcPr>
            <w:tcW w:w="921" w:type="dxa"/>
            <w:gridSpan w:val="2"/>
          </w:tcPr>
          <w:p w:rsidR="005C6B61" w:rsidRPr="00584315" w:rsidRDefault="005C6B61" w:rsidP="000D32C5">
            <w:pPr>
              <w:keepNext/>
              <w:keepLines/>
              <w:widowControl w:val="0"/>
              <w:pBdr>
                <w:bottom w:val="single" w:sz="4" w:space="1" w:color="auto"/>
              </w:pBdr>
              <w:spacing w:after="60"/>
              <w:jc w:val="center"/>
              <w:rPr>
                <w:sz w:val="16"/>
                <w:szCs w:val="16"/>
              </w:rPr>
            </w:pPr>
            <w:r w:rsidRPr="00584315">
              <w:rPr>
                <w:sz w:val="16"/>
                <w:szCs w:val="16"/>
              </w:rPr>
              <w:t>2013</w:t>
            </w:r>
          </w:p>
        </w:tc>
      </w:tr>
      <w:tr w:rsidR="005C6B61" w:rsidRPr="00584315" w:rsidTr="000D32C5">
        <w:trPr>
          <w:gridAfter w:val="1"/>
          <w:wAfter w:w="17" w:type="dxa"/>
          <w:jc w:val="center"/>
        </w:trPr>
        <w:tc>
          <w:tcPr>
            <w:tcW w:w="4377" w:type="dxa"/>
            <w:vAlign w:val="bottom"/>
          </w:tcPr>
          <w:p w:rsidR="005C6B61" w:rsidRPr="00584315" w:rsidRDefault="005C6B61" w:rsidP="000D32C5">
            <w:pPr>
              <w:keepNext/>
              <w:keepLines/>
              <w:widowControl w:val="0"/>
              <w:ind w:left="112" w:hanging="112"/>
              <w:jc w:val="left"/>
              <w:rPr>
                <w:sz w:val="15"/>
                <w:szCs w:val="15"/>
              </w:rPr>
            </w:pPr>
            <w:r w:rsidRPr="00584315">
              <w:rPr>
                <w:sz w:val="15"/>
                <w:szCs w:val="15"/>
              </w:rPr>
              <w:t xml:space="preserve">State’s proportion of the net pension liability </w:t>
            </w:r>
          </w:p>
          <w:p w:rsidR="005C6B61" w:rsidRPr="00584315" w:rsidRDefault="005C6B61" w:rsidP="000D32C5">
            <w:pPr>
              <w:keepNext/>
              <w:keepLines/>
              <w:widowControl w:val="0"/>
              <w:ind w:left="112" w:hanging="112"/>
              <w:jc w:val="left"/>
              <w:rPr>
                <w:sz w:val="15"/>
                <w:szCs w:val="15"/>
              </w:rPr>
            </w:pPr>
          </w:p>
        </w:tc>
        <w:tc>
          <w:tcPr>
            <w:tcW w:w="1012" w:type="dxa"/>
          </w:tcPr>
          <w:p w:rsidR="005C6B61" w:rsidRPr="00584315" w:rsidRDefault="005C6B61" w:rsidP="000D32C5">
            <w:pPr>
              <w:keepNext/>
              <w:keepLines/>
              <w:widowControl w:val="0"/>
              <w:jc w:val="right"/>
              <w:rPr>
                <w:sz w:val="14"/>
                <w:szCs w:val="14"/>
              </w:rPr>
            </w:pPr>
            <w:r w:rsidRPr="00584315">
              <w:rPr>
                <w:sz w:val="14"/>
                <w:szCs w:val="14"/>
              </w:rPr>
              <w:t>95.95%</w:t>
            </w:r>
          </w:p>
        </w:tc>
        <w:tc>
          <w:tcPr>
            <w:tcW w:w="990" w:type="dxa"/>
          </w:tcPr>
          <w:p w:rsidR="005C6B61" w:rsidRPr="00584315" w:rsidRDefault="005C6B61" w:rsidP="000D32C5">
            <w:pPr>
              <w:keepNext/>
              <w:keepLines/>
              <w:widowControl w:val="0"/>
              <w:jc w:val="right"/>
              <w:rPr>
                <w:sz w:val="14"/>
                <w:szCs w:val="14"/>
              </w:rPr>
            </w:pPr>
            <w:r w:rsidRPr="00584315">
              <w:rPr>
                <w:sz w:val="14"/>
                <w:szCs w:val="14"/>
              </w:rPr>
              <w:t>95.37%</w:t>
            </w:r>
          </w:p>
        </w:tc>
        <w:tc>
          <w:tcPr>
            <w:tcW w:w="1017" w:type="dxa"/>
          </w:tcPr>
          <w:p w:rsidR="005C6B61" w:rsidRPr="00584315" w:rsidRDefault="005C6B61" w:rsidP="000D32C5">
            <w:pPr>
              <w:keepNext/>
              <w:keepLines/>
              <w:widowControl w:val="0"/>
              <w:jc w:val="right"/>
              <w:rPr>
                <w:sz w:val="14"/>
                <w:szCs w:val="14"/>
              </w:rPr>
            </w:pPr>
            <w:r w:rsidRPr="00584315">
              <w:rPr>
                <w:sz w:val="14"/>
                <w:szCs w:val="14"/>
              </w:rPr>
              <w:t>95.49%</w:t>
            </w:r>
          </w:p>
        </w:tc>
        <w:tc>
          <w:tcPr>
            <w:tcW w:w="873" w:type="dxa"/>
          </w:tcPr>
          <w:p w:rsidR="005C6B61" w:rsidRPr="00584315" w:rsidRDefault="005C6B61" w:rsidP="000D32C5">
            <w:pPr>
              <w:keepNext/>
              <w:keepLines/>
              <w:widowControl w:val="0"/>
              <w:jc w:val="right"/>
              <w:rPr>
                <w:sz w:val="14"/>
                <w:szCs w:val="14"/>
              </w:rPr>
            </w:pPr>
            <w:r w:rsidRPr="00584315">
              <w:rPr>
                <w:sz w:val="14"/>
                <w:szCs w:val="14"/>
              </w:rPr>
              <w:t>95.71%</w:t>
            </w:r>
          </w:p>
        </w:tc>
        <w:tc>
          <w:tcPr>
            <w:tcW w:w="904" w:type="dxa"/>
          </w:tcPr>
          <w:p w:rsidR="005C6B61" w:rsidRPr="00584315" w:rsidRDefault="005C6B61" w:rsidP="000D32C5">
            <w:pPr>
              <w:keepNext/>
              <w:keepLines/>
              <w:widowControl w:val="0"/>
              <w:jc w:val="right"/>
              <w:rPr>
                <w:sz w:val="14"/>
                <w:szCs w:val="14"/>
              </w:rPr>
            </w:pPr>
            <w:r w:rsidRPr="00584315">
              <w:rPr>
                <w:sz w:val="14"/>
                <w:szCs w:val="14"/>
              </w:rPr>
              <w:t>95.85%</w:t>
            </w:r>
          </w:p>
        </w:tc>
        <w:tc>
          <w:tcPr>
            <w:tcW w:w="921" w:type="dxa"/>
            <w:gridSpan w:val="2"/>
          </w:tcPr>
          <w:p w:rsidR="005C6B61" w:rsidRPr="00584315" w:rsidRDefault="005C6B61" w:rsidP="000D32C5">
            <w:pPr>
              <w:keepNext/>
              <w:keepLines/>
              <w:widowControl w:val="0"/>
              <w:jc w:val="right"/>
              <w:rPr>
                <w:sz w:val="14"/>
                <w:szCs w:val="14"/>
              </w:rPr>
            </w:pPr>
            <w:r w:rsidRPr="00584315">
              <w:rPr>
                <w:sz w:val="14"/>
                <w:szCs w:val="14"/>
              </w:rPr>
              <w:t>95.86%</w:t>
            </w:r>
          </w:p>
        </w:tc>
      </w:tr>
      <w:tr w:rsidR="005C6B61" w:rsidRPr="00584315" w:rsidTr="000D32C5">
        <w:trPr>
          <w:gridAfter w:val="1"/>
          <w:wAfter w:w="17" w:type="dxa"/>
          <w:jc w:val="center"/>
        </w:trPr>
        <w:tc>
          <w:tcPr>
            <w:tcW w:w="4377" w:type="dxa"/>
            <w:vAlign w:val="bottom"/>
          </w:tcPr>
          <w:p w:rsidR="005C6B61" w:rsidRPr="00584315" w:rsidRDefault="005C6B61" w:rsidP="000D32C5">
            <w:pPr>
              <w:keepNext/>
              <w:keepLines/>
              <w:widowControl w:val="0"/>
              <w:ind w:left="112" w:hanging="112"/>
              <w:jc w:val="left"/>
              <w:rPr>
                <w:sz w:val="15"/>
                <w:szCs w:val="15"/>
              </w:rPr>
            </w:pPr>
            <w:r w:rsidRPr="00584315">
              <w:rPr>
                <w:sz w:val="15"/>
                <w:szCs w:val="15"/>
              </w:rPr>
              <w:t xml:space="preserve">State’s proportionate share of net pension liability </w:t>
            </w:r>
          </w:p>
          <w:p w:rsidR="005C6B61" w:rsidRPr="00584315" w:rsidRDefault="005C6B61" w:rsidP="000D32C5">
            <w:pPr>
              <w:keepNext/>
              <w:keepLines/>
              <w:widowControl w:val="0"/>
              <w:ind w:left="112" w:hanging="112"/>
              <w:jc w:val="left"/>
              <w:rPr>
                <w:sz w:val="15"/>
                <w:szCs w:val="15"/>
              </w:rPr>
            </w:pPr>
          </w:p>
        </w:tc>
        <w:tc>
          <w:tcPr>
            <w:tcW w:w="1012" w:type="dxa"/>
          </w:tcPr>
          <w:p w:rsidR="005C6B61" w:rsidRPr="00584315" w:rsidRDefault="005C6B61" w:rsidP="000D32C5">
            <w:pPr>
              <w:keepNext/>
              <w:keepLines/>
              <w:widowControl w:val="0"/>
              <w:jc w:val="right"/>
              <w:rPr>
                <w:sz w:val="14"/>
                <w:szCs w:val="14"/>
              </w:rPr>
            </w:pPr>
            <w:r w:rsidRPr="00584315">
              <w:rPr>
                <w:sz w:val="14"/>
                <w:szCs w:val="14"/>
              </w:rPr>
              <w:t>$10,918,046</w:t>
            </w:r>
          </w:p>
        </w:tc>
        <w:tc>
          <w:tcPr>
            <w:tcW w:w="990" w:type="dxa"/>
          </w:tcPr>
          <w:p w:rsidR="005C6B61" w:rsidRPr="00584315" w:rsidRDefault="005C6B61" w:rsidP="000D32C5">
            <w:pPr>
              <w:keepNext/>
              <w:keepLines/>
              <w:widowControl w:val="0"/>
              <w:jc w:val="right"/>
              <w:rPr>
                <w:sz w:val="14"/>
                <w:szCs w:val="14"/>
              </w:rPr>
            </w:pPr>
            <w:r w:rsidRPr="00584315">
              <w:rPr>
                <w:sz w:val="14"/>
                <w:szCs w:val="14"/>
              </w:rPr>
              <w:t>$19,091,149</w:t>
            </w:r>
          </w:p>
        </w:tc>
        <w:tc>
          <w:tcPr>
            <w:tcW w:w="1017" w:type="dxa"/>
          </w:tcPr>
          <w:p w:rsidR="005C6B61" w:rsidRPr="00584315" w:rsidRDefault="005C6B61" w:rsidP="000D32C5">
            <w:pPr>
              <w:keepNext/>
              <w:keepLines/>
              <w:widowControl w:val="0"/>
              <w:jc w:val="right"/>
              <w:rPr>
                <w:sz w:val="14"/>
                <w:szCs w:val="14"/>
              </w:rPr>
            </w:pPr>
            <w:r w:rsidRPr="00584315">
              <w:rPr>
                <w:sz w:val="14"/>
                <w:szCs w:val="14"/>
              </w:rPr>
              <w:t>$17,539,728</w:t>
            </w:r>
          </w:p>
        </w:tc>
        <w:tc>
          <w:tcPr>
            <w:tcW w:w="873" w:type="dxa"/>
          </w:tcPr>
          <w:p w:rsidR="005C6B61" w:rsidRPr="00584315" w:rsidRDefault="005C6B61" w:rsidP="000D32C5">
            <w:pPr>
              <w:keepNext/>
              <w:keepLines/>
              <w:widowControl w:val="0"/>
              <w:jc w:val="right"/>
              <w:rPr>
                <w:sz w:val="14"/>
                <w:szCs w:val="14"/>
              </w:rPr>
            </w:pPr>
            <w:r w:rsidRPr="00584315">
              <w:rPr>
                <w:sz w:val="14"/>
                <w:szCs w:val="14"/>
              </w:rPr>
              <w:t>$10,079,252</w:t>
            </w:r>
          </w:p>
        </w:tc>
        <w:tc>
          <w:tcPr>
            <w:tcW w:w="904" w:type="dxa"/>
          </w:tcPr>
          <w:p w:rsidR="005C6B61" w:rsidRPr="00584315" w:rsidRDefault="005C6B61" w:rsidP="000D32C5">
            <w:pPr>
              <w:keepNext/>
              <w:keepLines/>
              <w:widowControl w:val="0"/>
              <w:jc w:val="right"/>
              <w:rPr>
                <w:sz w:val="14"/>
                <w:szCs w:val="14"/>
              </w:rPr>
            </w:pPr>
            <w:r w:rsidRPr="00584315">
              <w:rPr>
                <w:sz w:val="14"/>
                <w:szCs w:val="14"/>
              </w:rPr>
              <w:t>$9,016,144</w:t>
            </w:r>
          </w:p>
        </w:tc>
        <w:tc>
          <w:tcPr>
            <w:tcW w:w="921" w:type="dxa"/>
            <w:gridSpan w:val="2"/>
          </w:tcPr>
          <w:p w:rsidR="005C6B61" w:rsidRPr="00584315" w:rsidRDefault="005C6B61" w:rsidP="000D32C5">
            <w:pPr>
              <w:keepNext/>
              <w:keepLines/>
              <w:widowControl w:val="0"/>
              <w:jc w:val="right"/>
              <w:rPr>
                <w:sz w:val="14"/>
                <w:szCs w:val="14"/>
              </w:rPr>
            </w:pPr>
            <w:r w:rsidRPr="00584315">
              <w:rPr>
                <w:sz w:val="14"/>
                <w:szCs w:val="14"/>
              </w:rPr>
              <w:t>$8,539,181</w:t>
            </w:r>
          </w:p>
        </w:tc>
      </w:tr>
      <w:tr w:rsidR="005C6B61" w:rsidRPr="00584315" w:rsidTr="000D32C5">
        <w:trPr>
          <w:gridAfter w:val="1"/>
          <w:wAfter w:w="17" w:type="dxa"/>
          <w:jc w:val="center"/>
        </w:trPr>
        <w:tc>
          <w:tcPr>
            <w:tcW w:w="4377" w:type="dxa"/>
            <w:vAlign w:val="bottom"/>
          </w:tcPr>
          <w:p w:rsidR="005C6B61" w:rsidRPr="00584315" w:rsidRDefault="005C6B61" w:rsidP="000D32C5">
            <w:pPr>
              <w:keepNext/>
              <w:keepLines/>
              <w:widowControl w:val="0"/>
              <w:ind w:left="112" w:hanging="112"/>
              <w:jc w:val="left"/>
              <w:rPr>
                <w:sz w:val="15"/>
                <w:szCs w:val="15"/>
              </w:rPr>
            </w:pPr>
            <w:r w:rsidRPr="00584315">
              <w:rPr>
                <w:sz w:val="15"/>
                <w:szCs w:val="15"/>
              </w:rPr>
              <w:t>State’s covered payroll</w:t>
            </w:r>
          </w:p>
          <w:p w:rsidR="005C6B61" w:rsidRPr="00584315" w:rsidRDefault="005C6B61" w:rsidP="000D32C5">
            <w:pPr>
              <w:keepNext/>
              <w:keepLines/>
              <w:widowControl w:val="0"/>
              <w:ind w:left="112" w:hanging="112"/>
              <w:jc w:val="left"/>
              <w:rPr>
                <w:sz w:val="15"/>
                <w:szCs w:val="15"/>
              </w:rPr>
            </w:pPr>
          </w:p>
        </w:tc>
        <w:tc>
          <w:tcPr>
            <w:tcW w:w="1012" w:type="dxa"/>
          </w:tcPr>
          <w:p w:rsidR="005C6B61" w:rsidRPr="00584315" w:rsidRDefault="005C6B61" w:rsidP="000D32C5">
            <w:pPr>
              <w:keepNext/>
              <w:keepLines/>
              <w:widowControl w:val="0"/>
              <w:jc w:val="right"/>
              <w:rPr>
                <w:sz w:val="14"/>
                <w:szCs w:val="14"/>
              </w:rPr>
            </w:pPr>
            <w:r w:rsidRPr="00584315">
              <w:rPr>
                <w:sz w:val="14"/>
                <w:szCs w:val="14"/>
              </w:rPr>
              <w:t>$3,262,962</w:t>
            </w:r>
          </w:p>
        </w:tc>
        <w:tc>
          <w:tcPr>
            <w:tcW w:w="990" w:type="dxa"/>
          </w:tcPr>
          <w:p w:rsidR="005C6B61" w:rsidRPr="00584315" w:rsidRDefault="005C6B61" w:rsidP="000D32C5">
            <w:pPr>
              <w:keepNext/>
              <w:keepLines/>
              <w:widowControl w:val="0"/>
              <w:jc w:val="right"/>
              <w:rPr>
                <w:sz w:val="14"/>
                <w:szCs w:val="14"/>
              </w:rPr>
            </w:pPr>
            <w:r w:rsidRPr="00584315">
              <w:rPr>
                <w:sz w:val="14"/>
                <w:szCs w:val="14"/>
              </w:rPr>
              <w:t>$2,796,014</w:t>
            </w:r>
          </w:p>
        </w:tc>
        <w:tc>
          <w:tcPr>
            <w:tcW w:w="1017" w:type="dxa"/>
          </w:tcPr>
          <w:p w:rsidR="005C6B61" w:rsidRPr="00584315" w:rsidRDefault="005C6B61" w:rsidP="000D32C5">
            <w:pPr>
              <w:keepNext/>
              <w:keepLines/>
              <w:widowControl w:val="0"/>
              <w:jc w:val="right"/>
              <w:rPr>
                <w:sz w:val="14"/>
                <w:szCs w:val="14"/>
              </w:rPr>
            </w:pPr>
            <w:r w:rsidRPr="00584315">
              <w:rPr>
                <w:sz w:val="14"/>
                <w:szCs w:val="14"/>
              </w:rPr>
              <w:t>$2,751,094</w:t>
            </w:r>
          </w:p>
        </w:tc>
        <w:tc>
          <w:tcPr>
            <w:tcW w:w="873" w:type="dxa"/>
          </w:tcPr>
          <w:p w:rsidR="005C6B61" w:rsidRPr="00584315" w:rsidRDefault="005C6B61" w:rsidP="000D32C5">
            <w:pPr>
              <w:keepNext/>
              <w:keepLines/>
              <w:widowControl w:val="0"/>
              <w:jc w:val="right"/>
              <w:rPr>
                <w:sz w:val="14"/>
                <w:szCs w:val="14"/>
              </w:rPr>
            </w:pPr>
            <w:r w:rsidRPr="00584315">
              <w:rPr>
                <w:sz w:val="14"/>
                <w:szCs w:val="14"/>
              </w:rPr>
              <w:t>$2,687,152</w:t>
            </w:r>
          </w:p>
        </w:tc>
        <w:tc>
          <w:tcPr>
            <w:tcW w:w="904" w:type="dxa"/>
          </w:tcPr>
          <w:p w:rsidR="005C6B61" w:rsidRPr="00584315" w:rsidRDefault="005C6B61" w:rsidP="000D32C5">
            <w:pPr>
              <w:keepNext/>
              <w:keepLines/>
              <w:widowControl w:val="0"/>
              <w:jc w:val="right"/>
              <w:rPr>
                <w:sz w:val="14"/>
                <w:szCs w:val="14"/>
              </w:rPr>
            </w:pPr>
            <w:r w:rsidRPr="00584315">
              <w:rPr>
                <w:sz w:val="14"/>
                <w:szCs w:val="14"/>
              </w:rPr>
              <w:t>$2,586,800</w:t>
            </w:r>
          </w:p>
        </w:tc>
        <w:tc>
          <w:tcPr>
            <w:tcW w:w="921" w:type="dxa"/>
            <w:gridSpan w:val="2"/>
          </w:tcPr>
          <w:p w:rsidR="005C6B61" w:rsidRPr="00584315" w:rsidRDefault="005C6B61" w:rsidP="000D32C5">
            <w:pPr>
              <w:keepNext/>
              <w:keepLines/>
              <w:widowControl w:val="0"/>
              <w:jc w:val="right"/>
              <w:rPr>
                <w:sz w:val="14"/>
                <w:szCs w:val="14"/>
              </w:rPr>
            </w:pPr>
            <w:r w:rsidRPr="00584315">
              <w:rPr>
                <w:sz w:val="14"/>
                <w:szCs w:val="14"/>
              </w:rPr>
              <w:t>$2,570,286</w:t>
            </w:r>
          </w:p>
        </w:tc>
      </w:tr>
      <w:tr w:rsidR="005C6B61" w:rsidRPr="00584315" w:rsidTr="000D32C5">
        <w:trPr>
          <w:gridAfter w:val="1"/>
          <w:wAfter w:w="17" w:type="dxa"/>
          <w:jc w:val="center"/>
        </w:trPr>
        <w:tc>
          <w:tcPr>
            <w:tcW w:w="4377" w:type="dxa"/>
            <w:vAlign w:val="bottom"/>
          </w:tcPr>
          <w:p w:rsidR="005C6B61" w:rsidRPr="00584315" w:rsidRDefault="005C6B61" w:rsidP="000D32C5">
            <w:pPr>
              <w:keepNext/>
              <w:keepLines/>
              <w:widowControl w:val="0"/>
              <w:ind w:left="112" w:hanging="112"/>
              <w:jc w:val="left"/>
              <w:rPr>
                <w:sz w:val="15"/>
                <w:szCs w:val="15"/>
              </w:rPr>
            </w:pPr>
            <w:r w:rsidRPr="00584315">
              <w:rPr>
                <w:sz w:val="15"/>
                <w:szCs w:val="15"/>
              </w:rPr>
              <w:t>State’s proportionate share of the net pension liability as a percentage of its covered payroll</w:t>
            </w:r>
          </w:p>
          <w:p w:rsidR="005C6B61" w:rsidRPr="00584315" w:rsidRDefault="005C6B61" w:rsidP="000D32C5">
            <w:pPr>
              <w:keepNext/>
              <w:keepLines/>
              <w:widowControl w:val="0"/>
              <w:ind w:left="112" w:hanging="112"/>
              <w:jc w:val="left"/>
              <w:rPr>
                <w:sz w:val="15"/>
                <w:szCs w:val="15"/>
              </w:rPr>
            </w:pPr>
          </w:p>
        </w:tc>
        <w:tc>
          <w:tcPr>
            <w:tcW w:w="1012" w:type="dxa"/>
          </w:tcPr>
          <w:p w:rsidR="005C6B61" w:rsidRPr="00584315" w:rsidRDefault="005C6B61" w:rsidP="000D32C5">
            <w:pPr>
              <w:keepNext/>
              <w:keepLines/>
              <w:widowControl w:val="0"/>
              <w:jc w:val="right"/>
              <w:rPr>
                <w:sz w:val="14"/>
                <w:szCs w:val="14"/>
              </w:rPr>
            </w:pPr>
            <w:r w:rsidRPr="00584315">
              <w:rPr>
                <w:sz w:val="14"/>
                <w:szCs w:val="14"/>
              </w:rPr>
              <w:t>334.61%</w:t>
            </w:r>
          </w:p>
        </w:tc>
        <w:tc>
          <w:tcPr>
            <w:tcW w:w="990" w:type="dxa"/>
          </w:tcPr>
          <w:p w:rsidR="005C6B61" w:rsidRPr="00584315" w:rsidRDefault="005C6B61" w:rsidP="000D32C5">
            <w:pPr>
              <w:keepNext/>
              <w:keepLines/>
              <w:widowControl w:val="0"/>
              <w:jc w:val="right"/>
              <w:rPr>
                <w:sz w:val="14"/>
                <w:szCs w:val="14"/>
              </w:rPr>
            </w:pPr>
            <w:r w:rsidRPr="00584315">
              <w:rPr>
                <w:sz w:val="14"/>
                <w:szCs w:val="14"/>
              </w:rPr>
              <w:t>682.80%</w:t>
            </w:r>
          </w:p>
        </w:tc>
        <w:tc>
          <w:tcPr>
            <w:tcW w:w="1017" w:type="dxa"/>
          </w:tcPr>
          <w:p w:rsidR="005C6B61" w:rsidRPr="00584315" w:rsidRDefault="005C6B61" w:rsidP="000D32C5">
            <w:pPr>
              <w:keepNext/>
              <w:keepLines/>
              <w:widowControl w:val="0"/>
              <w:jc w:val="right"/>
              <w:rPr>
                <w:sz w:val="14"/>
                <w:szCs w:val="14"/>
              </w:rPr>
            </w:pPr>
            <w:r w:rsidRPr="00584315">
              <w:rPr>
                <w:sz w:val="14"/>
                <w:szCs w:val="14"/>
              </w:rPr>
              <w:t>637.55%</w:t>
            </w:r>
          </w:p>
        </w:tc>
        <w:tc>
          <w:tcPr>
            <w:tcW w:w="873" w:type="dxa"/>
          </w:tcPr>
          <w:p w:rsidR="005C6B61" w:rsidRPr="00584315" w:rsidRDefault="005C6B61" w:rsidP="000D32C5">
            <w:pPr>
              <w:keepNext/>
              <w:keepLines/>
              <w:widowControl w:val="0"/>
              <w:jc w:val="right"/>
              <w:rPr>
                <w:sz w:val="14"/>
                <w:szCs w:val="14"/>
              </w:rPr>
            </w:pPr>
            <w:r w:rsidRPr="00584315">
              <w:rPr>
                <w:sz w:val="14"/>
                <w:szCs w:val="14"/>
              </w:rPr>
              <w:t>375.09%</w:t>
            </w:r>
          </w:p>
        </w:tc>
        <w:tc>
          <w:tcPr>
            <w:tcW w:w="904" w:type="dxa"/>
          </w:tcPr>
          <w:p w:rsidR="005C6B61" w:rsidRPr="00584315" w:rsidRDefault="005C6B61" w:rsidP="000D32C5">
            <w:pPr>
              <w:keepNext/>
              <w:keepLines/>
              <w:widowControl w:val="0"/>
              <w:jc w:val="right"/>
              <w:rPr>
                <w:sz w:val="14"/>
                <w:szCs w:val="14"/>
              </w:rPr>
            </w:pPr>
            <w:r w:rsidRPr="00584315">
              <w:rPr>
                <w:sz w:val="14"/>
                <w:szCs w:val="14"/>
              </w:rPr>
              <w:t>348.54%</w:t>
            </w:r>
          </w:p>
        </w:tc>
        <w:tc>
          <w:tcPr>
            <w:tcW w:w="921" w:type="dxa"/>
            <w:gridSpan w:val="2"/>
          </w:tcPr>
          <w:p w:rsidR="005C6B61" w:rsidRPr="00584315" w:rsidRDefault="005C6B61" w:rsidP="000D32C5">
            <w:pPr>
              <w:keepNext/>
              <w:keepLines/>
              <w:widowControl w:val="0"/>
              <w:jc w:val="right"/>
              <w:rPr>
                <w:sz w:val="14"/>
                <w:szCs w:val="14"/>
              </w:rPr>
            </w:pPr>
            <w:r w:rsidRPr="00584315">
              <w:rPr>
                <w:sz w:val="14"/>
                <w:szCs w:val="14"/>
              </w:rPr>
              <w:t>332.23%</w:t>
            </w:r>
          </w:p>
        </w:tc>
      </w:tr>
      <w:tr w:rsidR="005C6B61" w:rsidRPr="00584315" w:rsidTr="000D32C5">
        <w:trPr>
          <w:gridAfter w:val="1"/>
          <w:wAfter w:w="17" w:type="dxa"/>
          <w:jc w:val="center"/>
        </w:trPr>
        <w:tc>
          <w:tcPr>
            <w:tcW w:w="4377" w:type="dxa"/>
            <w:vAlign w:val="bottom"/>
          </w:tcPr>
          <w:p w:rsidR="005C6B61" w:rsidRPr="00584315" w:rsidRDefault="005C6B61" w:rsidP="000D32C5">
            <w:pPr>
              <w:keepNext/>
              <w:keepLines/>
              <w:widowControl w:val="0"/>
              <w:ind w:left="112" w:hanging="112"/>
              <w:jc w:val="left"/>
              <w:rPr>
                <w:sz w:val="15"/>
                <w:szCs w:val="15"/>
              </w:rPr>
            </w:pPr>
            <w:r w:rsidRPr="00584315">
              <w:rPr>
                <w:sz w:val="15"/>
                <w:szCs w:val="15"/>
              </w:rPr>
              <w:t>Plan fiduciary net position as a percentage of the total pension liability</w:t>
            </w:r>
          </w:p>
        </w:tc>
        <w:tc>
          <w:tcPr>
            <w:tcW w:w="1012" w:type="dxa"/>
          </w:tcPr>
          <w:p w:rsidR="005C6B61" w:rsidRPr="00584315" w:rsidRDefault="005C6B61" w:rsidP="000D32C5">
            <w:pPr>
              <w:keepNext/>
              <w:keepLines/>
              <w:widowControl w:val="0"/>
              <w:jc w:val="right"/>
              <w:rPr>
                <w:sz w:val="14"/>
                <w:szCs w:val="14"/>
              </w:rPr>
            </w:pPr>
            <w:r w:rsidRPr="00584315">
              <w:rPr>
                <w:sz w:val="14"/>
                <w:szCs w:val="14"/>
              </w:rPr>
              <w:t>55.11%</w:t>
            </w:r>
          </w:p>
        </w:tc>
        <w:tc>
          <w:tcPr>
            <w:tcW w:w="990" w:type="dxa"/>
          </w:tcPr>
          <w:p w:rsidR="005C6B61" w:rsidRPr="00584315" w:rsidRDefault="005C6B61" w:rsidP="000D32C5">
            <w:pPr>
              <w:keepNext/>
              <w:keepLines/>
              <w:widowControl w:val="0"/>
              <w:jc w:val="right"/>
              <w:rPr>
                <w:sz w:val="14"/>
                <w:szCs w:val="14"/>
              </w:rPr>
            </w:pPr>
            <w:r w:rsidRPr="00584315">
              <w:rPr>
                <w:sz w:val="14"/>
                <w:szCs w:val="14"/>
              </w:rPr>
              <w:t>43.20%</w:t>
            </w:r>
          </w:p>
        </w:tc>
        <w:tc>
          <w:tcPr>
            <w:tcW w:w="1017" w:type="dxa"/>
          </w:tcPr>
          <w:p w:rsidR="005C6B61" w:rsidRPr="00584315" w:rsidRDefault="005C6B61" w:rsidP="000D32C5">
            <w:pPr>
              <w:keepNext/>
              <w:keepLines/>
              <w:widowControl w:val="0"/>
              <w:jc w:val="right"/>
              <w:rPr>
                <w:sz w:val="14"/>
                <w:szCs w:val="14"/>
              </w:rPr>
            </w:pPr>
            <w:r w:rsidRPr="00584315">
              <w:rPr>
                <w:sz w:val="14"/>
                <w:szCs w:val="14"/>
              </w:rPr>
              <w:t>42.59%</w:t>
            </w:r>
          </w:p>
        </w:tc>
        <w:tc>
          <w:tcPr>
            <w:tcW w:w="873" w:type="dxa"/>
          </w:tcPr>
          <w:p w:rsidR="005C6B61" w:rsidRPr="00584315" w:rsidRDefault="005C6B61" w:rsidP="000D32C5">
            <w:pPr>
              <w:keepNext/>
              <w:keepLines/>
              <w:widowControl w:val="0"/>
              <w:jc w:val="right"/>
              <w:rPr>
                <w:sz w:val="14"/>
                <w:szCs w:val="14"/>
              </w:rPr>
            </w:pPr>
            <w:r w:rsidRPr="00584315">
              <w:rPr>
                <w:sz w:val="14"/>
                <w:szCs w:val="14"/>
              </w:rPr>
              <w:t>56.11%</w:t>
            </w:r>
          </w:p>
        </w:tc>
        <w:tc>
          <w:tcPr>
            <w:tcW w:w="904" w:type="dxa"/>
          </w:tcPr>
          <w:p w:rsidR="005C6B61" w:rsidRPr="00584315" w:rsidRDefault="005C6B61" w:rsidP="000D32C5">
            <w:pPr>
              <w:keepNext/>
              <w:keepLines/>
              <w:widowControl w:val="0"/>
              <w:jc w:val="right"/>
              <w:rPr>
                <w:sz w:val="14"/>
                <w:szCs w:val="14"/>
              </w:rPr>
            </w:pPr>
            <w:r w:rsidRPr="00584315">
              <w:rPr>
                <w:sz w:val="14"/>
                <w:szCs w:val="14"/>
              </w:rPr>
              <w:t>59.84%</w:t>
            </w:r>
          </w:p>
        </w:tc>
        <w:tc>
          <w:tcPr>
            <w:tcW w:w="921" w:type="dxa"/>
            <w:gridSpan w:val="2"/>
          </w:tcPr>
          <w:p w:rsidR="005C6B61" w:rsidRPr="00584315" w:rsidRDefault="005C6B61" w:rsidP="000D32C5">
            <w:pPr>
              <w:keepNext/>
              <w:keepLines/>
              <w:widowControl w:val="0"/>
              <w:jc w:val="right"/>
              <w:rPr>
                <w:sz w:val="14"/>
                <w:szCs w:val="14"/>
              </w:rPr>
            </w:pPr>
            <w:r w:rsidRPr="00584315">
              <w:rPr>
                <w:sz w:val="14"/>
                <w:szCs w:val="14"/>
              </w:rPr>
              <w:t>61.00%</w:t>
            </w:r>
          </w:p>
        </w:tc>
      </w:tr>
      <w:tr w:rsidR="005C6B61" w:rsidRPr="00584315" w:rsidTr="000D32C5">
        <w:trPr>
          <w:gridAfter w:val="1"/>
          <w:wAfter w:w="17" w:type="dxa"/>
          <w:jc w:val="center"/>
        </w:trPr>
        <w:tc>
          <w:tcPr>
            <w:tcW w:w="4377" w:type="dxa"/>
            <w:vAlign w:val="bottom"/>
          </w:tcPr>
          <w:p w:rsidR="005C6B61" w:rsidRPr="00584315" w:rsidRDefault="005C6B61" w:rsidP="000D32C5">
            <w:pPr>
              <w:keepNext/>
              <w:keepLines/>
              <w:widowControl w:val="0"/>
              <w:ind w:left="112" w:hanging="112"/>
              <w:jc w:val="left"/>
              <w:rPr>
                <w:sz w:val="15"/>
                <w:szCs w:val="15"/>
              </w:rPr>
            </w:pPr>
          </w:p>
        </w:tc>
        <w:tc>
          <w:tcPr>
            <w:tcW w:w="1012" w:type="dxa"/>
          </w:tcPr>
          <w:p w:rsidR="005C6B61" w:rsidRPr="00584315" w:rsidRDefault="005C6B61" w:rsidP="000D32C5">
            <w:pPr>
              <w:keepNext/>
              <w:keepLines/>
              <w:widowControl w:val="0"/>
              <w:jc w:val="center"/>
              <w:rPr>
                <w:sz w:val="14"/>
                <w:szCs w:val="14"/>
              </w:rPr>
            </w:pPr>
          </w:p>
        </w:tc>
        <w:tc>
          <w:tcPr>
            <w:tcW w:w="990" w:type="dxa"/>
          </w:tcPr>
          <w:p w:rsidR="005C6B61" w:rsidRPr="00584315" w:rsidRDefault="005C6B61" w:rsidP="000D32C5">
            <w:pPr>
              <w:keepNext/>
              <w:keepLines/>
              <w:widowControl w:val="0"/>
              <w:jc w:val="center"/>
              <w:rPr>
                <w:sz w:val="14"/>
                <w:szCs w:val="14"/>
              </w:rPr>
            </w:pPr>
          </w:p>
        </w:tc>
        <w:tc>
          <w:tcPr>
            <w:tcW w:w="1017" w:type="dxa"/>
          </w:tcPr>
          <w:p w:rsidR="005C6B61" w:rsidRPr="00584315" w:rsidRDefault="005C6B61" w:rsidP="000D32C5">
            <w:pPr>
              <w:keepNext/>
              <w:keepLines/>
              <w:widowControl w:val="0"/>
              <w:jc w:val="center"/>
              <w:rPr>
                <w:sz w:val="14"/>
                <w:szCs w:val="14"/>
              </w:rPr>
            </w:pPr>
          </w:p>
        </w:tc>
        <w:tc>
          <w:tcPr>
            <w:tcW w:w="873" w:type="dxa"/>
          </w:tcPr>
          <w:p w:rsidR="005C6B61" w:rsidRPr="00584315" w:rsidRDefault="005C6B61" w:rsidP="000D32C5">
            <w:pPr>
              <w:keepNext/>
              <w:keepLines/>
              <w:widowControl w:val="0"/>
              <w:jc w:val="center"/>
              <w:rPr>
                <w:sz w:val="14"/>
                <w:szCs w:val="14"/>
              </w:rPr>
            </w:pPr>
          </w:p>
        </w:tc>
        <w:tc>
          <w:tcPr>
            <w:tcW w:w="904" w:type="dxa"/>
          </w:tcPr>
          <w:p w:rsidR="005C6B61" w:rsidRPr="00584315" w:rsidRDefault="005C6B61" w:rsidP="000D32C5">
            <w:pPr>
              <w:keepNext/>
              <w:keepLines/>
              <w:widowControl w:val="0"/>
              <w:jc w:val="center"/>
              <w:rPr>
                <w:sz w:val="14"/>
                <w:szCs w:val="14"/>
              </w:rPr>
            </w:pPr>
          </w:p>
        </w:tc>
        <w:tc>
          <w:tcPr>
            <w:tcW w:w="921" w:type="dxa"/>
            <w:gridSpan w:val="2"/>
          </w:tcPr>
          <w:p w:rsidR="005C6B61" w:rsidRPr="00584315" w:rsidRDefault="005C6B61" w:rsidP="000D32C5">
            <w:pPr>
              <w:keepNext/>
              <w:keepLines/>
              <w:widowControl w:val="0"/>
              <w:jc w:val="center"/>
              <w:rPr>
                <w:sz w:val="14"/>
                <w:szCs w:val="14"/>
              </w:rPr>
            </w:pPr>
          </w:p>
        </w:tc>
      </w:tr>
      <w:tr w:rsidR="005C6B61" w:rsidRPr="00584315" w:rsidTr="000D32C5">
        <w:trPr>
          <w:gridAfter w:val="1"/>
          <w:wAfter w:w="17" w:type="dxa"/>
          <w:jc w:val="center"/>
        </w:trPr>
        <w:tc>
          <w:tcPr>
            <w:tcW w:w="10094" w:type="dxa"/>
            <w:gridSpan w:val="8"/>
            <w:vAlign w:val="bottom"/>
          </w:tcPr>
          <w:p w:rsidR="005C6B61" w:rsidRPr="00584315" w:rsidRDefault="005C6B61" w:rsidP="000D32C5">
            <w:pPr>
              <w:keepNext/>
              <w:keepLines/>
              <w:widowControl w:val="0"/>
              <w:spacing w:after="240"/>
              <w:jc w:val="center"/>
              <w:rPr>
                <w:sz w:val="14"/>
                <w:szCs w:val="14"/>
              </w:rPr>
            </w:pPr>
            <w:r w:rsidRPr="00584315">
              <w:rPr>
                <w:sz w:val="18"/>
                <w:szCs w:val="18"/>
                <w:u w:val="single"/>
              </w:rPr>
              <w:t>Judicial Division</w:t>
            </w:r>
          </w:p>
        </w:tc>
      </w:tr>
      <w:tr w:rsidR="005C6B61" w:rsidRPr="00584315" w:rsidTr="000D32C5">
        <w:trPr>
          <w:gridAfter w:val="1"/>
          <w:wAfter w:w="17" w:type="dxa"/>
          <w:jc w:val="center"/>
        </w:trPr>
        <w:tc>
          <w:tcPr>
            <w:tcW w:w="4377" w:type="dxa"/>
            <w:vAlign w:val="bottom"/>
          </w:tcPr>
          <w:p w:rsidR="005C6B61" w:rsidRPr="00584315" w:rsidRDefault="005C6B61" w:rsidP="000D32C5">
            <w:pPr>
              <w:keepNext/>
              <w:keepLines/>
              <w:widowControl w:val="0"/>
              <w:ind w:left="112" w:hanging="112"/>
              <w:jc w:val="left"/>
              <w:rPr>
                <w:sz w:val="15"/>
                <w:szCs w:val="15"/>
              </w:rPr>
            </w:pPr>
          </w:p>
        </w:tc>
        <w:tc>
          <w:tcPr>
            <w:tcW w:w="1012" w:type="dxa"/>
          </w:tcPr>
          <w:p w:rsidR="005C6B61" w:rsidRPr="00584315" w:rsidRDefault="005C6B61" w:rsidP="000D32C5">
            <w:pPr>
              <w:keepNext/>
              <w:keepLines/>
              <w:widowControl w:val="0"/>
              <w:jc w:val="center"/>
              <w:rPr>
                <w:sz w:val="14"/>
                <w:szCs w:val="14"/>
              </w:rPr>
            </w:pPr>
          </w:p>
        </w:tc>
        <w:tc>
          <w:tcPr>
            <w:tcW w:w="990" w:type="dxa"/>
          </w:tcPr>
          <w:p w:rsidR="005C6B61" w:rsidRPr="00584315" w:rsidRDefault="005C6B61" w:rsidP="000D32C5">
            <w:pPr>
              <w:keepNext/>
              <w:keepLines/>
              <w:widowControl w:val="0"/>
              <w:jc w:val="center"/>
              <w:rPr>
                <w:sz w:val="14"/>
                <w:szCs w:val="14"/>
              </w:rPr>
            </w:pPr>
          </w:p>
        </w:tc>
        <w:tc>
          <w:tcPr>
            <w:tcW w:w="1017" w:type="dxa"/>
          </w:tcPr>
          <w:p w:rsidR="005C6B61" w:rsidRPr="00584315" w:rsidRDefault="005C6B61" w:rsidP="000D32C5">
            <w:pPr>
              <w:keepNext/>
              <w:keepLines/>
              <w:widowControl w:val="0"/>
              <w:jc w:val="center"/>
              <w:rPr>
                <w:sz w:val="14"/>
                <w:szCs w:val="14"/>
              </w:rPr>
            </w:pPr>
          </w:p>
        </w:tc>
        <w:tc>
          <w:tcPr>
            <w:tcW w:w="873" w:type="dxa"/>
          </w:tcPr>
          <w:p w:rsidR="005C6B61" w:rsidRPr="00584315" w:rsidRDefault="005C6B61" w:rsidP="000D32C5">
            <w:pPr>
              <w:keepNext/>
              <w:keepLines/>
              <w:widowControl w:val="0"/>
              <w:jc w:val="center"/>
              <w:rPr>
                <w:sz w:val="14"/>
                <w:szCs w:val="14"/>
              </w:rPr>
            </w:pPr>
          </w:p>
        </w:tc>
        <w:tc>
          <w:tcPr>
            <w:tcW w:w="904" w:type="dxa"/>
          </w:tcPr>
          <w:p w:rsidR="005C6B61" w:rsidRPr="00584315" w:rsidRDefault="005C6B61" w:rsidP="000D32C5">
            <w:pPr>
              <w:keepNext/>
              <w:keepLines/>
              <w:widowControl w:val="0"/>
              <w:jc w:val="center"/>
              <w:rPr>
                <w:sz w:val="14"/>
                <w:szCs w:val="14"/>
              </w:rPr>
            </w:pPr>
          </w:p>
        </w:tc>
        <w:tc>
          <w:tcPr>
            <w:tcW w:w="921" w:type="dxa"/>
            <w:gridSpan w:val="2"/>
          </w:tcPr>
          <w:p w:rsidR="005C6B61" w:rsidRPr="00584315" w:rsidRDefault="005C6B61" w:rsidP="000D32C5">
            <w:pPr>
              <w:keepNext/>
              <w:keepLines/>
              <w:widowControl w:val="0"/>
              <w:jc w:val="center"/>
              <w:rPr>
                <w:sz w:val="14"/>
                <w:szCs w:val="14"/>
              </w:rPr>
            </w:pPr>
          </w:p>
        </w:tc>
      </w:tr>
      <w:tr w:rsidR="005C6B61" w:rsidRPr="00584315" w:rsidTr="000D32C5">
        <w:trPr>
          <w:gridAfter w:val="1"/>
          <w:wAfter w:w="17" w:type="dxa"/>
          <w:jc w:val="center"/>
        </w:trPr>
        <w:tc>
          <w:tcPr>
            <w:tcW w:w="4377" w:type="dxa"/>
          </w:tcPr>
          <w:p w:rsidR="005C6B61" w:rsidRPr="00584315" w:rsidRDefault="005C6B61" w:rsidP="000D32C5">
            <w:pPr>
              <w:keepNext/>
              <w:keepLines/>
              <w:widowControl w:val="0"/>
              <w:spacing w:after="60"/>
              <w:rPr>
                <w:sz w:val="16"/>
                <w:szCs w:val="16"/>
              </w:rPr>
            </w:pPr>
          </w:p>
        </w:tc>
        <w:tc>
          <w:tcPr>
            <w:tcW w:w="1012" w:type="dxa"/>
          </w:tcPr>
          <w:p w:rsidR="005C6B61" w:rsidRPr="00584315" w:rsidRDefault="005C6B61" w:rsidP="000D32C5">
            <w:pPr>
              <w:keepNext/>
              <w:keepLines/>
              <w:widowControl w:val="0"/>
              <w:pBdr>
                <w:bottom w:val="single" w:sz="4" w:space="1" w:color="auto"/>
              </w:pBdr>
              <w:spacing w:after="60"/>
              <w:jc w:val="center"/>
              <w:rPr>
                <w:sz w:val="16"/>
                <w:szCs w:val="16"/>
              </w:rPr>
            </w:pPr>
            <w:r w:rsidRPr="00584315">
              <w:rPr>
                <w:sz w:val="16"/>
                <w:szCs w:val="16"/>
              </w:rPr>
              <w:t>2018</w:t>
            </w:r>
          </w:p>
        </w:tc>
        <w:tc>
          <w:tcPr>
            <w:tcW w:w="990" w:type="dxa"/>
          </w:tcPr>
          <w:p w:rsidR="005C6B61" w:rsidRPr="00584315" w:rsidRDefault="005C6B61" w:rsidP="000D32C5">
            <w:pPr>
              <w:keepNext/>
              <w:keepLines/>
              <w:widowControl w:val="0"/>
              <w:pBdr>
                <w:bottom w:val="single" w:sz="4" w:space="1" w:color="auto"/>
              </w:pBdr>
              <w:spacing w:after="60"/>
              <w:jc w:val="center"/>
              <w:rPr>
                <w:sz w:val="16"/>
                <w:szCs w:val="16"/>
              </w:rPr>
            </w:pPr>
            <w:r w:rsidRPr="00584315">
              <w:rPr>
                <w:sz w:val="16"/>
                <w:szCs w:val="16"/>
              </w:rPr>
              <w:t>2017</w:t>
            </w:r>
          </w:p>
        </w:tc>
        <w:tc>
          <w:tcPr>
            <w:tcW w:w="1017" w:type="dxa"/>
          </w:tcPr>
          <w:p w:rsidR="005C6B61" w:rsidRPr="00584315" w:rsidRDefault="005C6B61" w:rsidP="000D32C5">
            <w:pPr>
              <w:keepNext/>
              <w:keepLines/>
              <w:widowControl w:val="0"/>
              <w:pBdr>
                <w:bottom w:val="single" w:sz="4" w:space="1" w:color="auto"/>
              </w:pBdr>
              <w:spacing w:after="60"/>
              <w:jc w:val="center"/>
              <w:rPr>
                <w:sz w:val="16"/>
                <w:szCs w:val="16"/>
              </w:rPr>
            </w:pPr>
            <w:r w:rsidRPr="00584315">
              <w:rPr>
                <w:sz w:val="16"/>
                <w:szCs w:val="16"/>
              </w:rPr>
              <w:t>2016</w:t>
            </w:r>
          </w:p>
        </w:tc>
        <w:tc>
          <w:tcPr>
            <w:tcW w:w="873" w:type="dxa"/>
          </w:tcPr>
          <w:p w:rsidR="005C6B61" w:rsidRPr="00584315" w:rsidRDefault="005C6B61" w:rsidP="000D32C5">
            <w:pPr>
              <w:keepNext/>
              <w:keepLines/>
              <w:widowControl w:val="0"/>
              <w:pBdr>
                <w:bottom w:val="single" w:sz="4" w:space="1" w:color="auto"/>
              </w:pBdr>
              <w:spacing w:after="60"/>
              <w:jc w:val="center"/>
              <w:rPr>
                <w:sz w:val="16"/>
                <w:szCs w:val="16"/>
              </w:rPr>
            </w:pPr>
            <w:r w:rsidRPr="00584315">
              <w:rPr>
                <w:sz w:val="16"/>
                <w:szCs w:val="16"/>
              </w:rPr>
              <w:t>2015</w:t>
            </w:r>
          </w:p>
        </w:tc>
        <w:tc>
          <w:tcPr>
            <w:tcW w:w="904" w:type="dxa"/>
          </w:tcPr>
          <w:p w:rsidR="005C6B61" w:rsidRPr="00584315" w:rsidRDefault="005C6B61" w:rsidP="000D32C5">
            <w:pPr>
              <w:keepNext/>
              <w:keepLines/>
              <w:widowControl w:val="0"/>
              <w:pBdr>
                <w:bottom w:val="single" w:sz="4" w:space="1" w:color="auto"/>
              </w:pBdr>
              <w:spacing w:after="60"/>
              <w:jc w:val="center"/>
              <w:rPr>
                <w:sz w:val="16"/>
                <w:szCs w:val="16"/>
              </w:rPr>
            </w:pPr>
            <w:r w:rsidRPr="00584315">
              <w:rPr>
                <w:sz w:val="16"/>
                <w:szCs w:val="16"/>
              </w:rPr>
              <w:t>2014</w:t>
            </w:r>
          </w:p>
        </w:tc>
        <w:tc>
          <w:tcPr>
            <w:tcW w:w="921" w:type="dxa"/>
            <w:gridSpan w:val="2"/>
          </w:tcPr>
          <w:p w:rsidR="005C6B61" w:rsidRPr="00584315" w:rsidRDefault="005C6B61" w:rsidP="000D32C5">
            <w:pPr>
              <w:keepNext/>
              <w:keepLines/>
              <w:widowControl w:val="0"/>
              <w:pBdr>
                <w:bottom w:val="single" w:sz="4" w:space="1" w:color="auto"/>
              </w:pBdr>
              <w:spacing w:after="60"/>
              <w:jc w:val="center"/>
              <w:rPr>
                <w:sz w:val="16"/>
                <w:szCs w:val="16"/>
              </w:rPr>
            </w:pPr>
            <w:r w:rsidRPr="00584315">
              <w:rPr>
                <w:sz w:val="16"/>
                <w:szCs w:val="16"/>
              </w:rPr>
              <w:t>2013</w:t>
            </w:r>
          </w:p>
        </w:tc>
      </w:tr>
      <w:tr w:rsidR="005C6B61" w:rsidRPr="00584315" w:rsidTr="000D32C5">
        <w:trPr>
          <w:gridAfter w:val="1"/>
          <w:wAfter w:w="17" w:type="dxa"/>
          <w:jc w:val="center"/>
        </w:trPr>
        <w:tc>
          <w:tcPr>
            <w:tcW w:w="4377" w:type="dxa"/>
            <w:vAlign w:val="bottom"/>
          </w:tcPr>
          <w:p w:rsidR="005C6B61" w:rsidRPr="00584315" w:rsidRDefault="005C6B61" w:rsidP="000D32C5">
            <w:pPr>
              <w:keepNext/>
              <w:keepLines/>
              <w:widowControl w:val="0"/>
              <w:ind w:left="112" w:hanging="112"/>
              <w:jc w:val="left"/>
              <w:rPr>
                <w:sz w:val="15"/>
                <w:szCs w:val="15"/>
              </w:rPr>
            </w:pPr>
            <w:r w:rsidRPr="00584315">
              <w:rPr>
                <w:sz w:val="15"/>
                <w:szCs w:val="15"/>
              </w:rPr>
              <w:t xml:space="preserve">State’s proportion of the net pension liability </w:t>
            </w:r>
          </w:p>
          <w:p w:rsidR="005C6B61" w:rsidRPr="00584315" w:rsidRDefault="005C6B61" w:rsidP="000D32C5">
            <w:pPr>
              <w:keepNext/>
              <w:keepLines/>
              <w:widowControl w:val="0"/>
              <w:ind w:left="112" w:hanging="112"/>
              <w:jc w:val="left"/>
              <w:rPr>
                <w:sz w:val="15"/>
                <w:szCs w:val="15"/>
              </w:rPr>
            </w:pPr>
          </w:p>
        </w:tc>
        <w:tc>
          <w:tcPr>
            <w:tcW w:w="1012" w:type="dxa"/>
          </w:tcPr>
          <w:p w:rsidR="005C6B61" w:rsidRPr="00584315" w:rsidRDefault="005C6B61" w:rsidP="000D32C5">
            <w:pPr>
              <w:keepNext/>
              <w:keepLines/>
              <w:widowControl w:val="0"/>
              <w:jc w:val="right"/>
              <w:rPr>
                <w:sz w:val="14"/>
                <w:szCs w:val="14"/>
              </w:rPr>
            </w:pPr>
            <w:r w:rsidRPr="00584315">
              <w:rPr>
                <w:sz w:val="14"/>
                <w:szCs w:val="14"/>
              </w:rPr>
              <w:t>94.91%</w:t>
            </w:r>
          </w:p>
        </w:tc>
        <w:tc>
          <w:tcPr>
            <w:tcW w:w="990" w:type="dxa"/>
          </w:tcPr>
          <w:p w:rsidR="005C6B61" w:rsidRPr="00584315" w:rsidRDefault="005C6B61" w:rsidP="000D32C5">
            <w:pPr>
              <w:keepNext/>
              <w:keepLines/>
              <w:widowControl w:val="0"/>
              <w:jc w:val="right"/>
              <w:rPr>
                <w:sz w:val="14"/>
                <w:szCs w:val="14"/>
              </w:rPr>
            </w:pPr>
            <w:r w:rsidRPr="00584315">
              <w:rPr>
                <w:sz w:val="14"/>
                <w:szCs w:val="14"/>
              </w:rPr>
              <w:t>93.99%</w:t>
            </w:r>
          </w:p>
        </w:tc>
        <w:tc>
          <w:tcPr>
            <w:tcW w:w="1017" w:type="dxa"/>
          </w:tcPr>
          <w:p w:rsidR="005C6B61" w:rsidRPr="00584315" w:rsidRDefault="005C6B61" w:rsidP="000D32C5">
            <w:pPr>
              <w:keepNext/>
              <w:keepLines/>
              <w:widowControl w:val="0"/>
              <w:jc w:val="right"/>
              <w:rPr>
                <w:sz w:val="14"/>
                <w:szCs w:val="14"/>
              </w:rPr>
            </w:pPr>
            <w:r w:rsidRPr="00584315">
              <w:rPr>
                <w:sz w:val="14"/>
                <w:szCs w:val="14"/>
              </w:rPr>
              <w:t>94.17%</w:t>
            </w:r>
          </w:p>
        </w:tc>
        <w:tc>
          <w:tcPr>
            <w:tcW w:w="873" w:type="dxa"/>
          </w:tcPr>
          <w:p w:rsidR="005C6B61" w:rsidRPr="00584315" w:rsidRDefault="005C6B61" w:rsidP="000D32C5">
            <w:pPr>
              <w:keepNext/>
              <w:keepLines/>
              <w:widowControl w:val="0"/>
              <w:jc w:val="right"/>
              <w:rPr>
                <w:sz w:val="14"/>
                <w:szCs w:val="14"/>
              </w:rPr>
            </w:pPr>
            <w:r w:rsidRPr="00584315">
              <w:rPr>
                <w:sz w:val="14"/>
                <w:szCs w:val="14"/>
              </w:rPr>
              <w:t>93.98%</w:t>
            </w:r>
          </w:p>
        </w:tc>
        <w:tc>
          <w:tcPr>
            <w:tcW w:w="904" w:type="dxa"/>
          </w:tcPr>
          <w:p w:rsidR="005C6B61" w:rsidRPr="00584315" w:rsidRDefault="005C6B61" w:rsidP="000D32C5">
            <w:pPr>
              <w:keepNext/>
              <w:keepLines/>
              <w:widowControl w:val="0"/>
              <w:jc w:val="right"/>
              <w:rPr>
                <w:sz w:val="14"/>
                <w:szCs w:val="14"/>
              </w:rPr>
            </w:pPr>
            <w:r w:rsidRPr="00584315">
              <w:rPr>
                <w:sz w:val="14"/>
                <w:szCs w:val="14"/>
              </w:rPr>
              <w:t>93.60%</w:t>
            </w:r>
          </w:p>
        </w:tc>
        <w:tc>
          <w:tcPr>
            <w:tcW w:w="921" w:type="dxa"/>
            <w:gridSpan w:val="2"/>
          </w:tcPr>
          <w:p w:rsidR="005C6B61" w:rsidRPr="00584315" w:rsidRDefault="005C6B61" w:rsidP="000D32C5">
            <w:pPr>
              <w:keepNext/>
              <w:keepLines/>
              <w:widowControl w:val="0"/>
              <w:jc w:val="right"/>
              <w:rPr>
                <w:sz w:val="14"/>
                <w:szCs w:val="14"/>
              </w:rPr>
            </w:pPr>
            <w:r w:rsidRPr="00584315">
              <w:rPr>
                <w:sz w:val="14"/>
                <w:szCs w:val="14"/>
              </w:rPr>
              <w:t>93.44%</w:t>
            </w:r>
          </w:p>
        </w:tc>
      </w:tr>
      <w:tr w:rsidR="005C6B61" w:rsidRPr="00584315" w:rsidTr="000D32C5">
        <w:trPr>
          <w:gridAfter w:val="1"/>
          <w:wAfter w:w="17" w:type="dxa"/>
          <w:jc w:val="center"/>
        </w:trPr>
        <w:tc>
          <w:tcPr>
            <w:tcW w:w="4377" w:type="dxa"/>
            <w:vAlign w:val="bottom"/>
          </w:tcPr>
          <w:p w:rsidR="005C6B61" w:rsidRPr="00584315" w:rsidRDefault="005C6B61" w:rsidP="000D32C5">
            <w:pPr>
              <w:keepNext/>
              <w:keepLines/>
              <w:widowControl w:val="0"/>
              <w:ind w:left="112" w:hanging="112"/>
              <w:jc w:val="left"/>
              <w:rPr>
                <w:sz w:val="15"/>
                <w:szCs w:val="15"/>
              </w:rPr>
            </w:pPr>
            <w:r w:rsidRPr="00584315">
              <w:rPr>
                <w:sz w:val="15"/>
                <w:szCs w:val="15"/>
              </w:rPr>
              <w:t xml:space="preserve">State’s proportionate share of net pension liability </w:t>
            </w:r>
          </w:p>
          <w:p w:rsidR="005C6B61" w:rsidRPr="00584315" w:rsidRDefault="005C6B61" w:rsidP="000D32C5">
            <w:pPr>
              <w:keepNext/>
              <w:keepLines/>
              <w:widowControl w:val="0"/>
              <w:ind w:left="112" w:hanging="112"/>
              <w:jc w:val="left"/>
              <w:rPr>
                <w:sz w:val="15"/>
                <w:szCs w:val="15"/>
              </w:rPr>
            </w:pPr>
          </w:p>
        </w:tc>
        <w:tc>
          <w:tcPr>
            <w:tcW w:w="1012" w:type="dxa"/>
          </w:tcPr>
          <w:p w:rsidR="005C6B61" w:rsidRPr="00584315" w:rsidRDefault="005C6B61" w:rsidP="000D32C5">
            <w:pPr>
              <w:keepNext/>
              <w:keepLines/>
              <w:widowControl w:val="0"/>
              <w:jc w:val="right"/>
              <w:rPr>
                <w:sz w:val="14"/>
                <w:szCs w:val="14"/>
              </w:rPr>
            </w:pPr>
            <w:r w:rsidRPr="00584315">
              <w:rPr>
                <w:sz w:val="14"/>
                <w:szCs w:val="14"/>
              </w:rPr>
              <w:t>$134,072</w:t>
            </w:r>
          </w:p>
        </w:tc>
        <w:tc>
          <w:tcPr>
            <w:tcW w:w="990" w:type="dxa"/>
          </w:tcPr>
          <w:p w:rsidR="005C6B61" w:rsidRPr="00584315" w:rsidRDefault="005C6B61" w:rsidP="000D32C5">
            <w:pPr>
              <w:keepNext/>
              <w:keepLines/>
              <w:widowControl w:val="0"/>
              <w:jc w:val="right"/>
              <w:rPr>
                <w:sz w:val="14"/>
                <w:szCs w:val="14"/>
              </w:rPr>
            </w:pPr>
            <w:r w:rsidRPr="00584315">
              <w:rPr>
                <w:sz w:val="14"/>
                <w:szCs w:val="14"/>
              </w:rPr>
              <w:t>$218,136</w:t>
            </w:r>
          </w:p>
        </w:tc>
        <w:tc>
          <w:tcPr>
            <w:tcW w:w="1017" w:type="dxa"/>
          </w:tcPr>
          <w:p w:rsidR="005C6B61" w:rsidRPr="00584315" w:rsidRDefault="005C6B61" w:rsidP="000D32C5">
            <w:pPr>
              <w:keepNext/>
              <w:keepLines/>
              <w:widowControl w:val="0"/>
              <w:jc w:val="right"/>
              <w:rPr>
                <w:sz w:val="14"/>
                <w:szCs w:val="14"/>
              </w:rPr>
            </w:pPr>
            <w:r w:rsidRPr="00584315">
              <w:rPr>
                <w:sz w:val="14"/>
                <w:szCs w:val="14"/>
              </w:rPr>
              <w:t>$239,423</w:t>
            </w:r>
          </w:p>
        </w:tc>
        <w:tc>
          <w:tcPr>
            <w:tcW w:w="873" w:type="dxa"/>
          </w:tcPr>
          <w:p w:rsidR="005C6B61" w:rsidRPr="00584315" w:rsidRDefault="005C6B61" w:rsidP="000D32C5">
            <w:pPr>
              <w:keepNext/>
              <w:keepLines/>
              <w:widowControl w:val="0"/>
              <w:jc w:val="right"/>
              <w:rPr>
                <w:sz w:val="14"/>
                <w:szCs w:val="14"/>
              </w:rPr>
            </w:pPr>
            <w:r w:rsidRPr="00584315">
              <w:rPr>
                <w:sz w:val="14"/>
                <w:szCs w:val="14"/>
              </w:rPr>
              <w:t>$172,824</w:t>
            </w:r>
          </w:p>
        </w:tc>
        <w:tc>
          <w:tcPr>
            <w:tcW w:w="904" w:type="dxa"/>
          </w:tcPr>
          <w:p w:rsidR="005C6B61" w:rsidRPr="00584315" w:rsidRDefault="005C6B61" w:rsidP="000D32C5">
            <w:pPr>
              <w:keepNext/>
              <w:keepLines/>
              <w:widowControl w:val="0"/>
              <w:jc w:val="right"/>
              <w:rPr>
                <w:sz w:val="14"/>
                <w:szCs w:val="14"/>
              </w:rPr>
            </w:pPr>
            <w:r w:rsidRPr="00584315">
              <w:rPr>
                <w:sz w:val="14"/>
                <w:szCs w:val="14"/>
              </w:rPr>
              <w:t>$129,499</w:t>
            </w:r>
          </w:p>
        </w:tc>
        <w:tc>
          <w:tcPr>
            <w:tcW w:w="921" w:type="dxa"/>
            <w:gridSpan w:val="2"/>
          </w:tcPr>
          <w:p w:rsidR="005C6B61" w:rsidRPr="00584315" w:rsidRDefault="005C6B61" w:rsidP="000D32C5">
            <w:pPr>
              <w:keepNext/>
              <w:keepLines/>
              <w:widowControl w:val="0"/>
              <w:jc w:val="right"/>
              <w:rPr>
                <w:sz w:val="14"/>
                <w:szCs w:val="14"/>
              </w:rPr>
            </w:pPr>
            <w:r w:rsidRPr="00584315">
              <w:rPr>
                <w:sz w:val="14"/>
                <w:szCs w:val="14"/>
              </w:rPr>
              <w:t>$102,756</w:t>
            </w:r>
          </w:p>
        </w:tc>
      </w:tr>
      <w:tr w:rsidR="005C6B61" w:rsidRPr="00584315" w:rsidTr="000D32C5">
        <w:trPr>
          <w:gridAfter w:val="1"/>
          <w:wAfter w:w="17" w:type="dxa"/>
          <w:jc w:val="center"/>
        </w:trPr>
        <w:tc>
          <w:tcPr>
            <w:tcW w:w="4377" w:type="dxa"/>
            <w:vAlign w:val="bottom"/>
          </w:tcPr>
          <w:p w:rsidR="005C6B61" w:rsidRPr="00584315" w:rsidRDefault="005C6B61" w:rsidP="000D32C5">
            <w:pPr>
              <w:keepNext/>
              <w:keepLines/>
              <w:widowControl w:val="0"/>
              <w:ind w:left="112" w:hanging="112"/>
              <w:jc w:val="left"/>
              <w:rPr>
                <w:sz w:val="15"/>
                <w:szCs w:val="15"/>
              </w:rPr>
            </w:pPr>
            <w:r w:rsidRPr="00584315">
              <w:rPr>
                <w:sz w:val="15"/>
                <w:szCs w:val="15"/>
              </w:rPr>
              <w:t>State’s covered payroll</w:t>
            </w:r>
          </w:p>
          <w:p w:rsidR="005C6B61" w:rsidRPr="00584315" w:rsidRDefault="005C6B61" w:rsidP="000D32C5">
            <w:pPr>
              <w:keepNext/>
              <w:keepLines/>
              <w:widowControl w:val="0"/>
              <w:ind w:left="112" w:hanging="112"/>
              <w:jc w:val="left"/>
              <w:rPr>
                <w:sz w:val="15"/>
                <w:szCs w:val="15"/>
              </w:rPr>
            </w:pPr>
          </w:p>
        </w:tc>
        <w:tc>
          <w:tcPr>
            <w:tcW w:w="1012" w:type="dxa"/>
          </w:tcPr>
          <w:p w:rsidR="005C6B61" w:rsidRPr="00584315" w:rsidRDefault="005C6B61" w:rsidP="000D32C5">
            <w:pPr>
              <w:keepNext/>
              <w:keepLines/>
              <w:widowControl w:val="0"/>
              <w:jc w:val="right"/>
              <w:rPr>
                <w:sz w:val="14"/>
                <w:szCs w:val="14"/>
              </w:rPr>
            </w:pPr>
            <w:r w:rsidRPr="00584315">
              <w:rPr>
                <w:sz w:val="14"/>
                <w:szCs w:val="14"/>
              </w:rPr>
              <w:t>$55,706</w:t>
            </w:r>
          </w:p>
        </w:tc>
        <w:tc>
          <w:tcPr>
            <w:tcW w:w="990" w:type="dxa"/>
          </w:tcPr>
          <w:p w:rsidR="005C6B61" w:rsidRPr="00584315" w:rsidRDefault="005C6B61" w:rsidP="000D32C5">
            <w:pPr>
              <w:keepNext/>
              <w:keepLines/>
              <w:widowControl w:val="0"/>
              <w:jc w:val="right"/>
              <w:rPr>
                <w:sz w:val="14"/>
                <w:szCs w:val="14"/>
              </w:rPr>
            </w:pPr>
            <w:r w:rsidRPr="00584315">
              <w:rPr>
                <w:sz w:val="14"/>
                <w:szCs w:val="14"/>
              </w:rPr>
              <w:t>$46,764</w:t>
            </w:r>
          </w:p>
        </w:tc>
        <w:tc>
          <w:tcPr>
            <w:tcW w:w="1017" w:type="dxa"/>
          </w:tcPr>
          <w:p w:rsidR="005C6B61" w:rsidRPr="00584315" w:rsidRDefault="005C6B61" w:rsidP="000D32C5">
            <w:pPr>
              <w:keepNext/>
              <w:keepLines/>
              <w:widowControl w:val="0"/>
              <w:jc w:val="right"/>
              <w:rPr>
                <w:sz w:val="14"/>
                <w:szCs w:val="14"/>
              </w:rPr>
            </w:pPr>
            <w:r w:rsidRPr="00584315">
              <w:rPr>
                <w:sz w:val="14"/>
                <w:szCs w:val="14"/>
              </w:rPr>
              <w:t>$46,320</w:t>
            </w:r>
          </w:p>
        </w:tc>
        <w:tc>
          <w:tcPr>
            <w:tcW w:w="873" w:type="dxa"/>
          </w:tcPr>
          <w:p w:rsidR="005C6B61" w:rsidRPr="00584315" w:rsidRDefault="005C6B61" w:rsidP="000D32C5">
            <w:pPr>
              <w:keepNext/>
              <w:keepLines/>
              <w:widowControl w:val="0"/>
              <w:jc w:val="right"/>
              <w:rPr>
                <w:sz w:val="14"/>
                <w:szCs w:val="14"/>
              </w:rPr>
            </w:pPr>
            <w:r w:rsidRPr="00584315">
              <w:rPr>
                <w:sz w:val="14"/>
                <w:szCs w:val="14"/>
              </w:rPr>
              <w:t>$44,159</w:t>
            </w:r>
          </w:p>
        </w:tc>
        <w:tc>
          <w:tcPr>
            <w:tcW w:w="904" w:type="dxa"/>
          </w:tcPr>
          <w:p w:rsidR="005C6B61" w:rsidRPr="00584315" w:rsidRDefault="005C6B61" w:rsidP="000D32C5">
            <w:pPr>
              <w:keepNext/>
              <w:keepLines/>
              <w:widowControl w:val="0"/>
              <w:jc w:val="right"/>
              <w:rPr>
                <w:sz w:val="14"/>
                <w:szCs w:val="14"/>
              </w:rPr>
            </w:pPr>
            <w:r w:rsidRPr="00584315">
              <w:rPr>
                <w:sz w:val="14"/>
                <w:szCs w:val="14"/>
              </w:rPr>
              <w:t>$40,114</w:t>
            </w:r>
          </w:p>
        </w:tc>
        <w:tc>
          <w:tcPr>
            <w:tcW w:w="921" w:type="dxa"/>
            <w:gridSpan w:val="2"/>
          </w:tcPr>
          <w:p w:rsidR="005C6B61" w:rsidRPr="00584315" w:rsidRDefault="005C6B61" w:rsidP="000D32C5">
            <w:pPr>
              <w:keepNext/>
              <w:keepLines/>
              <w:widowControl w:val="0"/>
              <w:jc w:val="right"/>
              <w:rPr>
                <w:sz w:val="14"/>
                <w:szCs w:val="14"/>
              </w:rPr>
            </w:pPr>
            <w:r w:rsidRPr="00584315">
              <w:rPr>
                <w:sz w:val="14"/>
                <w:szCs w:val="14"/>
              </w:rPr>
              <w:t>$37,203</w:t>
            </w:r>
          </w:p>
        </w:tc>
      </w:tr>
      <w:tr w:rsidR="005C6B61" w:rsidRPr="00584315" w:rsidTr="000D32C5">
        <w:trPr>
          <w:gridAfter w:val="1"/>
          <w:wAfter w:w="17" w:type="dxa"/>
          <w:jc w:val="center"/>
        </w:trPr>
        <w:tc>
          <w:tcPr>
            <w:tcW w:w="4377" w:type="dxa"/>
            <w:vAlign w:val="bottom"/>
          </w:tcPr>
          <w:p w:rsidR="005C6B61" w:rsidRPr="00584315" w:rsidRDefault="005C6B61" w:rsidP="000D32C5">
            <w:pPr>
              <w:keepNext/>
              <w:keepLines/>
              <w:widowControl w:val="0"/>
              <w:ind w:left="112" w:hanging="112"/>
              <w:jc w:val="left"/>
              <w:rPr>
                <w:sz w:val="15"/>
                <w:szCs w:val="15"/>
              </w:rPr>
            </w:pPr>
            <w:r w:rsidRPr="00584315">
              <w:rPr>
                <w:sz w:val="15"/>
                <w:szCs w:val="15"/>
              </w:rPr>
              <w:t>State’s proportionate share of the net pension liability as a percentage of its covered payroll</w:t>
            </w:r>
          </w:p>
          <w:p w:rsidR="005C6B61" w:rsidRPr="00584315" w:rsidRDefault="005C6B61" w:rsidP="000D32C5">
            <w:pPr>
              <w:keepNext/>
              <w:keepLines/>
              <w:widowControl w:val="0"/>
              <w:ind w:left="112" w:hanging="112"/>
              <w:jc w:val="left"/>
              <w:rPr>
                <w:sz w:val="15"/>
                <w:szCs w:val="15"/>
              </w:rPr>
            </w:pPr>
          </w:p>
        </w:tc>
        <w:tc>
          <w:tcPr>
            <w:tcW w:w="1012" w:type="dxa"/>
          </w:tcPr>
          <w:p w:rsidR="005C6B61" w:rsidRPr="00584315" w:rsidRDefault="005C6B61" w:rsidP="000D32C5">
            <w:pPr>
              <w:keepNext/>
              <w:keepLines/>
              <w:widowControl w:val="0"/>
              <w:jc w:val="right"/>
              <w:rPr>
                <w:sz w:val="14"/>
                <w:szCs w:val="14"/>
              </w:rPr>
            </w:pPr>
            <w:r w:rsidRPr="00584315">
              <w:rPr>
                <w:sz w:val="14"/>
                <w:szCs w:val="14"/>
              </w:rPr>
              <w:t>240.68%</w:t>
            </w:r>
          </w:p>
        </w:tc>
        <w:tc>
          <w:tcPr>
            <w:tcW w:w="990" w:type="dxa"/>
          </w:tcPr>
          <w:p w:rsidR="005C6B61" w:rsidRPr="00584315" w:rsidRDefault="005C6B61" w:rsidP="000D32C5">
            <w:pPr>
              <w:keepNext/>
              <w:keepLines/>
              <w:widowControl w:val="0"/>
              <w:jc w:val="right"/>
              <w:rPr>
                <w:sz w:val="14"/>
                <w:szCs w:val="14"/>
              </w:rPr>
            </w:pPr>
            <w:r w:rsidRPr="00584315">
              <w:rPr>
                <w:sz w:val="14"/>
                <w:szCs w:val="14"/>
              </w:rPr>
              <w:t>466.46%</w:t>
            </w:r>
          </w:p>
        </w:tc>
        <w:tc>
          <w:tcPr>
            <w:tcW w:w="1017" w:type="dxa"/>
          </w:tcPr>
          <w:p w:rsidR="005C6B61" w:rsidRPr="00584315" w:rsidRDefault="005C6B61" w:rsidP="000D32C5">
            <w:pPr>
              <w:keepNext/>
              <w:keepLines/>
              <w:widowControl w:val="0"/>
              <w:jc w:val="right"/>
              <w:rPr>
                <w:sz w:val="14"/>
                <w:szCs w:val="14"/>
              </w:rPr>
            </w:pPr>
            <w:r w:rsidRPr="00584315">
              <w:rPr>
                <w:sz w:val="14"/>
                <w:szCs w:val="14"/>
              </w:rPr>
              <w:t>516.89%</w:t>
            </w:r>
          </w:p>
        </w:tc>
        <w:tc>
          <w:tcPr>
            <w:tcW w:w="873" w:type="dxa"/>
          </w:tcPr>
          <w:p w:rsidR="005C6B61" w:rsidRPr="00584315" w:rsidRDefault="005C6B61" w:rsidP="000D32C5">
            <w:pPr>
              <w:keepNext/>
              <w:keepLines/>
              <w:widowControl w:val="0"/>
              <w:jc w:val="right"/>
              <w:rPr>
                <w:sz w:val="14"/>
                <w:szCs w:val="14"/>
              </w:rPr>
            </w:pPr>
            <w:r w:rsidRPr="00584315">
              <w:rPr>
                <w:sz w:val="14"/>
                <w:szCs w:val="14"/>
              </w:rPr>
              <w:t>391.37%</w:t>
            </w:r>
          </w:p>
        </w:tc>
        <w:tc>
          <w:tcPr>
            <w:tcW w:w="904" w:type="dxa"/>
          </w:tcPr>
          <w:p w:rsidR="005C6B61" w:rsidRPr="00584315" w:rsidRDefault="005C6B61" w:rsidP="000D32C5">
            <w:pPr>
              <w:keepNext/>
              <w:keepLines/>
              <w:widowControl w:val="0"/>
              <w:jc w:val="right"/>
              <w:rPr>
                <w:sz w:val="14"/>
                <w:szCs w:val="14"/>
              </w:rPr>
            </w:pPr>
            <w:r w:rsidRPr="00584315">
              <w:rPr>
                <w:sz w:val="14"/>
                <w:szCs w:val="14"/>
              </w:rPr>
              <w:t>322.83%</w:t>
            </w:r>
          </w:p>
        </w:tc>
        <w:tc>
          <w:tcPr>
            <w:tcW w:w="921" w:type="dxa"/>
            <w:gridSpan w:val="2"/>
          </w:tcPr>
          <w:p w:rsidR="005C6B61" w:rsidRPr="00584315" w:rsidRDefault="005C6B61" w:rsidP="000D32C5">
            <w:pPr>
              <w:keepNext/>
              <w:keepLines/>
              <w:widowControl w:val="0"/>
              <w:jc w:val="right"/>
              <w:rPr>
                <w:sz w:val="14"/>
                <w:szCs w:val="14"/>
              </w:rPr>
            </w:pPr>
            <w:r w:rsidRPr="00584315">
              <w:rPr>
                <w:sz w:val="14"/>
                <w:szCs w:val="14"/>
              </w:rPr>
              <w:t>276.20%</w:t>
            </w:r>
          </w:p>
        </w:tc>
      </w:tr>
      <w:tr w:rsidR="005C6B61" w:rsidRPr="00584315" w:rsidTr="000D32C5">
        <w:trPr>
          <w:gridAfter w:val="1"/>
          <w:wAfter w:w="17" w:type="dxa"/>
          <w:jc w:val="center"/>
        </w:trPr>
        <w:tc>
          <w:tcPr>
            <w:tcW w:w="4377" w:type="dxa"/>
            <w:vAlign w:val="bottom"/>
          </w:tcPr>
          <w:p w:rsidR="005C6B61" w:rsidRPr="00584315" w:rsidRDefault="005C6B61" w:rsidP="000D32C5">
            <w:pPr>
              <w:keepNext/>
              <w:keepLines/>
              <w:widowControl w:val="0"/>
              <w:ind w:left="112" w:hanging="112"/>
              <w:jc w:val="left"/>
              <w:rPr>
                <w:sz w:val="15"/>
                <w:szCs w:val="15"/>
              </w:rPr>
            </w:pPr>
            <w:r w:rsidRPr="00584315">
              <w:rPr>
                <w:sz w:val="15"/>
                <w:szCs w:val="15"/>
              </w:rPr>
              <w:t>Plan fiduciary net position as a percentage of the total pension liability</w:t>
            </w:r>
          </w:p>
        </w:tc>
        <w:tc>
          <w:tcPr>
            <w:tcW w:w="1012" w:type="dxa"/>
          </w:tcPr>
          <w:p w:rsidR="005C6B61" w:rsidRPr="00584315" w:rsidRDefault="005C6B61" w:rsidP="000D32C5">
            <w:pPr>
              <w:keepNext/>
              <w:keepLines/>
              <w:widowControl w:val="0"/>
              <w:jc w:val="right"/>
              <w:rPr>
                <w:sz w:val="14"/>
                <w:szCs w:val="14"/>
              </w:rPr>
            </w:pPr>
            <w:r w:rsidRPr="00584315">
              <w:rPr>
                <w:sz w:val="14"/>
                <w:szCs w:val="14"/>
              </w:rPr>
              <w:t>68.48%</w:t>
            </w:r>
          </w:p>
        </w:tc>
        <w:tc>
          <w:tcPr>
            <w:tcW w:w="990" w:type="dxa"/>
          </w:tcPr>
          <w:p w:rsidR="005C6B61" w:rsidRPr="00584315" w:rsidRDefault="005C6B61" w:rsidP="000D32C5">
            <w:pPr>
              <w:keepNext/>
              <w:keepLines/>
              <w:widowControl w:val="0"/>
              <w:jc w:val="right"/>
              <w:rPr>
                <w:sz w:val="14"/>
                <w:szCs w:val="14"/>
              </w:rPr>
            </w:pPr>
            <w:r w:rsidRPr="00584315">
              <w:rPr>
                <w:sz w:val="14"/>
                <w:szCs w:val="14"/>
              </w:rPr>
              <w:t>58.70%</w:t>
            </w:r>
          </w:p>
        </w:tc>
        <w:tc>
          <w:tcPr>
            <w:tcW w:w="1017" w:type="dxa"/>
          </w:tcPr>
          <w:p w:rsidR="005C6B61" w:rsidRPr="00584315" w:rsidRDefault="005C6B61" w:rsidP="000D32C5">
            <w:pPr>
              <w:keepNext/>
              <w:keepLines/>
              <w:widowControl w:val="0"/>
              <w:jc w:val="right"/>
              <w:rPr>
                <w:sz w:val="14"/>
                <w:szCs w:val="14"/>
              </w:rPr>
            </w:pPr>
            <w:r w:rsidRPr="00584315">
              <w:rPr>
                <w:sz w:val="14"/>
                <w:szCs w:val="14"/>
              </w:rPr>
              <w:t>53.19%</w:t>
            </w:r>
          </w:p>
        </w:tc>
        <w:tc>
          <w:tcPr>
            <w:tcW w:w="873" w:type="dxa"/>
          </w:tcPr>
          <w:p w:rsidR="005C6B61" w:rsidRPr="00584315" w:rsidRDefault="005C6B61" w:rsidP="000D32C5">
            <w:pPr>
              <w:keepNext/>
              <w:keepLines/>
              <w:widowControl w:val="0"/>
              <w:jc w:val="right"/>
              <w:rPr>
                <w:sz w:val="14"/>
                <w:szCs w:val="14"/>
              </w:rPr>
            </w:pPr>
            <w:r w:rsidRPr="00584315">
              <w:rPr>
                <w:sz w:val="14"/>
                <w:szCs w:val="14"/>
              </w:rPr>
              <w:t>60.13%</w:t>
            </w:r>
          </w:p>
        </w:tc>
        <w:tc>
          <w:tcPr>
            <w:tcW w:w="904" w:type="dxa"/>
          </w:tcPr>
          <w:p w:rsidR="005C6B61" w:rsidRPr="00584315" w:rsidRDefault="005C6B61" w:rsidP="000D32C5">
            <w:pPr>
              <w:keepNext/>
              <w:keepLines/>
              <w:widowControl w:val="0"/>
              <w:jc w:val="right"/>
              <w:rPr>
                <w:sz w:val="14"/>
                <w:szCs w:val="14"/>
              </w:rPr>
            </w:pPr>
            <w:r w:rsidRPr="00584315">
              <w:rPr>
                <w:sz w:val="14"/>
                <w:szCs w:val="14"/>
              </w:rPr>
              <w:t>66.89%</w:t>
            </w:r>
          </w:p>
        </w:tc>
        <w:tc>
          <w:tcPr>
            <w:tcW w:w="921" w:type="dxa"/>
            <w:gridSpan w:val="2"/>
          </w:tcPr>
          <w:p w:rsidR="005C6B61" w:rsidRPr="00584315" w:rsidRDefault="005C6B61" w:rsidP="000D32C5">
            <w:pPr>
              <w:keepNext/>
              <w:keepLines/>
              <w:widowControl w:val="0"/>
              <w:jc w:val="right"/>
              <w:rPr>
                <w:sz w:val="14"/>
                <w:szCs w:val="14"/>
              </w:rPr>
            </w:pPr>
            <w:r w:rsidRPr="00584315">
              <w:rPr>
                <w:sz w:val="14"/>
                <w:szCs w:val="14"/>
              </w:rPr>
              <w:t>77.41%</w:t>
            </w:r>
          </w:p>
        </w:tc>
      </w:tr>
      <w:tr w:rsidR="005C6B61" w:rsidRPr="00584315" w:rsidTr="000D32C5">
        <w:trPr>
          <w:gridAfter w:val="1"/>
          <w:wAfter w:w="17" w:type="dxa"/>
          <w:jc w:val="center"/>
        </w:trPr>
        <w:tc>
          <w:tcPr>
            <w:tcW w:w="10094" w:type="dxa"/>
            <w:gridSpan w:val="8"/>
            <w:vAlign w:val="bottom"/>
          </w:tcPr>
          <w:p w:rsidR="005C6B61" w:rsidRPr="00584315" w:rsidRDefault="005C6B61" w:rsidP="000D32C5">
            <w:pPr>
              <w:keepNext/>
              <w:keepLines/>
              <w:widowControl w:val="0"/>
              <w:rPr>
                <w:sz w:val="16"/>
                <w:szCs w:val="16"/>
              </w:rPr>
            </w:pPr>
            <w:r w:rsidRPr="00584315">
              <w:rPr>
                <w:sz w:val="16"/>
                <w:szCs w:val="16"/>
                <w:u w:val="single"/>
              </w:rPr>
              <w:tab/>
            </w:r>
            <w:r w:rsidRPr="00584315">
              <w:rPr>
                <w:sz w:val="16"/>
                <w:szCs w:val="16"/>
                <w:u w:val="single"/>
              </w:rPr>
              <w:tab/>
            </w:r>
            <w:r w:rsidRPr="00584315">
              <w:rPr>
                <w:sz w:val="16"/>
                <w:szCs w:val="16"/>
                <w:u w:val="single"/>
              </w:rPr>
              <w:tab/>
            </w:r>
          </w:p>
          <w:p w:rsidR="005C6B61" w:rsidRPr="00584315" w:rsidRDefault="005C6B61" w:rsidP="000D32C5">
            <w:pPr>
              <w:keepNext/>
              <w:keepLines/>
              <w:widowControl w:val="0"/>
              <w:ind w:left="167" w:hanging="167"/>
              <w:rPr>
                <w:sz w:val="16"/>
                <w:szCs w:val="16"/>
              </w:rPr>
            </w:pPr>
            <w:r w:rsidRPr="00584315">
              <w:rPr>
                <w:sz w:val="16"/>
                <w:szCs w:val="16"/>
                <w:vertAlign w:val="superscript"/>
              </w:rPr>
              <w:t>1</w:t>
            </w:r>
            <w:r w:rsidRPr="00584315">
              <w:rPr>
                <w:sz w:val="16"/>
                <w:szCs w:val="16"/>
              </w:rPr>
              <w:tab/>
              <w:t>The amounts presented for each Fiscal Year were determined as of the calendar year-end that occurred within the Fiscal Year and were calculated as described in Note 6 to the Financial Statements and Note RSI-2 to the Required Supplementary Information in the State’s Fiscal Year 2018-19 CAFR appended to this Official Statement.</w:t>
            </w:r>
          </w:p>
          <w:p w:rsidR="005C6B61" w:rsidRPr="00584315" w:rsidRDefault="005C6B61" w:rsidP="000D32C5">
            <w:pPr>
              <w:keepNext/>
              <w:keepLines/>
              <w:widowControl w:val="0"/>
              <w:rPr>
                <w:sz w:val="14"/>
                <w:szCs w:val="14"/>
              </w:rPr>
            </w:pPr>
            <w:r w:rsidRPr="00584315">
              <w:rPr>
                <w:sz w:val="16"/>
                <w:szCs w:val="16"/>
              </w:rPr>
              <w:t>Source:  State Fiscal Year 2018-19 CAFR</w:t>
            </w:r>
          </w:p>
        </w:tc>
      </w:tr>
    </w:tbl>
    <w:p w:rsidR="00D11B62" w:rsidRDefault="00D11B62" w:rsidP="005C6B61"/>
    <w:p w:rsidR="005C6B61" w:rsidRDefault="005C6B61" w:rsidP="005C6B61">
      <w:pPr>
        <w:pStyle w:val="BodyText1"/>
      </w:pPr>
      <w:r>
        <w:t>A ten year history of the State’s contribution to PERA for the State and Judicial Divisions is also included in Note RSI-2 to the Required Supplementary Information in the State’s Fiscal Year 2018-19 CAFR appended to this Official Statement.  See also “Overall Financial Position and Results of Operations” in the Management’s Discussion and Analysis and Notes 1 and 6-8 to the Financial Statements in the State’s Fiscal Year 2018-19 CAFR.</w:t>
      </w:r>
    </w:p>
    <w:p w:rsidR="005C6B61" w:rsidRDefault="005C6B61" w:rsidP="005C6B61">
      <w:pPr>
        <w:pStyle w:val="BodyText1"/>
      </w:pPr>
      <w:r>
        <w:t>GASB Statement No. 75, “Accounting and Financial Reporting for Postemployment Benefits Other Than Pensions” (“GASB 75”), is effective for fiscal years beginning after June 15, 2017, and accordingly was first implemented in the State’s Fiscal Year 2018-19 CAFR.  GASB 75 requires, for purposes of governmental financial reporting, that the State recognize a liability for its proportionate share of the net Other Post-Employment Benefits (“OPEB”) liability (of all employers for benefits provided through the OPEB plan), i.e., the collective net OPEB liability.  The State is also required to recognize OPEB expense and report deferred outflows of resources and deferred inflows of resources related to OPEB for its proportionate shares of collective OPEB expense and collective deferred outflows of resources and deferred inflows of resources related to OPEB.  GASB 75 also requires additional footnote disclosures about the pension trust fund in the financial statements.</w:t>
      </w:r>
    </w:p>
    <w:p w:rsidR="005C6B61" w:rsidRDefault="005C6B61" w:rsidP="005C6B61">
      <w:pPr>
        <w:pStyle w:val="OSappendixsubheading0"/>
      </w:pPr>
      <w:r>
        <w:t>Effect of Pension Liability on the Series 2020 Certificates</w:t>
      </w:r>
    </w:p>
    <w:p w:rsidR="005C6B61" w:rsidRDefault="005C6B61" w:rsidP="005C6B61">
      <w:pPr>
        <w:pStyle w:val="BodyText1"/>
      </w:pPr>
      <w:r>
        <w:t>No assurances can be given that the assumptions underlying any current or future plans of the State to address its pension liabilities will be realized or that actual events will not cause material changes to the pension data presented in this Official Statement, including in this Appendix.  The General Assembly and Governor are ultimately responsible for passing any legislation which would make material changes to PERA retirement plans.  No assurance can be given that any legislative changes aimed at decreasing the State’s pension liability will be enacted.  The State’s current pension liability or any increase in the State’s pension liability may have a material adverse effect on the State’s ability to fully pay its obligations, including the Series 2020 Certificates.</w:t>
      </w:r>
    </w:p>
    <w:p w:rsidR="005C6B61" w:rsidRDefault="005C6B61" w:rsidP="005C6B61"/>
    <w:p w:rsidR="00D11B62" w:rsidRDefault="005C6B61" w:rsidP="005C6B61">
      <w:pPr>
        <w:jc w:val="center"/>
      </w:pPr>
      <w:r>
        <w:t>[Remainder of page intentionally left blank]</w:t>
      </w:r>
    </w:p>
    <w:p w:rsidR="00D11B62" w:rsidRDefault="00D11B62" w:rsidP="00347EFC"/>
    <w:p w:rsidR="00D11B62" w:rsidRDefault="00D11B62" w:rsidP="00347EFC"/>
    <w:p w:rsidR="00D11B62" w:rsidRDefault="00D11B62" w:rsidP="00347EFC"/>
    <w:p w:rsidR="00D11B62" w:rsidRDefault="00D11B62" w:rsidP="00347EFC"/>
    <w:p w:rsidR="00D11B62" w:rsidRDefault="00D11B62" w:rsidP="00347EFC"/>
    <w:p w:rsidR="00D11B62" w:rsidRDefault="00D11B62" w:rsidP="00347EFC"/>
    <w:p w:rsidR="00D11B62" w:rsidRDefault="00D11B62" w:rsidP="00347EFC"/>
    <w:p w:rsidR="00D11B62" w:rsidRDefault="00D11B62" w:rsidP="00347EFC"/>
    <w:p w:rsidR="00D11B62" w:rsidRDefault="00D11B62" w:rsidP="00347EFC"/>
    <w:p w:rsidR="00D11B62" w:rsidRDefault="00D11B62" w:rsidP="00347EFC"/>
    <w:p w:rsidR="00CE5CF8" w:rsidRPr="00347EFC" w:rsidRDefault="00CE5CF8" w:rsidP="00347EFC"/>
    <w:p w:rsidR="008249B8" w:rsidRDefault="008249B8" w:rsidP="006123A1">
      <w:pPr>
        <w:sectPr w:rsidR="008249B8" w:rsidSect="009F07A3">
          <w:footerReference w:type="default" r:id="rId49"/>
          <w:footerReference w:type="first" r:id="rId50"/>
          <w:footnotePr>
            <w:numRestart w:val="eachPage"/>
          </w:footnotePr>
          <w:pgSz w:w="12240" w:h="15840"/>
          <w:pgMar w:top="1440" w:right="1440" w:bottom="1440" w:left="1440" w:header="720" w:footer="720" w:gutter="0"/>
          <w:pgNumType w:start="1"/>
          <w:cols w:space="720"/>
          <w:titlePg/>
          <w:docGrid w:linePitch="360"/>
        </w:sectPr>
      </w:pPr>
    </w:p>
    <w:p w:rsidR="006123A1" w:rsidRDefault="006123A1" w:rsidP="0007340F">
      <w:pPr>
        <w:pStyle w:val="TitleNCnotoc"/>
      </w:pPr>
      <w:r>
        <w:t>APPENDIX K</w:t>
      </w:r>
    </w:p>
    <w:p w:rsidR="006123A1" w:rsidRDefault="006123A1" w:rsidP="0007340F">
      <w:pPr>
        <w:pStyle w:val="TitleNCnotoc"/>
      </w:pPr>
      <w:r>
        <w:t>DTC BOOK-ENTRY SYSTEM</w:t>
      </w:r>
    </w:p>
    <w:p w:rsidR="006123A1" w:rsidRDefault="006123A1" w:rsidP="008249B8">
      <w:pPr>
        <w:pStyle w:val="BodyText1"/>
      </w:pPr>
      <w:r>
        <w:t>The information in this Appendix concerning DTC and DTC</w:t>
      </w:r>
      <w:r w:rsidR="00A06786">
        <w:t>’</w:t>
      </w:r>
      <w:r>
        <w:t>s book entry system has been obtained from DTC and contains statements that are believed to describe accurately DTC, the method of effecting book-entry transfers of securities distributed through DTC and certain related matters, but the State takes no responsibility for the accuracy or completeness of such statements.  Beneficial Owners should confirm the following information with DTC or the DTC Participants.</w:t>
      </w:r>
    </w:p>
    <w:p w:rsidR="006123A1" w:rsidRPr="0007340F" w:rsidRDefault="006123A1" w:rsidP="008249B8">
      <w:pPr>
        <w:pStyle w:val="BodyText1"/>
        <w:rPr>
          <w:i/>
        </w:rPr>
      </w:pPr>
      <w:r w:rsidRPr="0007340F">
        <w:rPr>
          <w:i/>
        </w:rPr>
        <w:t xml:space="preserve">None of the Trustee, the State or the Underwriters has any responsibility or obligation to any Beneficial Owner with respect to (i) the accuracy of any records maintained by DTC or any DTC Participant, (ii) the distribution by DTC or any DTC Participant of any notice that is permitted or required to be given to the registered owners of the Series </w:t>
      </w:r>
      <w:r w:rsidR="00480C95">
        <w:rPr>
          <w:i/>
        </w:rPr>
        <w:t>2020R</w:t>
      </w:r>
      <w:r w:rsidRPr="0007340F">
        <w:rPr>
          <w:i/>
        </w:rPr>
        <w:t xml:space="preserve"> Certificates under the Indenture, (iii) the payment by DTC or any DTC Participant of any amounts received under the Indenture with respect to the Series </w:t>
      </w:r>
      <w:r w:rsidR="00480C95">
        <w:rPr>
          <w:i/>
        </w:rPr>
        <w:t>2020R</w:t>
      </w:r>
      <w:r w:rsidRPr="0007340F">
        <w:rPr>
          <w:i/>
        </w:rPr>
        <w:t xml:space="preserve"> Certificates, (iv) any consent given or other action taken by DTC or its nominee as the owner of Series </w:t>
      </w:r>
      <w:r w:rsidR="00480C95">
        <w:rPr>
          <w:i/>
        </w:rPr>
        <w:t>2020R</w:t>
      </w:r>
      <w:r w:rsidRPr="0007340F">
        <w:rPr>
          <w:i/>
        </w:rPr>
        <w:t xml:space="preserve"> Certificates or (v) any other related matter.</w:t>
      </w:r>
    </w:p>
    <w:p w:rsidR="006123A1" w:rsidRDefault="006123A1" w:rsidP="008249B8">
      <w:pPr>
        <w:pStyle w:val="BodyText1"/>
      </w:pPr>
      <w:r>
        <w:t xml:space="preserve">DTC will act as securities depository for the Series </w:t>
      </w:r>
      <w:r w:rsidR="00480C95">
        <w:t>2020R</w:t>
      </w:r>
      <w:r>
        <w:t xml:space="preserve"> Certificates.  The Series </w:t>
      </w:r>
      <w:r w:rsidR="00480C95">
        <w:t>2020R</w:t>
      </w:r>
      <w:r>
        <w:t xml:space="preserve"> Certificates will be in the form of fully registered securities registered in the name of Cede &amp; Co. (DTC</w:t>
      </w:r>
      <w:r w:rsidR="00A06786">
        <w:t>’</w:t>
      </w:r>
      <w:r>
        <w:t>s partnership nominee) or such other name as may be requested by an authorized representative of DTC.  O</w:t>
      </w:r>
      <w:r w:rsidR="00C12E64">
        <w:t xml:space="preserve">ne fully-registered Series </w:t>
      </w:r>
      <w:r w:rsidR="00480C95">
        <w:t>2020R</w:t>
      </w:r>
      <w:r>
        <w:t xml:space="preserve"> Certificate for each maturity of the respective Series of Certificates, in the aggregate principal amount of such maturity, will be executed and delivered and deposited with DTC.</w:t>
      </w:r>
    </w:p>
    <w:p w:rsidR="006123A1" w:rsidRDefault="006123A1" w:rsidP="008249B8">
      <w:pPr>
        <w:pStyle w:val="BodyText1"/>
      </w:pPr>
      <w:r>
        <w:t>DTC, the world</w:t>
      </w:r>
      <w:r w:rsidR="00A06786">
        <w:t>’</w:t>
      </w:r>
      <w:r>
        <w:t xml:space="preserve">s largest securities depository, is a limited purpose trust company organized under the New York Banking Law, a </w:t>
      </w:r>
      <w:r w:rsidR="00A06786">
        <w:t>“</w:t>
      </w:r>
      <w:r>
        <w:t>banking organization</w:t>
      </w:r>
      <w:r w:rsidR="00A06786">
        <w:t>”</w:t>
      </w:r>
      <w:r>
        <w:t xml:space="preserve"> within the meaning of the New York Banking Law, a member of the Federal Reserve System, a </w:t>
      </w:r>
      <w:r w:rsidR="00A06786">
        <w:t>“</w:t>
      </w:r>
      <w:r>
        <w:t>clearing corporation</w:t>
      </w:r>
      <w:r w:rsidR="00A06786">
        <w:t>”</w:t>
      </w:r>
      <w:r>
        <w:t xml:space="preserve"> within the meaning of the New York Uniform Commercial Code, and a </w:t>
      </w:r>
      <w:r w:rsidR="00A06786">
        <w:t>“</w:t>
      </w:r>
      <w:r>
        <w:t>clearing agency</w:t>
      </w:r>
      <w:r w:rsidR="00A06786">
        <w:t>”</w:t>
      </w:r>
      <w:r>
        <w:t xml:space="preserve"> registered pursuant to the provisions of Section 17A of the Securities Exchange Act of 1934, as amended.  DTC holds and provides asset servicing for over 3.5 million issues of U.S. and non U.S. equity issues, corporate and municipal debt issues, and money market instruments (from over 100 countries) that DTC</w:t>
      </w:r>
      <w:r w:rsidR="00A06786">
        <w:t>’</w:t>
      </w:r>
      <w:r>
        <w:t>s participants (</w:t>
      </w:r>
      <w:r w:rsidR="00A06786">
        <w:t>“</w:t>
      </w:r>
      <w:r>
        <w:t>Direct Participants</w:t>
      </w:r>
      <w:r w:rsidR="00A06786">
        <w:t>”</w:t>
      </w:r>
      <w:r>
        <w:t>) deposit with DTC.  DTC also facilitates the post trade settlement among Direct Participants of sales and other securities transactions in deposited securities through electronic computerized book entry transfers and pledges between Direct Participants</w:t>
      </w:r>
      <w:r w:rsidR="00A06786">
        <w:t>’</w:t>
      </w:r>
      <w:r>
        <w:t xml:space="preserve"> accounts.  This eliminates the need for physical movement of securities certificates.  Direct Participants include both U.S. and non-U.S. securities brokers and dealers, banks, trust companies, clearing corporations and certain other organizations.  DTC is a wholly owned subsidiary of The Depository Trust &amp; Clearing Corporation (</w:t>
      </w:r>
      <w:r w:rsidR="00A06786">
        <w:t>“</w:t>
      </w:r>
      <w:r>
        <w:t>DTCC</w:t>
      </w:r>
      <w:r w:rsidR="00A06786">
        <w:t>”</w:t>
      </w:r>
      <w:r>
        <w:t>).  DTCC is the holding company for DTC, National Securities Clearing Corporation and Fixed Income Clearing Corporation, all of which are registered clearing agencies.  DTCC is owned by the users of its regulated subsidiaries.  Access to the DTC system is also available to others such as both U.S. and non U.S. securities brokers and dealers, banks, trust companies and clearing corporations that clear through or maintain a custodial relationship with a Direct Participant, either directly or indirectly (</w:t>
      </w:r>
      <w:r w:rsidR="00A06786">
        <w:t>“</w:t>
      </w:r>
      <w:r>
        <w:t>Indirect Participants</w:t>
      </w:r>
      <w:r w:rsidR="00A06786">
        <w:t>”</w:t>
      </w:r>
      <w:r>
        <w:t xml:space="preserve">).  DTC has an S&amp;P rating of </w:t>
      </w:r>
      <w:r w:rsidR="00A06786">
        <w:t>“</w:t>
      </w:r>
      <w:r>
        <w:t>AA+.</w:t>
      </w:r>
      <w:r w:rsidR="00A06786">
        <w:t>”</w:t>
      </w:r>
      <w:r>
        <w:t xml:space="preserve">  The DTC Rules applicable to its Participants are on file with the Securities and Exchange Commission.  More information about DTC can be found at http://www.dtcc.com and http://www.dtc.org.  The State undertakes no responsibility for and makes no representations as to the accuracy or the completeness of the content of such material contained on such websites as described in the preceding sentence, including, but not limited to, updates of such information or links to other internet sites accessed through the aforementioned websites.</w:t>
      </w:r>
    </w:p>
    <w:p w:rsidR="006123A1" w:rsidRDefault="006123A1" w:rsidP="008249B8">
      <w:pPr>
        <w:pStyle w:val="BodyText1"/>
      </w:pPr>
      <w:r>
        <w:t xml:space="preserve">Purchases of Series </w:t>
      </w:r>
      <w:r w:rsidR="00480C95">
        <w:t>2020R</w:t>
      </w:r>
      <w:r>
        <w:t xml:space="preserve"> Certificates under the DTC system must be made by or through Direct Participants, which will receive a credit for the Series </w:t>
      </w:r>
      <w:r w:rsidR="00480C95">
        <w:t>2020R</w:t>
      </w:r>
      <w:r>
        <w:t xml:space="preserve"> Certificates on DTC</w:t>
      </w:r>
      <w:r w:rsidR="00A06786">
        <w:t>’</w:t>
      </w:r>
      <w:r>
        <w:t xml:space="preserve">s records.  The ownership interest of each Beneficial Owner is in turn recorded on the records of Direct and Indirect Participants.  Beneficial Owners will not receive written confirmation from DTC of their purchase.  Beneficial Owners are, however, expected to receive written confirmations providing details of the transaction, as well as periodic statements of their holdings, from the Direct or Indirect Participant through which the Beneficial Owner entered into the transaction.  Transfers of ownership interests in the Series </w:t>
      </w:r>
      <w:r w:rsidR="00480C95">
        <w:t>2020R</w:t>
      </w:r>
      <w:r>
        <w:t xml:space="preserve"> Certificates are to be accomplished by entries made on the books of Direct and Indirect Participants acting on behalf of Beneficial Owners.  Beneficial Owners will not receive certificates representing their ownership interests in the Series </w:t>
      </w:r>
      <w:r w:rsidR="00480C95">
        <w:t>2020R</w:t>
      </w:r>
      <w:r>
        <w:t xml:space="preserve"> Certificates except in the event that use of the book-entry system for the Series </w:t>
      </w:r>
      <w:r w:rsidR="00480C95">
        <w:t>2020R</w:t>
      </w:r>
      <w:r>
        <w:t xml:space="preserve"> Certificates is discontinued.</w:t>
      </w:r>
    </w:p>
    <w:p w:rsidR="006123A1" w:rsidRDefault="006123A1" w:rsidP="008249B8">
      <w:pPr>
        <w:pStyle w:val="BodyText1"/>
      </w:pPr>
      <w:r>
        <w:t xml:space="preserve">To facilitate subsequent transfers, all Series </w:t>
      </w:r>
      <w:r w:rsidR="00480C95">
        <w:t>2020R</w:t>
      </w:r>
      <w:r>
        <w:t xml:space="preserve"> Certificates deposited by Direct Participants with DTC are registered in the name of DTC</w:t>
      </w:r>
      <w:r w:rsidR="00A06786">
        <w:t>’</w:t>
      </w:r>
      <w:r>
        <w:t xml:space="preserve">s partnership nominee, Cede &amp; Co. or such other name as may be requested by an authorized representative of DTC.  The deposit of Series </w:t>
      </w:r>
      <w:r w:rsidR="00480C95">
        <w:t>2020R</w:t>
      </w:r>
      <w:r>
        <w:t xml:space="preserve"> Certificates with DTC and their registration in the name of Cede &amp; Co. or such other DTC nominee do not effect any change in beneficial ownership.  DTC has no knowledge of the actual Beneficial Owners of the Series </w:t>
      </w:r>
      <w:r w:rsidR="00480C95">
        <w:t>2020R</w:t>
      </w:r>
      <w:r>
        <w:t xml:space="preserve"> Certificates; DTC</w:t>
      </w:r>
      <w:r w:rsidR="00A06786">
        <w:t>’</w:t>
      </w:r>
      <w:r>
        <w:t xml:space="preserve">s records reflect only the identity of the Direct Participants to whose accounts such Series </w:t>
      </w:r>
      <w:r w:rsidR="00480C95">
        <w:t>2020R</w:t>
      </w:r>
      <w:r>
        <w:t xml:space="preserve"> Certificates are credited, which may or may not be the Beneficial Owners.  The Direct and Indirect Participants will remain responsible for keeping account of their holdings on behalf of their customers.</w:t>
      </w:r>
    </w:p>
    <w:p w:rsidR="006123A1" w:rsidRDefault="006123A1" w:rsidP="008249B8">
      <w:pPr>
        <w:pStyle w:val="BodyText1"/>
      </w:pPr>
      <w:r>
        <w:t xml:space="preserve">Conveyance of notices and other communications by DTC to Direct Participants, by Direct Participants to Indirect Participants and by Direct Participants and Indirect Participants to Beneficial Owners will be governed by arrangements among them, subject to any statutory or regulatory requirements as may be in effect from time to time.  Beneficial Owners of Series </w:t>
      </w:r>
      <w:r w:rsidR="00480C95">
        <w:t>2020R</w:t>
      </w:r>
      <w:r>
        <w:t xml:space="preserve"> Certificates may wish to take certain steps to augment the transmission to them of notices of significant events with respect to the Series </w:t>
      </w:r>
      <w:r w:rsidR="00480C95">
        <w:t>2020R</w:t>
      </w:r>
      <w:r>
        <w:t xml:space="preserve"> Certificates, such as redemptions, defaults and proposed amendments to the Indenture.  For example, Beneficial Owners of Series </w:t>
      </w:r>
      <w:r w:rsidR="00480C95">
        <w:t>2020R</w:t>
      </w:r>
      <w:r>
        <w:t xml:space="preserve"> Certificates may wish to ascertain that the nominee holding the Series </w:t>
      </w:r>
      <w:r w:rsidR="00480C95">
        <w:t>2020R</w:t>
      </w:r>
      <w:r>
        <w:t xml:space="preserve"> Certificates for their benefit has agreed to obtain and transmit notices to Beneficial Owners.  In the alternative, Beneficial Owners may wish to provide their names and addresses to the registrar and request that copies of the notices be provided directly to them.</w:t>
      </w:r>
    </w:p>
    <w:p w:rsidR="006123A1" w:rsidRDefault="006123A1" w:rsidP="008249B8">
      <w:pPr>
        <w:pStyle w:val="BodyText1"/>
      </w:pPr>
      <w:r>
        <w:t xml:space="preserve">Neither DTC nor Cede &amp; Co. (nor such other DTC nominee) will consent or vote with respect to the Series </w:t>
      </w:r>
      <w:r w:rsidR="00480C95">
        <w:t>2020R</w:t>
      </w:r>
      <w:r>
        <w:t xml:space="preserve"> Certificates unless authorized by a Direct Participant in accordance with DTC</w:t>
      </w:r>
      <w:r w:rsidR="00A06786">
        <w:t>’</w:t>
      </w:r>
      <w:r>
        <w:t>s MMI Procedures.  Under its usual procedures, DTC mails an Omnibus Proxy to the issuer as soon as possible after the record date.  The Omnibus Proxy assigns Cede &amp; Co.</w:t>
      </w:r>
      <w:r w:rsidR="00A06786">
        <w:t>’</w:t>
      </w:r>
      <w:r>
        <w:t xml:space="preserve">s consenting or voting rights to those Direct Participants to whose accounts the Series </w:t>
      </w:r>
      <w:r w:rsidR="00480C95">
        <w:t>2020R</w:t>
      </w:r>
      <w:r>
        <w:t xml:space="preserve"> Certificates are credited on the record date (identified in a listing attached to the Omnibus Proxy).</w:t>
      </w:r>
    </w:p>
    <w:p w:rsidR="006123A1" w:rsidRDefault="006123A1" w:rsidP="008249B8">
      <w:pPr>
        <w:pStyle w:val="BodyText1"/>
      </w:pPr>
      <w:r>
        <w:t xml:space="preserve">Payments with respect to the Series </w:t>
      </w:r>
      <w:r w:rsidR="00480C95">
        <w:t>2020R</w:t>
      </w:r>
      <w:r>
        <w:t xml:space="preserve"> Certificates will be made to Cede &amp; Co. or such other nominee as may be requested by an authorized representative of DTC.  DTC</w:t>
      </w:r>
      <w:r w:rsidR="00A06786">
        <w:t>’</w:t>
      </w:r>
      <w:r>
        <w:t>s practice is to credit Direct Participants</w:t>
      </w:r>
      <w:r w:rsidR="00A06786">
        <w:t>’</w:t>
      </w:r>
      <w:r>
        <w:t xml:space="preserve"> accounts upon DTC</w:t>
      </w:r>
      <w:r w:rsidR="00A06786">
        <w:t>’</w:t>
      </w:r>
      <w:r>
        <w:t>s receipt of funds and corresponding detail information from the State or the State Treasurer on the payable date in accordance with their respective holdings shown on DTC</w:t>
      </w:r>
      <w:r w:rsidR="00A06786">
        <w:t>’</w:t>
      </w:r>
      <w:r>
        <w:t xml:space="preserve">s records.  Payments by Participants to Beneficial Owners will be governed by standing instructions and customary practices, as is the case with securities held for the accounts of customers in bearer form or registered in </w:t>
      </w:r>
      <w:r w:rsidR="00A06786">
        <w:t>“</w:t>
      </w:r>
      <w:r>
        <w:t>street name,</w:t>
      </w:r>
      <w:r w:rsidR="00A06786">
        <w:t>”</w:t>
      </w:r>
      <w:r>
        <w:t xml:space="preserve"> and will be the responsibility of such Participants and not of DTC, the paying agent or the State, subject to any statutory or regulatory requirements as may be in effect from time to time.  Payments with respect to the Series </w:t>
      </w:r>
      <w:r w:rsidR="00480C95">
        <w:t>2020R</w:t>
      </w:r>
      <w:r>
        <w:t xml:space="preserve"> Certificates to Cede &amp; Co., or to such other nominee as may be requested by an authorized representative of DTC, is the responsibility of the State or the paying agent, disbursement of such payments to Direct Participants is the responsibility of DTC and disbursement of such payments to the Beneficial Owners is the responsibility of Direct and Indirect Participants.</w:t>
      </w:r>
    </w:p>
    <w:p w:rsidR="006123A1" w:rsidRDefault="006123A1" w:rsidP="008249B8">
      <w:pPr>
        <w:pStyle w:val="BodyText1"/>
      </w:pPr>
      <w:r>
        <w:t xml:space="preserve">DTC may discontinue providing its services as securities depository with respect to the Series </w:t>
      </w:r>
      <w:r w:rsidR="00480C95">
        <w:t>2020R</w:t>
      </w:r>
      <w:r>
        <w:t xml:space="preserve"> Certificates at any time by giving reasonable notice to the State.  Under such circumstances, in the event that a successor securities depository is not obtained, Series </w:t>
      </w:r>
      <w:r w:rsidR="00480C95">
        <w:t>2020R</w:t>
      </w:r>
      <w:r>
        <w:t xml:space="preserve"> Certificate certificates are required to be printed and delivered to the appropriate registered owners of the Series </w:t>
      </w:r>
      <w:r w:rsidR="00480C95">
        <w:t>2020R</w:t>
      </w:r>
      <w:r>
        <w:t xml:space="preserve"> Certificates.</w:t>
      </w:r>
    </w:p>
    <w:p w:rsidR="00F0350F" w:rsidRPr="003F4EE4" w:rsidRDefault="006123A1" w:rsidP="008249B8">
      <w:pPr>
        <w:pStyle w:val="BodyText1"/>
      </w:pPr>
      <w:r>
        <w:t xml:space="preserve">The State may at any time decide to discontinue use of the system of book-entry-only transfers through DTC (or a successor securities depository) with respect to the Series </w:t>
      </w:r>
      <w:r w:rsidR="00480C95">
        <w:t>2020R</w:t>
      </w:r>
      <w:r>
        <w:t xml:space="preserve"> Certificates.  In that event, Series </w:t>
      </w:r>
      <w:r w:rsidR="00480C95">
        <w:t>2020R</w:t>
      </w:r>
      <w:r>
        <w:t xml:space="preserve"> Certificate certificates will be printed and delivered to DTC.</w:t>
      </w:r>
    </w:p>
    <w:sectPr w:rsidR="00F0350F" w:rsidRPr="003F4EE4" w:rsidSect="009F07A3">
      <w:footerReference w:type="default" r:id="rId51"/>
      <w:footerReference w:type="first" r:id="rId52"/>
      <w:footnotePr>
        <w:numRestart w:val="eachPage"/>
      </w:footnotePr>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BE7" w:rsidRDefault="001F0BE7" w:rsidP="00580ECB">
      <w:r>
        <w:separator/>
      </w:r>
    </w:p>
  </w:endnote>
  <w:endnote w:type="continuationSeparator" w:id="0">
    <w:p w:rsidR="001F0BE7" w:rsidRDefault="001F0BE7" w:rsidP="00580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77A" w:rsidRDefault="0091777A">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BE7" w:rsidRPr="0051705E" w:rsidRDefault="001F0BE7" w:rsidP="0051705E">
    <w:pPr>
      <w:jc w:val="center"/>
    </w:pPr>
  </w:p>
  <w:p w:rsidR="001F0BE7" w:rsidRPr="000C7901" w:rsidRDefault="0091777A" w:rsidP="000C7901">
    <w:pPr>
      <w:pStyle w:val="DocID"/>
    </w:pPr>
    <w:r>
      <w:fldChar w:fldCharType="begin"/>
    </w:r>
    <w:r>
      <w:instrText xml:space="preserve"> DOCPROPERTY "DocID" </w:instrText>
    </w:r>
    <w:r>
      <w:fldChar w:fldCharType="separate"/>
    </w:r>
    <w:r w:rsidR="000C7901">
      <w:t>52546360.1</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BE7" w:rsidRPr="0051705E" w:rsidRDefault="001F0BE7" w:rsidP="0051705E">
    <w:pPr>
      <w:jc w:val="center"/>
    </w:pPr>
    <w:r>
      <w:t>A-</w:t>
    </w:r>
    <w:r>
      <w:fldChar w:fldCharType="begin"/>
    </w:r>
    <w:r>
      <w:instrText xml:space="preserve"> PAGE   \* MERGEFORMAT </w:instrText>
    </w:r>
    <w:r>
      <w:fldChar w:fldCharType="separate"/>
    </w:r>
    <w:r w:rsidR="000C7901">
      <w:rPr>
        <w:noProof/>
      </w:rPr>
      <w:t>1</w:t>
    </w:r>
    <w:r>
      <w:rPr>
        <w:noProof/>
      </w:rPr>
      <w:fldChar w:fldCharType="end"/>
    </w:r>
  </w:p>
  <w:p w:rsidR="001F0BE7" w:rsidRPr="000C7901" w:rsidRDefault="0091777A" w:rsidP="000C7901">
    <w:pPr>
      <w:pStyle w:val="DocID"/>
    </w:pPr>
    <w:r>
      <w:fldChar w:fldCharType="begin"/>
    </w:r>
    <w:r>
      <w:instrText xml:space="preserve"> DOCPROPERTY "DocID" </w:instrText>
    </w:r>
    <w:r>
      <w:fldChar w:fldCharType="separate"/>
    </w:r>
    <w:r w:rsidR="000C7901">
      <w:t>52546360.1</w:t>
    </w:r>
    <w: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BE7" w:rsidRPr="0051705E" w:rsidRDefault="001F0BE7" w:rsidP="0051705E">
    <w:pPr>
      <w:jc w:val="center"/>
    </w:pPr>
  </w:p>
  <w:p w:rsidR="001F0BE7" w:rsidRPr="000C7901" w:rsidRDefault="0091777A" w:rsidP="000C7901">
    <w:pPr>
      <w:pStyle w:val="DocID"/>
    </w:pPr>
    <w:r>
      <w:fldChar w:fldCharType="begin"/>
    </w:r>
    <w:r>
      <w:instrText xml:space="preserve"> DOCPROPERTY "DocID" </w:instrText>
    </w:r>
    <w:r>
      <w:fldChar w:fldCharType="separate"/>
    </w:r>
    <w:r w:rsidR="000C7901">
      <w:t>52546360.1</w:t>
    </w:r>
    <w: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BE7" w:rsidRDefault="001F0BE7" w:rsidP="00580ECB">
    <w:pPr>
      <w:pStyle w:val="Footer"/>
      <w:jc w:val="center"/>
      <w:rPr>
        <w:rStyle w:val="PageNumber"/>
      </w:rPr>
    </w:pPr>
    <w:r>
      <w:rPr>
        <w:rStyle w:val="PageNumber"/>
      </w:rPr>
      <w:t>C-</w:t>
    </w:r>
    <w:r w:rsidRPr="0051705E">
      <w:rPr>
        <w:rStyle w:val="PageNumber"/>
      </w:rPr>
      <w:fldChar w:fldCharType="begin"/>
    </w:r>
    <w:r w:rsidRPr="0051705E">
      <w:rPr>
        <w:rStyle w:val="PageNumber"/>
      </w:rPr>
      <w:instrText xml:space="preserve"> PAGE   \* MERGEFORMAT </w:instrText>
    </w:r>
    <w:r w:rsidRPr="0051705E">
      <w:rPr>
        <w:rStyle w:val="PageNumber"/>
      </w:rPr>
      <w:fldChar w:fldCharType="separate"/>
    </w:r>
    <w:r>
      <w:rPr>
        <w:rStyle w:val="PageNumber"/>
        <w:noProof/>
      </w:rPr>
      <w:t>5</w:t>
    </w:r>
    <w:r w:rsidRPr="0051705E">
      <w:rPr>
        <w:rStyle w:val="PageNumber"/>
        <w:noProof/>
      </w:rPr>
      <w:fldChar w:fldCharType="end"/>
    </w:r>
  </w:p>
  <w:p w:rsidR="001F0BE7" w:rsidRPr="009105A0" w:rsidRDefault="001F0BE7" w:rsidP="009105A0">
    <w:pPr>
      <w:pStyle w:val="DocID"/>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BE7" w:rsidRPr="0051705E" w:rsidRDefault="001F0BE7" w:rsidP="0051705E">
    <w:pPr>
      <w:jc w:val="center"/>
    </w:pPr>
    <w:r>
      <w:t>B-</w:t>
    </w:r>
    <w:r>
      <w:fldChar w:fldCharType="begin"/>
    </w:r>
    <w:r>
      <w:instrText xml:space="preserve"> PAGE   \* MERGEFORMAT </w:instrText>
    </w:r>
    <w:r>
      <w:fldChar w:fldCharType="separate"/>
    </w:r>
    <w:r w:rsidR="000C7901">
      <w:rPr>
        <w:noProof/>
      </w:rPr>
      <w:t>1</w:t>
    </w:r>
    <w:r>
      <w:rPr>
        <w:noProof/>
      </w:rPr>
      <w:fldChar w:fldCharType="end"/>
    </w:r>
  </w:p>
  <w:p w:rsidR="001F0BE7" w:rsidRPr="000C7901" w:rsidRDefault="0091777A" w:rsidP="000C7901">
    <w:pPr>
      <w:pStyle w:val="DocID"/>
    </w:pPr>
    <w:r>
      <w:fldChar w:fldCharType="begin"/>
    </w:r>
    <w:r>
      <w:instrText xml:space="preserve"> DOCPROPERTY "DocID" </w:instrText>
    </w:r>
    <w:r>
      <w:fldChar w:fldCharType="separate"/>
    </w:r>
    <w:r w:rsidR="000C7901">
      <w:t>52546360.1</w:t>
    </w:r>
    <w: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BE7" w:rsidRPr="0051705E" w:rsidRDefault="001F0BE7" w:rsidP="0051705E">
    <w:pPr>
      <w:jc w:val="center"/>
    </w:pPr>
  </w:p>
  <w:p w:rsidR="001F0BE7" w:rsidRPr="000C7901" w:rsidRDefault="0091777A" w:rsidP="000C7901">
    <w:pPr>
      <w:pStyle w:val="DocID"/>
    </w:pPr>
    <w:r>
      <w:fldChar w:fldCharType="begin"/>
    </w:r>
    <w:r>
      <w:instrText xml:space="preserve"> DOCPROPERTY "DocID" </w:instrText>
    </w:r>
    <w:r>
      <w:fldChar w:fldCharType="separate"/>
    </w:r>
    <w:r w:rsidR="000C7901">
      <w:t>52546360.1</w:t>
    </w:r>
    <w: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BE7" w:rsidRDefault="001F0BE7" w:rsidP="00580ECB">
    <w:pPr>
      <w:pStyle w:val="Footer"/>
      <w:jc w:val="center"/>
      <w:rPr>
        <w:rStyle w:val="PageNumber"/>
      </w:rPr>
    </w:pPr>
    <w:r>
      <w:rPr>
        <w:rStyle w:val="PageNumber"/>
      </w:rPr>
      <w:t>C-</w:t>
    </w:r>
    <w:r w:rsidRPr="0051705E">
      <w:rPr>
        <w:rStyle w:val="PageNumber"/>
      </w:rPr>
      <w:fldChar w:fldCharType="begin"/>
    </w:r>
    <w:r w:rsidRPr="0051705E">
      <w:rPr>
        <w:rStyle w:val="PageNumber"/>
      </w:rPr>
      <w:instrText xml:space="preserve"> PAGE   \* MERGEFORMAT </w:instrText>
    </w:r>
    <w:r w:rsidRPr="0051705E">
      <w:rPr>
        <w:rStyle w:val="PageNumber"/>
      </w:rPr>
      <w:fldChar w:fldCharType="separate"/>
    </w:r>
    <w:r w:rsidR="000C7901">
      <w:rPr>
        <w:rStyle w:val="PageNumber"/>
        <w:noProof/>
      </w:rPr>
      <w:t>6</w:t>
    </w:r>
    <w:r w:rsidRPr="0051705E">
      <w:rPr>
        <w:rStyle w:val="PageNumber"/>
        <w:noProof/>
      </w:rPr>
      <w:fldChar w:fldCharType="end"/>
    </w:r>
  </w:p>
  <w:p w:rsidR="001F0BE7" w:rsidRPr="000C7901" w:rsidRDefault="0091777A" w:rsidP="000C7901">
    <w:pPr>
      <w:pStyle w:val="DocID"/>
    </w:pPr>
    <w:r>
      <w:fldChar w:fldCharType="begin"/>
    </w:r>
    <w:r>
      <w:instrText xml:space="preserve"> DOCPROPERTY "DocID" </w:instrText>
    </w:r>
    <w:r>
      <w:fldChar w:fldCharType="separate"/>
    </w:r>
    <w:r w:rsidR="000C7901">
      <w:t>52546360.1</w:t>
    </w:r>
    <w: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BE7" w:rsidRPr="0051705E" w:rsidRDefault="001F0BE7" w:rsidP="0051705E">
    <w:pPr>
      <w:jc w:val="center"/>
    </w:pPr>
    <w:r>
      <w:t>C-</w:t>
    </w:r>
    <w:r>
      <w:fldChar w:fldCharType="begin"/>
    </w:r>
    <w:r>
      <w:instrText xml:space="preserve"> PAGE   \* MERGEFORMAT </w:instrText>
    </w:r>
    <w:r>
      <w:fldChar w:fldCharType="separate"/>
    </w:r>
    <w:r w:rsidR="000C7901">
      <w:rPr>
        <w:noProof/>
      </w:rPr>
      <w:t>1</w:t>
    </w:r>
    <w:r>
      <w:rPr>
        <w:noProof/>
      </w:rPr>
      <w:fldChar w:fldCharType="end"/>
    </w:r>
  </w:p>
  <w:p w:rsidR="001F0BE7" w:rsidRPr="000C7901" w:rsidRDefault="0091777A" w:rsidP="000C7901">
    <w:pPr>
      <w:pStyle w:val="DocID"/>
    </w:pPr>
    <w:r>
      <w:fldChar w:fldCharType="begin"/>
    </w:r>
    <w:r>
      <w:instrText xml:space="preserve"> DOCPROPERTY "DocID" </w:instrText>
    </w:r>
    <w:r>
      <w:fldChar w:fldCharType="separate"/>
    </w:r>
    <w:r w:rsidR="000C7901">
      <w:t>52546360.1</w:t>
    </w:r>
    <w: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BE7" w:rsidRDefault="001F0BE7" w:rsidP="00580ECB">
    <w:pPr>
      <w:pStyle w:val="Footer"/>
      <w:jc w:val="center"/>
      <w:rPr>
        <w:rStyle w:val="PageNumber"/>
      </w:rPr>
    </w:pPr>
    <w:r>
      <w:rPr>
        <w:rStyle w:val="PageNumber"/>
      </w:rPr>
      <w:t>D-</w:t>
    </w:r>
    <w:r w:rsidRPr="0051705E">
      <w:rPr>
        <w:rStyle w:val="PageNumber"/>
      </w:rPr>
      <w:fldChar w:fldCharType="begin"/>
    </w:r>
    <w:r w:rsidRPr="0051705E">
      <w:rPr>
        <w:rStyle w:val="PageNumber"/>
      </w:rPr>
      <w:instrText xml:space="preserve"> PAGE   \* MERGEFORMAT </w:instrText>
    </w:r>
    <w:r w:rsidRPr="0051705E">
      <w:rPr>
        <w:rStyle w:val="PageNumber"/>
      </w:rPr>
      <w:fldChar w:fldCharType="separate"/>
    </w:r>
    <w:r w:rsidR="000C7901">
      <w:rPr>
        <w:rStyle w:val="PageNumber"/>
        <w:noProof/>
      </w:rPr>
      <w:t>4</w:t>
    </w:r>
    <w:r w:rsidRPr="0051705E">
      <w:rPr>
        <w:rStyle w:val="PageNumber"/>
        <w:noProof/>
      </w:rPr>
      <w:fldChar w:fldCharType="end"/>
    </w:r>
  </w:p>
  <w:p w:rsidR="001F0BE7" w:rsidRPr="000C7901" w:rsidRDefault="0091777A" w:rsidP="000C7901">
    <w:pPr>
      <w:pStyle w:val="DocID"/>
    </w:pPr>
    <w:r>
      <w:fldChar w:fldCharType="begin"/>
    </w:r>
    <w:r>
      <w:instrText xml:space="preserve"> DOCPROPERTY "DocID" </w:instrText>
    </w:r>
    <w:r>
      <w:fldChar w:fldCharType="separate"/>
    </w:r>
    <w:r w:rsidR="000C7901">
      <w:t>52546360.1</w:t>
    </w:r>
    <w: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BE7" w:rsidRPr="0051705E" w:rsidRDefault="001F0BE7" w:rsidP="0051705E">
    <w:pPr>
      <w:jc w:val="center"/>
    </w:pPr>
    <w:r>
      <w:t>D-</w:t>
    </w:r>
    <w:r>
      <w:fldChar w:fldCharType="begin"/>
    </w:r>
    <w:r>
      <w:instrText xml:space="preserve"> PAGE   \* MERGEFORMAT </w:instrText>
    </w:r>
    <w:r>
      <w:fldChar w:fldCharType="separate"/>
    </w:r>
    <w:r w:rsidR="000C7901">
      <w:rPr>
        <w:noProof/>
      </w:rPr>
      <w:t>1</w:t>
    </w:r>
    <w:r>
      <w:rPr>
        <w:noProof/>
      </w:rPr>
      <w:fldChar w:fldCharType="end"/>
    </w:r>
  </w:p>
  <w:p w:rsidR="001F0BE7" w:rsidRPr="000C7901" w:rsidRDefault="0091777A" w:rsidP="000C7901">
    <w:pPr>
      <w:pStyle w:val="DocID"/>
    </w:pPr>
    <w:r>
      <w:fldChar w:fldCharType="begin"/>
    </w:r>
    <w:r>
      <w:instrText xml:space="preserve"> DOCPROPERTY "DocID" </w:instrText>
    </w:r>
    <w:r>
      <w:fldChar w:fldCharType="separate"/>
    </w:r>
    <w:r w:rsidR="000C7901">
      <w:t>52546360.1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BE7" w:rsidRPr="000C7901" w:rsidRDefault="0091777A" w:rsidP="000C7901">
    <w:pPr>
      <w:pStyle w:val="DocID"/>
    </w:pPr>
    <w:r>
      <w:fldChar w:fldCharType="begin"/>
    </w:r>
    <w:r>
      <w:instrText xml:space="preserve"> DOCPROPERTY "DocID" </w:instrText>
    </w:r>
    <w:r>
      <w:fldChar w:fldCharType="separate"/>
    </w:r>
    <w:r w:rsidR="000C7901">
      <w:t>52546360.1</w:t>
    </w:r>
    <w: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BE7" w:rsidRPr="0051705E" w:rsidRDefault="001F0BE7" w:rsidP="0051705E">
    <w:pPr>
      <w:jc w:val="center"/>
    </w:pPr>
    <w:r>
      <w:t>E-</w:t>
    </w:r>
    <w:r>
      <w:fldChar w:fldCharType="begin"/>
    </w:r>
    <w:r>
      <w:instrText xml:space="preserve"> PAGE   \* MERGEFORMAT </w:instrText>
    </w:r>
    <w:r>
      <w:fldChar w:fldCharType="separate"/>
    </w:r>
    <w:r w:rsidR="000C7901">
      <w:rPr>
        <w:noProof/>
      </w:rPr>
      <w:t>1</w:t>
    </w:r>
    <w:r>
      <w:rPr>
        <w:noProof/>
      </w:rPr>
      <w:fldChar w:fldCharType="end"/>
    </w:r>
  </w:p>
  <w:p w:rsidR="001F0BE7" w:rsidRPr="000C7901" w:rsidRDefault="0091777A" w:rsidP="000C7901">
    <w:pPr>
      <w:pStyle w:val="DocID"/>
    </w:pPr>
    <w:r>
      <w:fldChar w:fldCharType="begin"/>
    </w:r>
    <w:r>
      <w:instrText xml:space="preserve"> DOCPROPERTY "DocID" </w:instrText>
    </w:r>
    <w:r>
      <w:fldChar w:fldCharType="separate"/>
    </w:r>
    <w:r w:rsidR="000C7901">
      <w:t>52546360.1</w:t>
    </w:r>
    <w: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BE7" w:rsidRPr="0051705E" w:rsidRDefault="001F0BE7" w:rsidP="0051705E">
    <w:pPr>
      <w:jc w:val="center"/>
    </w:pPr>
    <w:r>
      <w:t>E-</w:t>
    </w:r>
    <w:r>
      <w:fldChar w:fldCharType="begin"/>
    </w:r>
    <w:r>
      <w:instrText xml:space="preserve"> PAGE   \* MERGEFORMAT </w:instrText>
    </w:r>
    <w:r>
      <w:fldChar w:fldCharType="separate"/>
    </w:r>
    <w:r w:rsidR="000C7901">
      <w:rPr>
        <w:noProof/>
      </w:rPr>
      <w:t>2</w:t>
    </w:r>
    <w:r>
      <w:rPr>
        <w:noProof/>
      </w:rPr>
      <w:fldChar w:fldCharType="end"/>
    </w:r>
  </w:p>
  <w:p w:rsidR="001F0BE7" w:rsidRPr="000C7901" w:rsidRDefault="0091777A" w:rsidP="000C7901">
    <w:pPr>
      <w:pStyle w:val="DocID"/>
    </w:pPr>
    <w:r>
      <w:fldChar w:fldCharType="begin"/>
    </w:r>
    <w:r>
      <w:instrText xml:space="preserve"> DOCPROPERTY "DocID" </w:instrText>
    </w:r>
    <w:r>
      <w:fldChar w:fldCharType="separate"/>
    </w:r>
    <w:r w:rsidR="000C7901">
      <w:t>52546360.1</w:t>
    </w:r>
    <w: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BE7" w:rsidRDefault="001F0BE7" w:rsidP="00580ECB">
    <w:pPr>
      <w:pStyle w:val="Footer"/>
      <w:jc w:val="center"/>
      <w:rPr>
        <w:rStyle w:val="PageNumber"/>
      </w:rPr>
    </w:pPr>
    <w:r>
      <w:rPr>
        <w:rStyle w:val="PageNumber"/>
      </w:rPr>
      <w:t>E-</w:t>
    </w:r>
    <w:r w:rsidRPr="0051705E">
      <w:rPr>
        <w:rStyle w:val="PageNumber"/>
      </w:rPr>
      <w:fldChar w:fldCharType="begin"/>
    </w:r>
    <w:r w:rsidRPr="0051705E">
      <w:rPr>
        <w:rStyle w:val="PageNumber"/>
      </w:rPr>
      <w:instrText xml:space="preserve"> PAGE   \* MERGEFORMAT </w:instrText>
    </w:r>
    <w:r w:rsidRPr="0051705E">
      <w:rPr>
        <w:rStyle w:val="PageNumber"/>
      </w:rPr>
      <w:fldChar w:fldCharType="separate"/>
    </w:r>
    <w:r w:rsidR="000C7901">
      <w:rPr>
        <w:rStyle w:val="PageNumber"/>
        <w:noProof/>
      </w:rPr>
      <w:t>7</w:t>
    </w:r>
    <w:r w:rsidRPr="0051705E">
      <w:rPr>
        <w:rStyle w:val="PageNumber"/>
        <w:noProof/>
      </w:rPr>
      <w:fldChar w:fldCharType="end"/>
    </w:r>
  </w:p>
  <w:p w:rsidR="001F0BE7" w:rsidRPr="000C7901" w:rsidRDefault="0091777A" w:rsidP="000C7901">
    <w:pPr>
      <w:pStyle w:val="DocID"/>
    </w:pPr>
    <w:r>
      <w:fldChar w:fldCharType="begin"/>
    </w:r>
    <w:r>
      <w:instrText xml:space="preserve"> DOCPROPERTY "DocID" </w:instrText>
    </w:r>
    <w:r>
      <w:fldChar w:fldCharType="separate"/>
    </w:r>
    <w:r w:rsidR="000C7901">
      <w:t>52546360.1</w:t>
    </w:r>
    <w: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BE7" w:rsidRPr="0051705E" w:rsidRDefault="001F0BE7" w:rsidP="0051705E">
    <w:pPr>
      <w:jc w:val="center"/>
    </w:pPr>
    <w:r>
      <w:t>E-</w:t>
    </w:r>
    <w:r>
      <w:fldChar w:fldCharType="begin"/>
    </w:r>
    <w:r>
      <w:instrText xml:space="preserve"> PAGE   \* MERGEFORMAT </w:instrText>
    </w:r>
    <w:r>
      <w:fldChar w:fldCharType="separate"/>
    </w:r>
    <w:r w:rsidR="000C7901">
      <w:rPr>
        <w:noProof/>
      </w:rPr>
      <w:t>3</w:t>
    </w:r>
    <w:r>
      <w:rPr>
        <w:noProof/>
      </w:rPr>
      <w:fldChar w:fldCharType="end"/>
    </w:r>
  </w:p>
  <w:p w:rsidR="001F0BE7" w:rsidRPr="000C7901" w:rsidRDefault="0091777A" w:rsidP="000C7901">
    <w:pPr>
      <w:pStyle w:val="DocID"/>
    </w:pPr>
    <w:r>
      <w:fldChar w:fldCharType="begin"/>
    </w:r>
    <w:r>
      <w:instrText xml:space="preserve"> DOCPROPERTY "DocID" </w:instrText>
    </w:r>
    <w:r>
      <w:fldChar w:fldCharType="separate"/>
    </w:r>
    <w:r w:rsidR="000C7901">
      <w:t>52546360.1</w:t>
    </w:r>
    <w: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BE7" w:rsidRDefault="001F0BE7" w:rsidP="00580ECB">
    <w:pPr>
      <w:pStyle w:val="Footer"/>
      <w:jc w:val="center"/>
      <w:rPr>
        <w:rStyle w:val="PageNumber"/>
      </w:rPr>
    </w:pPr>
    <w:r>
      <w:rPr>
        <w:rStyle w:val="PageNumber"/>
      </w:rPr>
      <w:t>G-</w:t>
    </w:r>
    <w:r w:rsidRPr="0051705E">
      <w:rPr>
        <w:rStyle w:val="PageNumber"/>
      </w:rPr>
      <w:fldChar w:fldCharType="begin"/>
    </w:r>
    <w:r w:rsidRPr="0051705E">
      <w:rPr>
        <w:rStyle w:val="PageNumber"/>
      </w:rPr>
      <w:instrText xml:space="preserve"> PAGE   \* MERGEFORMAT </w:instrText>
    </w:r>
    <w:r w:rsidRPr="0051705E">
      <w:rPr>
        <w:rStyle w:val="PageNumber"/>
      </w:rPr>
      <w:fldChar w:fldCharType="separate"/>
    </w:r>
    <w:r>
      <w:rPr>
        <w:rStyle w:val="PageNumber"/>
        <w:noProof/>
      </w:rPr>
      <w:t>7</w:t>
    </w:r>
    <w:r w:rsidRPr="0051705E">
      <w:rPr>
        <w:rStyle w:val="PageNumber"/>
        <w:noProof/>
      </w:rPr>
      <w:fldChar w:fldCharType="end"/>
    </w:r>
  </w:p>
  <w:p w:rsidR="001F0BE7" w:rsidRPr="009105A0" w:rsidRDefault="001F0BE7" w:rsidP="009105A0">
    <w:pPr>
      <w:pStyle w:val="DocID"/>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BE7" w:rsidRPr="0051705E" w:rsidRDefault="001F0BE7" w:rsidP="0051705E">
    <w:pPr>
      <w:jc w:val="center"/>
    </w:pPr>
    <w:r>
      <w:t>F-</w:t>
    </w:r>
    <w:r w:rsidRPr="0051705E">
      <w:rPr>
        <w:rStyle w:val="PageNumber"/>
      </w:rPr>
      <w:fldChar w:fldCharType="begin"/>
    </w:r>
    <w:r w:rsidRPr="0051705E">
      <w:rPr>
        <w:rStyle w:val="PageNumber"/>
      </w:rPr>
      <w:instrText xml:space="preserve"> PAGE   \* MERGEFORMAT </w:instrText>
    </w:r>
    <w:r w:rsidRPr="0051705E">
      <w:rPr>
        <w:rStyle w:val="PageNumber"/>
      </w:rPr>
      <w:fldChar w:fldCharType="separate"/>
    </w:r>
    <w:r w:rsidR="000C7901">
      <w:rPr>
        <w:rStyle w:val="PageNumber"/>
        <w:noProof/>
      </w:rPr>
      <w:t>1</w:t>
    </w:r>
    <w:r w:rsidRPr="0051705E">
      <w:rPr>
        <w:rStyle w:val="PageNumber"/>
        <w:noProof/>
      </w:rPr>
      <w:fldChar w:fldCharType="end"/>
    </w:r>
  </w:p>
  <w:p w:rsidR="001F0BE7" w:rsidRPr="000C7901" w:rsidRDefault="0091777A" w:rsidP="000C7901">
    <w:pPr>
      <w:pStyle w:val="DocID"/>
    </w:pPr>
    <w:r>
      <w:fldChar w:fldCharType="begin"/>
    </w:r>
    <w:r>
      <w:instrText xml:space="preserve"> DOCPROPERTY "DocID" </w:instrText>
    </w:r>
    <w:r>
      <w:fldChar w:fldCharType="separate"/>
    </w:r>
    <w:r w:rsidR="000C7901">
      <w:t>52546360.1</w:t>
    </w:r>
    <w: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BE7" w:rsidRPr="0051705E" w:rsidRDefault="001F0BE7" w:rsidP="0051705E">
    <w:pPr>
      <w:jc w:val="center"/>
    </w:pPr>
  </w:p>
  <w:p w:rsidR="001F0BE7" w:rsidRPr="000C7901" w:rsidRDefault="0091777A" w:rsidP="000C7901">
    <w:pPr>
      <w:pStyle w:val="DocID"/>
    </w:pPr>
    <w:r>
      <w:fldChar w:fldCharType="begin"/>
    </w:r>
    <w:r>
      <w:instrText xml:space="preserve"> DOCPROPERTY "DocID" </w:instrText>
    </w:r>
    <w:r>
      <w:fldChar w:fldCharType="separate"/>
    </w:r>
    <w:r w:rsidR="000C7901">
      <w:t>52546360.1</w:t>
    </w:r>
    <w: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BE7" w:rsidRDefault="001F0BE7" w:rsidP="00580ECB">
    <w:pPr>
      <w:pStyle w:val="Footer"/>
      <w:jc w:val="center"/>
      <w:rPr>
        <w:rStyle w:val="PageNumber"/>
      </w:rPr>
    </w:pPr>
    <w:r>
      <w:rPr>
        <w:rStyle w:val="PageNumber"/>
      </w:rPr>
      <w:t>G-</w:t>
    </w:r>
    <w:r w:rsidRPr="0051705E">
      <w:rPr>
        <w:rStyle w:val="PageNumber"/>
      </w:rPr>
      <w:fldChar w:fldCharType="begin"/>
    </w:r>
    <w:r w:rsidRPr="0051705E">
      <w:rPr>
        <w:rStyle w:val="PageNumber"/>
      </w:rPr>
      <w:instrText xml:space="preserve"> PAGE   \* MERGEFORMAT </w:instrText>
    </w:r>
    <w:r w:rsidRPr="0051705E">
      <w:rPr>
        <w:rStyle w:val="PageNumber"/>
      </w:rPr>
      <w:fldChar w:fldCharType="separate"/>
    </w:r>
    <w:r w:rsidR="000C7901">
      <w:rPr>
        <w:rStyle w:val="PageNumber"/>
        <w:noProof/>
      </w:rPr>
      <w:t>5</w:t>
    </w:r>
    <w:r w:rsidRPr="0051705E">
      <w:rPr>
        <w:rStyle w:val="PageNumber"/>
        <w:noProof/>
      </w:rPr>
      <w:fldChar w:fldCharType="end"/>
    </w:r>
  </w:p>
  <w:p w:rsidR="001F0BE7" w:rsidRPr="000C7901" w:rsidRDefault="0091777A" w:rsidP="000C7901">
    <w:pPr>
      <w:pStyle w:val="DocID"/>
    </w:pPr>
    <w:r>
      <w:fldChar w:fldCharType="begin"/>
    </w:r>
    <w:r>
      <w:instrText xml:space="preserve"> DOCPROPERTY "DocID" </w:instrText>
    </w:r>
    <w:r>
      <w:fldChar w:fldCharType="separate"/>
    </w:r>
    <w:r w:rsidR="000C7901">
      <w:t>52546360.1</w:t>
    </w:r>
    <w: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BE7" w:rsidRPr="0051705E" w:rsidRDefault="001F0BE7" w:rsidP="0051705E">
    <w:pPr>
      <w:jc w:val="center"/>
    </w:pPr>
    <w:r>
      <w:t>G-</w:t>
    </w:r>
    <w:r w:rsidRPr="0051705E">
      <w:rPr>
        <w:rStyle w:val="PageNumber"/>
      </w:rPr>
      <w:fldChar w:fldCharType="begin"/>
    </w:r>
    <w:r w:rsidRPr="0051705E">
      <w:rPr>
        <w:rStyle w:val="PageNumber"/>
      </w:rPr>
      <w:instrText xml:space="preserve"> PAGE   \* MERGEFORMAT </w:instrText>
    </w:r>
    <w:r w:rsidRPr="0051705E">
      <w:rPr>
        <w:rStyle w:val="PageNumber"/>
      </w:rPr>
      <w:fldChar w:fldCharType="separate"/>
    </w:r>
    <w:r w:rsidR="000C7901">
      <w:rPr>
        <w:rStyle w:val="PageNumber"/>
        <w:noProof/>
      </w:rPr>
      <w:t>1</w:t>
    </w:r>
    <w:r w:rsidRPr="0051705E">
      <w:rPr>
        <w:rStyle w:val="PageNumber"/>
        <w:noProof/>
      </w:rPr>
      <w:fldChar w:fldCharType="end"/>
    </w:r>
  </w:p>
  <w:p w:rsidR="001F0BE7" w:rsidRPr="000C7901" w:rsidRDefault="0091777A" w:rsidP="000C7901">
    <w:pPr>
      <w:pStyle w:val="DocID"/>
    </w:pPr>
    <w:r>
      <w:fldChar w:fldCharType="begin"/>
    </w:r>
    <w:r>
      <w:instrText xml:space="preserve"> DOCPROPERTY "DocID" </w:instrText>
    </w:r>
    <w:r>
      <w:fldChar w:fldCharType="separate"/>
    </w:r>
    <w:r w:rsidR="000C7901">
      <w:t>52546360.1</w:t>
    </w:r>
    <w: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BE7" w:rsidRPr="0051705E" w:rsidRDefault="001F0BE7" w:rsidP="0051705E">
    <w:pPr>
      <w:jc w:val="center"/>
    </w:pPr>
  </w:p>
  <w:p w:rsidR="001F0BE7" w:rsidRPr="000C7901" w:rsidRDefault="0091777A" w:rsidP="000C7901">
    <w:pPr>
      <w:pStyle w:val="DocID"/>
    </w:pPr>
    <w:r>
      <w:fldChar w:fldCharType="begin"/>
    </w:r>
    <w:r>
      <w:instrText xml:space="preserve"> DOCPROPERTY "DocID" </w:instrText>
    </w:r>
    <w:r>
      <w:fldChar w:fldCharType="separate"/>
    </w:r>
    <w:r w:rsidR="000C7901">
      <w:t>52546360.1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BE7" w:rsidRPr="000C7901" w:rsidRDefault="0091777A" w:rsidP="000C7901">
    <w:pPr>
      <w:pStyle w:val="DocID"/>
    </w:pPr>
    <w:r>
      <w:fldChar w:fldCharType="begin"/>
    </w:r>
    <w:r>
      <w:instrText xml:space="preserve"> DOCPROPERTY "DocID" </w:instrText>
    </w:r>
    <w:r>
      <w:fldChar w:fldCharType="separate"/>
    </w:r>
    <w:r w:rsidR="000C7901">
      <w:t>52546360.1</w:t>
    </w:r>
    <w: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BE7" w:rsidRDefault="001F0BE7" w:rsidP="00580ECB">
    <w:pPr>
      <w:pStyle w:val="Footer"/>
      <w:jc w:val="center"/>
      <w:rPr>
        <w:rStyle w:val="PageNumber"/>
      </w:rPr>
    </w:pPr>
    <w:r>
      <w:rPr>
        <w:rStyle w:val="PageNumber"/>
      </w:rPr>
      <w:t>H-</w:t>
    </w:r>
    <w:r w:rsidRPr="0051705E">
      <w:rPr>
        <w:rStyle w:val="PageNumber"/>
      </w:rPr>
      <w:fldChar w:fldCharType="begin"/>
    </w:r>
    <w:r w:rsidRPr="0051705E">
      <w:rPr>
        <w:rStyle w:val="PageNumber"/>
      </w:rPr>
      <w:instrText xml:space="preserve"> PAGE   \* MERGEFORMAT </w:instrText>
    </w:r>
    <w:r w:rsidRPr="0051705E">
      <w:rPr>
        <w:rStyle w:val="PageNumber"/>
      </w:rPr>
      <w:fldChar w:fldCharType="separate"/>
    </w:r>
    <w:r w:rsidR="000C7901">
      <w:rPr>
        <w:rStyle w:val="PageNumber"/>
        <w:noProof/>
      </w:rPr>
      <w:t>4</w:t>
    </w:r>
    <w:r w:rsidRPr="0051705E">
      <w:rPr>
        <w:rStyle w:val="PageNumber"/>
        <w:noProof/>
      </w:rPr>
      <w:fldChar w:fldCharType="end"/>
    </w:r>
  </w:p>
  <w:p w:rsidR="001F0BE7" w:rsidRPr="000C7901" w:rsidRDefault="0091777A" w:rsidP="000C7901">
    <w:pPr>
      <w:pStyle w:val="DocID"/>
    </w:pPr>
    <w:r>
      <w:fldChar w:fldCharType="begin"/>
    </w:r>
    <w:r>
      <w:instrText xml:space="preserve"> DOCPROPERTY "DocID" </w:instrText>
    </w:r>
    <w:r>
      <w:fldChar w:fldCharType="separate"/>
    </w:r>
    <w:r w:rsidR="000C7901">
      <w:t>52546360.1</w:t>
    </w:r>
    <w: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BE7" w:rsidRPr="0051705E" w:rsidRDefault="001F0BE7" w:rsidP="0051705E">
    <w:pPr>
      <w:jc w:val="center"/>
    </w:pPr>
    <w:r>
      <w:t>H-</w:t>
    </w:r>
    <w:r>
      <w:fldChar w:fldCharType="begin"/>
    </w:r>
    <w:r>
      <w:instrText xml:space="preserve"> PAGE   \* MERGEFORMAT </w:instrText>
    </w:r>
    <w:r>
      <w:fldChar w:fldCharType="separate"/>
    </w:r>
    <w:r w:rsidR="000C7901">
      <w:rPr>
        <w:noProof/>
      </w:rPr>
      <w:t>1</w:t>
    </w:r>
    <w:r>
      <w:rPr>
        <w:noProof/>
      </w:rPr>
      <w:fldChar w:fldCharType="end"/>
    </w:r>
  </w:p>
  <w:p w:rsidR="001F0BE7" w:rsidRPr="000C7901" w:rsidRDefault="0091777A" w:rsidP="000C7901">
    <w:pPr>
      <w:pStyle w:val="DocID"/>
    </w:pPr>
    <w:r>
      <w:fldChar w:fldCharType="begin"/>
    </w:r>
    <w:r>
      <w:instrText xml:space="preserve"> DOCPROPERTY "DocID" </w:instrText>
    </w:r>
    <w:r>
      <w:fldChar w:fldCharType="separate"/>
    </w:r>
    <w:r w:rsidR="000C7901">
      <w:t>52546360.1</w:t>
    </w:r>
    <w: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BE7" w:rsidRPr="0051705E" w:rsidRDefault="001F0BE7" w:rsidP="0051705E">
    <w:pPr>
      <w:jc w:val="center"/>
    </w:pPr>
    <w:r>
      <w:t>H-</w:t>
    </w:r>
    <w:r>
      <w:fldChar w:fldCharType="begin"/>
    </w:r>
    <w:r>
      <w:instrText xml:space="preserve"> PAGE   \* MERGEFORMAT </w:instrText>
    </w:r>
    <w:r>
      <w:fldChar w:fldCharType="separate"/>
    </w:r>
    <w:r w:rsidR="000C7901">
      <w:rPr>
        <w:noProof/>
      </w:rPr>
      <w:t>5</w:t>
    </w:r>
    <w:r>
      <w:rPr>
        <w:noProof/>
      </w:rPr>
      <w:fldChar w:fldCharType="end"/>
    </w:r>
  </w:p>
  <w:p w:rsidR="001F0BE7" w:rsidRPr="000C7901" w:rsidRDefault="0091777A" w:rsidP="000C7901">
    <w:pPr>
      <w:pStyle w:val="DocID"/>
    </w:pPr>
    <w:r>
      <w:fldChar w:fldCharType="begin"/>
    </w:r>
    <w:r>
      <w:instrText xml:space="preserve"> DOCPROPERTY "DocID" </w:instrText>
    </w:r>
    <w:r>
      <w:fldChar w:fldCharType="separate"/>
    </w:r>
    <w:r w:rsidR="000C7901">
      <w:t>52546360.1</w:t>
    </w:r>
    <w: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BE7" w:rsidRDefault="001F0BE7" w:rsidP="0051705E">
    <w:pPr>
      <w:jc w:val="center"/>
    </w:pPr>
    <w:r>
      <w:t>I-</w:t>
    </w:r>
    <w:r>
      <w:fldChar w:fldCharType="begin"/>
    </w:r>
    <w:r>
      <w:instrText xml:space="preserve"> PAGE   \* MERGEFORMAT </w:instrText>
    </w:r>
    <w:r>
      <w:fldChar w:fldCharType="separate"/>
    </w:r>
    <w:r w:rsidR="000C7901">
      <w:rPr>
        <w:noProof/>
      </w:rPr>
      <w:t>10</w:t>
    </w:r>
    <w:r>
      <w:rPr>
        <w:noProof/>
      </w:rPr>
      <w:fldChar w:fldCharType="end"/>
    </w:r>
  </w:p>
  <w:p w:rsidR="001F0BE7" w:rsidRPr="000C7901" w:rsidRDefault="0091777A" w:rsidP="000C7901">
    <w:pPr>
      <w:pStyle w:val="DocID"/>
    </w:pPr>
    <w:r>
      <w:fldChar w:fldCharType="begin"/>
    </w:r>
    <w:r>
      <w:instrText xml:space="preserve"> DOCPROPERTY "DocID" </w:instrText>
    </w:r>
    <w:r>
      <w:fldChar w:fldCharType="separate"/>
    </w:r>
    <w:r w:rsidR="000C7901">
      <w:t>52546360.1</w:t>
    </w:r>
    <w: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BE7" w:rsidRDefault="001F0BE7" w:rsidP="0051705E">
    <w:pPr>
      <w:jc w:val="center"/>
    </w:pPr>
    <w:r>
      <w:t>I-</w:t>
    </w:r>
    <w:r w:rsidRPr="0051705E">
      <w:rPr>
        <w:rStyle w:val="PageNumber"/>
      </w:rPr>
      <w:fldChar w:fldCharType="begin"/>
    </w:r>
    <w:r w:rsidRPr="0051705E">
      <w:rPr>
        <w:rStyle w:val="PageNumber"/>
      </w:rPr>
      <w:instrText xml:space="preserve"> PAGE   \* MERGEFORMAT </w:instrText>
    </w:r>
    <w:r w:rsidRPr="0051705E">
      <w:rPr>
        <w:rStyle w:val="PageNumber"/>
      </w:rPr>
      <w:fldChar w:fldCharType="separate"/>
    </w:r>
    <w:r w:rsidR="000C7901">
      <w:rPr>
        <w:rStyle w:val="PageNumber"/>
        <w:noProof/>
      </w:rPr>
      <w:t>1</w:t>
    </w:r>
    <w:r w:rsidRPr="0051705E">
      <w:rPr>
        <w:rStyle w:val="PageNumber"/>
        <w:noProof/>
      </w:rPr>
      <w:fldChar w:fldCharType="end"/>
    </w:r>
  </w:p>
  <w:p w:rsidR="001F0BE7" w:rsidRPr="000C7901" w:rsidRDefault="0091777A" w:rsidP="000C7901">
    <w:pPr>
      <w:pStyle w:val="DocID"/>
    </w:pPr>
    <w:r>
      <w:fldChar w:fldCharType="begin"/>
    </w:r>
    <w:r>
      <w:instrText xml:space="preserve"> DOCPROPERTY "DocID" </w:instrText>
    </w:r>
    <w:r>
      <w:fldChar w:fldCharType="separate"/>
    </w:r>
    <w:r w:rsidR="000C7901">
      <w:t>52546360.1</w:t>
    </w:r>
    <w: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BE7" w:rsidRDefault="001F0BE7" w:rsidP="0051705E">
    <w:pPr>
      <w:jc w:val="center"/>
    </w:pPr>
    <w:r>
      <w:t>I-</w:t>
    </w:r>
    <w:r w:rsidRPr="0051705E">
      <w:rPr>
        <w:rStyle w:val="PageNumber"/>
      </w:rPr>
      <w:fldChar w:fldCharType="begin"/>
    </w:r>
    <w:r w:rsidRPr="0051705E">
      <w:rPr>
        <w:rStyle w:val="PageNumber"/>
      </w:rPr>
      <w:instrText xml:space="preserve"> PAGE   \* MERGEFORMAT </w:instrText>
    </w:r>
    <w:r w:rsidRPr="0051705E">
      <w:rPr>
        <w:rStyle w:val="PageNumber"/>
      </w:rPr>
      <w:fldChar w:fldCharType="separate"/>
    </w:r>
    <w:r w:rsidR="000C7901">
      <w:rPr>
        <w:rStyle w:val="PageNumber"/>
        <w:noProof/>
      </w:rPr>
      <w:t>9</w:t>
    </w:r>
    <w:r w:rsidRPr="0051705E">
      <w:rPr>
        <w:rStyle w:val="PageNumber"/>
        <w:noProof/>
      </w:rPr>
      <w:fldChar w:fldCharType="end"/>
    </w:r>
  </w:p>
  <w:p w:rsidR="001F0BE7" w:rsidRPr="000C7901" w:rsidRDefault="0091777A" w:rsidP="000C7901">
    <w:pPr>
      <w:pStyle w:val="DocID"/>
    </w:pPr>
    <w:r>
      <w:fldChar w:fldCharType="begin"/>
    </w:r>
    <w:r>
      <w:instrText xml:space="preserve"> DOCPROPERTY "DocID" </w:instrText>
    </w:r>
    <w:r>
      <w:fldChar w:fldCharType="separate"/>
    </w:r>
    <w:r w:rsidR="000C7901">
      <w:t>52546360.1</w:t>
    </w:r>
    <w: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BE7" w:rsidRDefault="001F0BE7" w:rsidP="0051705E">
    <w:pPr>
      <w:jc w:val="center"/>
    </w:pPr>
    <w:r>
      <w:t>J-</w:t>
    </w:r>
    <w:r>
      <w:fldChar w:fldCharType="begin"/>
    </w:r>
    <w:r>
      <w:instrText xml:space="preserve"> PAGE   \* MERGEFORMAT </w:instrText>
    </w:r>
    <w:r>
      <w:fldChar w:fldCharType="separate"/>
    </w:r>
    <w:r w:rsidR="000C7901">
      <w:rPr>
        <w:noProof/>
      </w:rPr>
      <w:t>15</w:t>
    </w:r>
    <w:r>
      <w:rPr>
        <w:noProof/>
      </w:rPr>
      <w:fldChar w:fldCharType="end"/>
    </w:r>
  </w:p>
  <w:p w:rsidR="001F0BE7" w:rsidRPr="000C7901" w:rsidRDefault="0091777A" w:rsidP="000C7901">
    <w:pPr>
      <w:pStyle w:val="DocID"/>
    </w:pPr>
    <w:r>
      <w:fldChar w:fldCharType="begin"/>
    </w:r>
    <w:r>
      <w:instrText xml:space="preserve"> DOCPROPERTY "DocID" </w:instrText>
    </w:r>
    <w:r>
      <w:fldChar w:fldCharType="separate"/>
    </w:r>
    <w:r w:rsidR="000C7901">
      <w:t>52546360.1</w:t>
    </w:r>
    <w: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BE7" w:rsidRDefault="001F0BE7" w:rsidP="0051705E">
    <w:pPr>
      <w:jc w:val="center"/>
    </w:pPr>
    <w:r>
      <w:t>J-</w:t>
    </w:r>
    <w:r>
      <w:fldChar w:fldCharType="begin"/>
    </w:r>
    <w:r>
      <w:instrText xml:space="preserve"> PAGE   \* MERGEFORMAT </w:instrText>
    </w:r>
    <w:r>
      <w:fldChar w:fldCharType="separate"/>
    </w:r>
    <w:r w:rsidR="000C7901">
      <w:rPr>
        <w:noProof/>
      </w:rPr>
      <w:t>1</w:t>
    </w:r>
    <w:r>
      <w:rPr>
        <w:noProof/>
      </w:rPr>
      <w:fldChar w:fldCharType="end"/>
    </w:r>
  </w:p>
  <w:p w:rsidR="001F0BE7" w:rsidRPr="000C7901" w:rsidRDefault="0091777A" w:rsidP="000C7901">
    <w:pPr>
      <w:pStyle w:val="DocID"/>
    </w:pPr>
    <w:r>
      <w:fldChar w:fldCharType="begin"/>
    </w:r>
    <w:r>
      <w:instrText xml:space="preserve"> DOCPROPERTY "DocID" </w:instrText>
    </w:r>
    <w:r>
      <w:fldChar w:fldCharType="separate"/>
    </w:r>
    <w:r w:rsidR="000C7901">
      <w:t>52546360.1</w:t>
    </w:r>
    <w: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BE7" w:rsidRDefault="001F0BE7" w:rsidP="0051705E">
    <w:pPr>
      <w:jc w:val="center"/>
    </w:pPr>
    <w:r>
      <w:t>K-</w:t>
    </w:r>
    <w:r>
      <w:fldChar w:fldCharType="begin"/>
    </w:r>
    <w:r>
      <w:instrText xml:space="preserve"> PAGE   \* MERGEFORMAT </w:instrText>
    </w:r>
    <w:r>
      <w:fldChar w:fldCharType="separate"/>
    </w:r>
    <w:r w:rsidR="000C7901">
      <w:rPr>
        <w:noProof/>
      </w:rPr>
      <w:t>3</w:t>
    </w:r>
    <w:r>
      <w:rPr>
        <w:noProof/>
      </w:rPr>
      <w:fldChar w:fldCharType="end"/>
    </w:r>
  </w:p>
  <w:p w:rsidR="001F0BE7" w:rsidRPr="000C7901" w:rsidRDefault="0091777A" w:rsidP="000C7901">
    <w:pPr>
      <w:pStyle w:val="DocID"/>
    </w:pPr>
    <w:r>
      <w:fldChar w:fldCharType="begin"/>
    </w:r>
    <w:r>
      <w:instrText xml:space="preserve"> DOCPROPERTY "DocID" </w:instrText>
    </w:r>
    <w:r>
      <w:fldChar w:fldCharType="separate"/>
    </w:r>
    <w:r w:rsidR="000C7901">
      <w:t>52546360.1</w:t>
    </w:r>
    <w: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BE7" w:rsidRDefault="001F0BE7" w:rsidP="0051705E">
    <w:pPr>
      <w:jc w:val="center"/>
    </w:pPr>
    <w:r>
      <w:t>K-</w:t>
    </w:r>
    <w:r>
      <w:fldChar w:fldCharType="begin"/>
    </w:r>
    <w:r>
      <w:instrText xml:space="preserve"> PAGE   \* MERGEFORMAT </w:instrText>
    </w:r>
    <w:r>
      <w:fldChar w:fldCharType="separate"/>
    </w:r>
    <w:r w:rsidR="000C7901">
      <w:rPr>
        <w:noProof/>
      </w:rPr>
      <w:t>1</w:t>
    </w:r>
    <w:r>
      <w:rPr>
        <w:noProof/>
      </w:rPr>
      <w:fldChar w:fldCharType="end"/>
    </w:r>
  </w:p>
  <w:p w:rsidR="001F0BE7" w:rsidRPr="000C7901" w:rsidRDefault="0091777A" w:rsidP="000C7901">
    <w:pPr>
      <w:pStyle w:val="DocID"/>
    </w:pPr>
    <w:r>
      <w:fldChar w:fldCharType="begin"/>
    </w:r>
    <w:r>
      <w:instrText xml:space="preserve"> DOCPROPERTY "DocID" </w:instrText>
    </w:r>
    <w:r>
      <w:fldChar w:fldCharType="separate"/>
    </w:r>
    <w:r w:rsidR="000C7901">
      <w:t>52546360.1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BE7" w:rsidRDefault="001F0BE7" w:rsidP="00580ECB">
    <w:pPr>
      <w:pStyle w:val="Footer"/>
      <w:jc w:val="center"/>
      <w:rPr>
        <w:rStyle w:val="PageNumber"/>
      </w:rPr>
    </w:pPr>
  </w:p>
  <w:p w:rsidR="001F0BE7" w:rsidRPr="000C7901" w:rsidRDefault="0091777A" w:rsidP="000C7901">
    <w:pPr>
      <w:pStyle w:val="DocID"/>
    </w:pPr>
    <w:r>
      <w:fldChar w:fldCharType="begin"/>
    </w:r>
    <w:r>
      <w:instrText xml:space="preserve"> DOCPROPERTY "DocID" </w:instrText>
    </w:r>
    <w:r>
      <w:fldChar w:fldCharType="separate"/>
    </w:r>
    <w:r w:rsidR="000C7901">
      <w:t>52546360.1</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BE7" w:rsidRPr="0051705E" w:rsidRDefault="001F0BE7" w:rsidP="0051705E">
    <w:pPr>
      <w:jc w:val="center"/>
    </w:pPr>
  </w:p>
  <w:p w:rsidR="001F0BE7" w:rsidRPr="000C7901" w:rsidRDefault="0091777A" w:rsidP="000C7901">
    <w:pPr>
      <w:pStyle w:val="DocID"/>
    </w:pPr>
    <w:r>
      <w:fldChar w:fldCharType="begin"/>
    </w:r>
    <w:r>
      <w:instrText xml:space="preserve"> DOCPROPERTY "DocID" </w:instrText>
    </w:r>
    <w:r>
      <w:fldChar w:fldCharType="separate"/>
    </w:r>
    <w:r w:rsidR="000C7901">
      <w:t>52546360.1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BE7" w:rsidRDefault="001F0BE7" w:rsidP="00580ECB">
    <w:pPr>
      <w:pStyle w:val="Footer"/>
      <w:jc w:val="center"/>
      <w:rPr>
        <w:rStyle w:val="PageNumber"/>
      </w:rPr>
    </w:pPr>
    <w:r w:rsidRPr="005E0C61">
      <w:rPr>
        <w:rStyle w:val="PageNumber"/>
      </w:rPr>
      <w:fldChar w:fldCharType="begin"/>
    </w:r>
    <w:r w:rsidRPr="005E0C61">
      <w:rPr>
        <w:rStyle w:val="PageNumber"/>
      </w:rPr>
      <w:instrText xml:space="preserve"> PAGE   \* MERGEFORMAT </w:instrText>
    </w:r>
    <w:r w:rsidRPr="005E0C61">
      <w:rPr>
        <w:rStyle w:val="PageNumber"/>
      </w:rPr>
      <w:fldChar w:fldCharType="separate"/>
    </w:r>
    <w:r w:rsidR="000C7901">
      <w:rPr>
        <w:rStyle w:val="PageNumber"/>
        <w:noProof/>
      </w:rPr>
      <w:t>iv</w:t>
    </w:r>
    <w:r w:rsidRPr="005E0C61">
      <w:rPr>
        <w:rStyle w:val="PageNumber"/>
        <w:noProof/>
      </w:rPr>
      <w:fldChar w:fldCharType="end"/>
    </w:r>
  </w:p>
  <w:p w:rsidR="001F0BE7" w:rsidRPr="000C7901" w:rsidRDefault="0091777A" w:rsidP="000C7901">
    <w:pPr>
      <w:pStyle w:val="DocID"/>
    </w:pPr>
    <w:r>
      <w:fldChar w:fldCharType="begin"/>
    </w:r>
    <w:r>
      <w:instrText xml:space="preserve"> DOCPROPERTY "DocID" </w:instrText>
    </w:r>
    <w:r>
      <w:fldChar w:fldCharType="separate"/>
    </w:r>
    <w:r w:rsidR="000C7901">
      <w:t>52546360.1</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BE7" w:rsidRPr="0051705E" w:rsidRDefault="001F0BE7" w:rsidP="0051705E">
    <w:pPr>
      <w:jc w:val="center"/>
    </w:pPr>
    <w:r>
      <w:fldChar w:fldCharType="begin"/>
    </w:r>
    <w:r>
      <w:instrText xml:space="preserve"> PAGE   \* MERGEFORMAT </w:instrText>
    </w:r>
    <w:r>
      <w:fldChar w:fldCharType="separate"/>
    </w:r>
    <w:r w:rsidR="000C7901">
      <w:rPr>
        <w:noProof/>
      </w:rPr>
      <w:t>i</w:t>
    </w:r>
    <w:r>
      <w:rPr>
        <w:noProof/>
      </w:rPr>
      <w:fldChar w:fldCharType="end"/>
    </w:r>
  </w:p>
  <w:p w:rsidR="001F0BE7" w:rsidRPr="000C7901" w:rsidRDefault="0091777A" w:rsidP="000C7901">
    <w:pPr>
      <w:pStyle w:val="DocID"/>
    </w:pPr>
    <w:r>
      <w:fldChar w:fldCharType="begin"/>
    </w:r>
    <w:r>
      <w:instrText xml:space="preserve"> DOCPROPERTY "DocID" </w:instrText>
    </w:r>
    <w:r>
      <w:fldChar w:fldCharType="separate"/>
    </w:r>
    <w:r w:rsidR="000C7901">
      <w:t>52546360.1</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BE7" w:rsidRDefault="001F0BE7" w:rsidP="00580ECB">
    <w:pPr>
      <w:pStyle w:val="Footer"/>
      <w:jc w:val="center"/>
      <w:rPr>
        <w:rStyle w:val="PageNumber"/>
      </w:rPr>
    </w:pPr>
    <w:r w:rsidRPr="0051705E">
      <w:rPr>
        <w:rStyle w:val="PageNumber"/>
      </w:rPr>
      <w:fldChar w:fldCharType="begin"/>
    </w:r>
    <w:r w:rsidRPr="0051705E">
      <w:rPr>
        <w:rStyle w:val="PageNumber"/>
      </w:rPr>
      <w:instrText xml:space="preserve"> PAGE   \* MERGEFORMAT </w:instrText>
    </w:r>
    <w:r w:rsidRPr="0051705E">
      <w:rPr>
        <w:rStyle w:val="PageNumber"/>
      </w:rPr>
      <w:fldChar w:fldCharType="separate"/>
    </w:r>
    <w:r w:rsidR="000C7901">
      <w:rPr>
        <w:rStyle w:val="PageNumber"/>
        <w:noProof/>
      </w:rPr>
      <w:t>27</w:t>
    </w:r>
    <w:r w:rsidRPr="0051705E">
      <w:rPr>
        <w:rStyle w:val="PageNumber"/>
        <w:noProof/>
      </w:rPr>
      <w:fldChar w:fldCharType="end"/>
    </w:r>
  </w:p>
  <w:p w:rsidR="001F0BE7" w:rsidRPr="000C7901" w:rsidRDefault="0091777A" w:rsidP="000C7901">
    <w:pPr>
      <w:pStyle w:val="DocID"/>
    </w:pPr>
    <w:r>
      <w:fldChar w:fldCharType="begin"/>
    </w:r>
    <w:r>
      <w:instrText xml:space="preserve"> DOCPROPERTY "D</w:instrText>
    </w:r>
    <w:r>
      <w:instrText xml:space="preserve">ocID" </w:instrText>
    </w:r>
    <w:r>
      <w:fldChar w:fldCharType="separate"/>
    </w:r>
    <w:r w:rsidR="000C7901">
      <w:t>52546360.1</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BE7" w:rsidRPr="0051705E" w:rsidRDefault="001F0BE7" w:rsidP="0051705E">
    <w:pPr>
      <w:jc w:val="center"/>
    </w:pPr>
  </w:p>
  <w:p w:rsidR="001F0BE7" w:rsidRPr="000C7901" w:rsidRDefault="0091777A" w:rsidP="000C7901">
    <w:pPr>
      <w:pStyle w:val="DocID"/>
    </w:pPr>
    <w:r>
      <w:fldChar w:fldCharType="begin"/>
    </w:r>
    <w:r>
      <w:instrText xml:space="preserve"> DOCPROPERTY "DocID" </w:instrText>
    </w:r>
    <w:r>
      <w:fldChar w:fldCharType="separate"/>
    </w:r>
    <w:r w:rsidR="000C7901">
      <w:t>52546360.1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BE7" w:rsidRDefault="001F0BE7" w:rsidP="00580ECB">
      <w:r>
        <w:separator/>
      </w:r>
    </w:p>
  </w:footnote>
  <w:footnote w:type="continuationSeparator" w:id="0">
    <w:p w:rsidR="001F0BE7" w:rsidRDefault="001F0BE7" w:rsidP="00580ECB">
      <w:r>
        <w:continuationSeparator/>
      </w:r>
    </w:p>
  </w:footnote>
  <w:footnote w:id="1">
    <w:p w:rsidR="001F0BE7" w:rsidRDefault="001F0BE7">
      <w:pPr>
        <w:pStyle w:val="FootnoteText"/>
      </w:pPr>
      <w:r w:rsidRPr="007835F2">
        <w:rPr>
          <w:rStyle w:val="FootnoteReference"/>
        </w:rPr>
        <w:sym w:font="Symbol" w:char="F0D3"/>
      </w:r>
      <w:r>
        <w:t xml:space="preserve"> </w:t>
      </w:r>
      <w:r w:rsidRPr="004B744C">
        <w:rPr>
          <w:sz w:val="16"/>
          <w:szCs w:val="16"/>
        </w:rPr>
        <w:t xml:space="preserve">CUSIP is a registered trademark of the American Bankers Association.  The CUSIP data included herein has been provided by CUSIP Global Services, which is managed on behalf of the American Bankers Association by S&amp;P Global Market Intelligence, and is provided solely for the convenience of the purchasers of the Series </w:t>
      </w:r>
      <w:r>
        <w:rPr>
          <w:sz w:val="16"/>
          <w:szCs w:val="16"/>
        </w:rPr>
        <w:t>2020R</w:t>
      </w:r>
      <w:r w:rsidRPr="004B744C">
        <w:rPr>
          <w:sz w:val="16"/>
          <w:szCs w:val="16"/>
        </w:rPr>
        <w:t xml:space="preserve"> Certificates and only as of the issuance of the Series </w:t>
      </w:r>
      <w:r>
        <w:rPr>
          <w:sz w:val="16"/>
          <w:szCs w:val="16"/>
        </w:rPr>
        <w:t>2020R</w:t>
      </w:r>
      <w:r w:rsidRPr="004B744C">
        <w:rPr>
          <w:sz w:val="16"/>
          <w:szCs w:val="16"/>
        </w:rPr>
        <w:t xml:space="preserve"> Certificates.  None of the State, the Trustee or the underwriters of the Series </w:t>
      </w:r>
      <w:r>
        <w:rPr>
          <w:sz w:val="16"/>
          <w:szCs w:val="16"/>
        </w:rPr>
        <w:t>2020R</w:t>
      </w:r>
      <w:r w:rsidRPr="004B744C">
        <w:rPr>
          <w:sz w:val="16"/>
          <w:szCs w:val="16"/>
        </w:rPr>
        <w:t xml:space="preserve"> Certificates (the </w:t>
      </w:r>
      <w:r>
        <w:rPr>
          <w:sz w:val="16"/>
          <w:szCs w:val="16"/>
        </w:rPr>
        <w:t>“</w:t>
      </w:r>
      <w:r w:rsidRPr="004B744C">
        <w:rPr>
          <w:sz w:val="16"/>
          <w:szCs w:val="16"/>
        </w:rPr>
        <w:t>Underwriters</w:t>
      </w:r>
      <w:r>
        <w:rPr>
          <w:sz w:val="16"/>
          <w:szCs w:val="16"/>
        </w:rPr>
        <w:t>”</w:t>
      </w:r>
      <w:r w:rsidRPr="004B744C">
        <w:rPr>
          <w:sz w:val="16"/>
          <w:szCs w:val="16"/>
        </w:rPr>
        <w:t xml:space="preserve">) has any responsibility for the accuracy of such data now or at any time in the future.  The CUSIP numbers for the Series </w:t>
      </w:r>
      <w:r>
        <w:rPr>
          <w:sz w:val="16"/>
          <w:szCs w:val="16"/>
        </w:rPr>
        <w:t>2020R</w:t>
      </w:r>
      <w:r w:rsidRPr="004B744C">
        <w:rPr>
          <w:sz w:val="16"/>
          <w:szCs w:val="16"/>
        </w:rPr>
        <w:t xml:space="preserve"> Certificates may be changed after the issuance of the Series </w:t>
      </w:r>
      <w:r>
        <w:rPr>
          <w:sz w:val="16"/>
          <w:szCs w:val="16"/>
        </w:rPr>
        <w:t>2020R</w:t>
      </w:r>
      <w:r w:rsidRPr="004B744C">
        <w:rPr>
          <w:sz w:val="16"/>
          <w:szCs w:val="16"/>
        </w:rPr>
        <w:t xml:space="preserve"> Certificates as the result of various subsequent actions, including, without limitation, a refunding of all or a portion of the Series </w:t>
      </w:r>
      <w:r>
        <w:rPr>
          <w:sz w:val="16"/>
          <w:szCs w:val="16"/>
        </w:rPr>
        <w:t>2020R</w:t>
      </w:r>
      <w:r w:rsidRPr="004B744C">
        <w:rPr>
          <w:sz w:val="16"/>
          <w:szCs w:val="16"/>
        </w:rPr>
        <w:t xml:space="preserve"> Certificates or the procurement of secondary market portfolio insurance or other similar enhancement by investors that is applicable to all or a portion of the Series </w:t>
      </w:r>
      <w:r>
        <w:rPr>
          <w:sz w:val="16"/>
          <w:szCs w:val="16"/>
        </w:rPr>
        <w:t>2020R</w:t>
      </w:r>
      <w:r w:rsidRPr="004B744C">
        <w:rPr>
          <w:sz w:val="16"/>
          <w:szCs w:val="16"/>
        </w:rPr>
        <w:t xml:space="preserve"> Certificates</w:t>
      </w:r>
      <w:r>
        <w:rPr>
          <w:sz w:val="16"/>
          <w:szCs w:val="16"/>
        </w:rPr>
        <w:t>.</w:t>
      </w:r>
    </w:p>
  </w:footnote>
  <w:footnote w:id="2">
    <w:p w:rsidR="001F0BE7" w:rsidRDefault="001F0BE7">
      <w:pPr>
        <w:pStyle w:val="FootnoteText"/>
      </w:pPr>
      <w:r>
        <w:rPr>
          <w:rStyle w:val="FootnoteReference"/>
        </w:rPr>
        <w:footnoteRef/>
      </w:r>
      <w:r>
        <w:t xml:space="preserve"> </w:t>
      </w:r>
      <w:r w:rsidRPr="00935E4E">
        <w:rPr>
          <w:sz w:val="16"/>
          <w:szCs w:val="16"/>
        </w:rPr>
        <w:t xml:space="preserve">The Series 2009A Certificates </w:t>
      </w:r>
      <w:r>
        <w:rPr>
          <w:sz w:val="16"/>
          <w:szCs w:val="16"/>
        </w:rPr>
        <w:t xml:space="preserve">and Series 2010D Certificates </w:t>
      </w:r>
      <w:r w:rsidRPr="00935E4E">
        <w:rPr>
          <w:sz w:val="16"/>
          <w:szCs w:val="16"/>
        </w:rPr>
        <w:t xml:space="preserve">are not subject to redemption prior to their </w:t>
      </w:r>
      <w:r>
        <w:rPr>
          <w:sz w:val="16"/>
          <w:szCs w:val="16"/>
        </w:rPr>
        <w:t xml:space="preserve">respective </w:t>
      </w:r>
      <w:r w:rsidRPr="00935E4E">
        <w:rPr>
          <w:sz w:val="16"/>
          <w:szCs w:val="16"/>
        </w:rPr>
        <w:t>maturity date</w:t>
      </w:r>
      <w:r>
        <w:rPr>
          <w:sz w:val="16"/>
          <w:szCs w:val="16"/>
        </w:rPr>
        <w:t>s</w:t>
      </w:r>
      <w:r w:rsidRPr="00935E4E">
        <w:rPr>
          <w:sz w:val="16"/>
          <w:szCs w:val="16"/>
        </w:rPr>
        <w:t xml:space="preserve">.  However, the Trustee is required under the Master Indenture to deposit into the </w:t>
      </w:r>
      <w:r>
        <w:rPr>
          <w:sz w:val="16"/>
          <w:szCs w:val="16"/>
        </w:rPr>
        <w:t xml:space="preserve">respective </w:t>
      </w:r>
      <w:r w:rsidRPr="00935E4E">
        <w:rPr>
          <w:sz w:val="16"/>
          <w:szCs w:val="16"/>
        </w:rPr>
        <w:t>Sinking Fund Account</w:t>
      </w:r>
      <w:r>
        <w:rPr>
          <w:sz w:val="16"/>
          <w:szCs w:val="16"/>
        </w:rPr>
        <w:t>s</w:t>
      </w:r>
      <w:r w:rsidRPr="00935E4E">
        <w:rPr>
          <w:sz w:val="16"/>
          <w:szCs w:val="16"/>
        </w:rPr>
        <w:t xml:space="preserve"> established within the Certificate Fund for the Series 2009A Certificates </w:t>
      </w:r>
      <w:r>
        <w:rPr>
          <w:sz w:val="16"/>
          <w:szCs w:val="16"/>
        </w:rPr>
        <w:t xml:space="preserve">and the Series 2010D Certificates </w:t>
      </w:r>
      <w:r w:rsidRPr="00935E4E">
        <w:rPr>
          <w:sz w:val="16"/>
          <w:szCs w:val="16"/>
        </w:rPr>
        <w:t xml:space="preserve">that portion of each payment of Base Rent by the State which is designated and paid as the </w:t>
      </w:r>
      <w:r>
        <w:rPr>
          <w:sz w:val="16"/>
          <w:szCs w:val="16"/>
        </w:rPr>
        <w:t>related</w:t>
      </w:r>
      <w:r w:rsidRPr="00935E4E">
        <w:rPr>
          <w:sz w:val="16"/>
          <w:szCs w:val="16"/>
        </w:rPr>
        <w:t xml:space="preserve"> Sinking Fund Principal under the </w:t>
      </w:r>
      <w:r>
        <w:rPr>
          <w:sz w:val="16"/>
          <w:szCs w:val="16"/>
        </w:rPr>
        <w:t>related</w:t>
      </w:r>
      <w:r w:rsidRPr="00935E4E">
        <w:rPr>
          <w:sz w:val="16"/>
          <w:szCs w:val="16"/>
        </w:rPr>
        <w:t xml:space="preserve"> Lease, which amounts are to be applied to the payment of the principal amount of the </w:t>
      </w:r>
      <w:r>
        <w:rPr>
          <w:sz w:val="16"/>
          <w:szCs w:val="16"/>
        </w:rPr>
        <w:t>related</w:t>
      </w:r>
      <w:r w:rsidRPr="00935E4E">
        <w:rPr>
          <w:sz w:val="16"/>
          <w:szCs w:val="16"/>
        </w:rPr>
        <w:t xml:space="preserve"> Certificates at maturity.  </w:t>
      </w:r>
      <w:r>
        <w:rPr>
          <w:sz w:val="16"/>
          <w:szCs w:val="16"/>
        </w:rPr>
        <w:t>As of November 1, 2020, amounts of $64,170,306.20 and $51,019,185.26 have been deposited in the Sinking Fund Accounts for the Series 2009A Certificates and 2010D Certificates, respectively</w:t>
      </w:r>
    </w:p>
  </w:footnote>
  <w:footnote w:id="3">
    <w:p w:rsidR="001F0BE7" w:rsidRDefault="001F0BE7">
      <w:pPr>
        <w:pStyle w:val="FootnoteText"/>
      </w:pPr>
      <w:r>
        <w:rPr>
          <w:rStyle w:val="FootnoteReference"/>
        </w:rPr>
        <w:t>1</w:t>
      </w:r>
      <w:r>
        <w:t xml:space="preserve"> </w:t>
      </w:r>
      <w:r w:rsidRPr="00935E4E">
        <w:rPr>
          <w:sz w:val="16"/>
          <w:szCs w:val="16"/>
        </w:rPr>
        <w:t xml:space="preserve">The Series 2009A Certificates </w:t>
      </w:r>
      <w:r>
        <w:rPr>
          <w:sz w:val="16"/>
          <w:szCs w:val="16"/>
        </w:rPr>
        <w:t xml:space="preserve">and Series 2010D Certificates </w:t>
      </w:r>
      <w:r w:rsidRPr="00935E4E">
        <w:rPr>
          <w:sz w:val="16"/>
          <w:szCs w:val="16"/>
        </w:rPr>
        <w:t xml:space="preserve">are not subject to redemption prior to their </w:t>
      </w:r>
      <w:r>
        <w:rPr>
          <w:sz w:val="16"/>
          <w:szCs w:val="16"/>
        </w:rPr>
        <w:t xml:space="preserve">respective </w:t>
      </w:r>
      <w:r w:rsidRPr="00935E4E">
        <w:rPr>
          <w:sz w:val="16"/>
          <w:szCs w:val="16"/>
        </w:rPr>
        <w:t>maturity date</w:t>
      </w:r>
      <w:r>
        <w:rPr>
          <w:sz w:val="16"/>
          <w:szCs w:val="16"/>
        </w:rPr>
        <w:t>s</w:t>
      </w:r>
      <w:r w:rsidRPr="00935E4E">
        <w:rPr>
          <w:sz w:val="16"/>
          <w:szCs w:val="16"/>
        </w:rPr>
        <w:t xml:space="preserve">.  However, the Trustee is required under the Master Indenture to deposit into the </w:t>
      </w:r>
      <w:r>
        <w:rPr>
          <w:sz w:val="16"/>
          <w:szCs w:val="16"/>
        </w:rPr>
        <w:t xml:space="preserve">respective </w:t>
      </w:r>
      <w:r w:rsidRPr="00935E4E">
        <w:rPr>
          <w:sz w:val="16"/>
          <w:szCs w:val="16"/>
        </w:rPr>
        <w:t>Sinking Fund Account</w:t>
      </w:r>
      <w:r>
        <w:rPr>
          <w:sz w:val="16"/>
          <w:szCs w:val="16"/>
        </w:rPr>
        <w:t>s</w:t>
      </w:r>
      <w:r w:rsidRPr="00935E4E">
        <w:rPr>
          <w:sz w:val="16"/>
          <w:szCs w:val="16"/>
        </w:rPr>
        <w:t xml:space="preserve"> established within the Certificate Fund for the Series 2009A Certificates </w:t>
      </w:r>
      <w:r>
        <w:rPr>
          <w:sz w:val="16"/>
          <w:szCs w:val="16"/>
        </w:rPr>
        <w:t xml:space="preserve">and the Series 2010D Certificates </w:t>
      </w:r>
      <w:r w:rsidRPr="00935E4E">
        <w:rPr>
          <w:sz w:val="16"/>
          <w:szCs w:val="16"/>
        </w:rPr>
        <w:t xml:space="preserve">that portion of each payment of Base Rent by the State which is designated and paid as the </w:t>
      </w:r>
      <w:r>
        <w:rPr>
          <w:sz w:val="16"/>
          <w:szCs w:val="16"/>
        </w:rPr>
        <w:t>related</w:t>
      </w:r>
      <w:r w:rsidRPr="00935E4E">
        <w:rPr>
          <w:sz w:val="16"/>
          <w:szCs w:val="16"/>
        </w:rPr>
        <w:t xml:space="preserve"> Sinking Fund Principal under the </w:t>
      </w:r>
      <w:r>
        <w:rPr>
          <w:sz w:val="16"/>
          <w:szCs w:val="16"/>
        </w:rPr>
        <w:t>related</w:t>
      </w:r>
      <w:r w:rsidRPr="00935E4E">
        <w:rPr>
          <w:sz w:val="16"/>
          <w:szCs w:val="16"/>
        </w:rPr>
        <w:t xml:space="preserve"> Lease, which amounts are to be applied to the payment of the principal amount of the </w:t>
      </w:r>
      <w:r>
        <w:rPr>
          <w:sz w:val="16"/>
          <w:szCs w:val="16"/>
        </w:rPr>
        <w:t>related</w:t>
      </w:r>
      <w:r w:rsidRPr="00935E4E">
        <w:rPr>
          <w:sz w:val="16"/>
          <w:szCs w:val="16"/>
        </w:rPr>
        <w:t xml:space="preserve"> Certificates at maturity.  </w:t>
      </w:r>
      <w:r>
        <w:rPr>
          <w:sz w:val="16"/>
          <w:szCs w:val="16"/>
        </w:rPr>
        <w:t>As of November 1, 2020, amounts of $64,170,306.20 and $51,019,185.26 have been deposited in the Sinking Fund Accounts for the Series 2009A Certificates and 2010D Certificates, respectively.</w:t>
      </w:r>
    </w:p>
  </w:footnote>
  <w:footnote w:id="4">
    <w:p w:rsidR="001F0BE7" w:rsidRDefault="001F0BE7">
      <w:pPr>
        <w:pStyle w:val="FootnoteText"/>
      </w:pPr>
      <w:r>
        <w:rPr>
          <w:rStyle w:val="FootnoteReference"/>
        </w:rPr>
        <w:footnoteRef/>
      </w:r>
      <w:r>
        <w:t xml:space="preserve"> </w:t>
      </w:r>
      <w:r w:rsidRPr="00C46BFD">
        <w:rPr>
          <w:sz w:val="16"/>
          <w:szCs w:val="16"/>
        </w:rPr>
        <w:t>For the purposes of this event identified in Section 4(a)(12) hereof, the event is considered to occur when any of the following occur: (i) the appointment of a receiver, fiscal agent or similar officer for an obligated person in a proceeding under the U.S. Bankruptcy Code or in any other proceeding under state or federal law in which a court or governmental authority has assumed jurisdiction over substantially all of the assets or business of the obligated person, or if such jurisdiction has been assumed by leaving the existing governing body and officials or officers in possession but subject to the supervision and orders of a court or governmental authority, or (ii) the entry of  an order confirming a plan of reorganization, arrangement or liquidation by a court or governmental authority having supervision or jurisdiction over substantially all of the assets or business of the obligated person</w:t>
      </w:r>
      <w:r>
        <w:rPr>
          <w:sz w:val="16"/>
          <w:szCs w:val="16"/>
        </w:rPr>
        <w:t>.</w:t>
      </w:r>
    </w:p>
  </w:footnote>
  <w:footnote w:id="5">
    <w:p w:rsidR="001F0BE7" w:rsidRPr="0061296E" w:rsidRDefault="001F0BE7">
      <w:pPr>
        <w:pStyle w:val="FootnoteText"/>
        <w:rPr>
          <w:sz w:val="16"/>
        </w:rPr>
      </w:pPr>
      <w:r>
        <w:rPr>
          <w:rStyle w:val="FootnoteReference"/>
        </w:rPr>
        <w:footnoteRef/>
      </w:r>
      <w:r>
        <w:t xml:space="preserve"> </w:t>
      </w:r>
      <w:r w:rsidRPr="0061296E">
        <w:rPr>
          <w:sz w:val="16"/>
        </w:rPr>
        <w:t>Financial Obligation means a (i) debt obligation, (ii) derivative instrument entered into in connection with, or pledged as security or a source of payment for, an existing or planned debt obligation, or (iii) guarantee of (i) or (ii).  The term Financial Obligation shall not include municipal securities as to which a final official statement has been provided to the MSRB consistent with Rule 15c2-12.</w:t>
      </w:r>
    </w:p>
  </w:footnote>
  <w:footnote w:id="6">
    <w:p w:rsidR="001F0BE7" w:rsidRDefault="001F0BE7">
      <w:pPr>
        <w:pStyle w:val="FootnoteText"/>
      </w:pPr>
      <w:r>
        <w:rPr>
          <w:rStyle w:val="FootnoteReference"/>
        </w:rPr>
        <w:footnoteRef/>
      </w:r>
      <w:r>
        <w:t xml:space="preserve"> </w:t>
      </w:r>
      <w:r w:rsidRPr="00D75179">
        <w:t>Unfunded actuarial accrued liability is the difference between the actuarial accrued liability, or “AAL” (being the excess of the present value of a pension fund’s total of future benefits (payable to the plan participants) and fund administration expenses over the present value of the future normal cost of those benefits), over the valuation assets of the fund</w:t>
      </w:r>
      <w:r>
        <w:t>.</w:t>
      </w:r>
    </w:p>
  </w:footnote>
  <w:footnote w:id="7">
    <w:p w:rsidR="001F0BE7" w:rsidRDefault="001F0BE7">
      <w:pPr>
        <w:pStyle w:val="FootnoteText"/>
      </w:pPr>
      <w:r>
        <w:rPr>
          <w:rStyle w:val="FootnoteReference"/>
        </w:rPr>
        <w:footnoteRef/>
      </w:r>
      <w:r>
        <w:t xml:space="preserve"> </w:t>
      </w:r>
      <w:r w:rsidRPr="00D75179">
        <w:t>Total pension liability is the portion of the actuarial present value of projected benefit payments that is attributed to past periods of plan member service in conformity with the requirements of GASB 67.  For purposes of application to the requirements of GASB 67, AAL is the equivalent of total pension liability</w:t>
      </w:r>
      <w:r>
        <w:t>.</w:t>
      </w:r>
    </w:p>
  </w:footnote>
  <w:footnote w:id="8">
    <w:p w:rsidR="001F0BE7" w:rsidRDefault="001F0BE7">
      <w:pPr>
        <w:pStyle w:val="FootnoteText"/>
      </w:pPr>
      <w:r>
        <w:rPr>
          <w:rStyle w:val="FootnoteReference"/>
        </w:rPr>
        <w:footnoteRef/>
      </w:r>
      <w:r>
        <w:t xml:space="preserve"> </w:t>
      </w:r>
      <w:r w:rsidRPr="00D75179">
        <w:t>Fiduciary net position equals assets plus deferred outflows of resources and less liabilities and deferred inflows of resources at the end of the plan’s reporting period</w:t>
      </w:r>
      <w:r>
        <w:t>.</w:t>
      </w:r>
    </w:p>
  </w:footnote>
  <w:footnote w:id="9">
    <w:p w:rsidR="001F0BE7" w:rsidRDefault="001F0BE7">
      <w:pPr>
        <w:pStyle w:val="FootnoteText"/>
      </w:pPr>
      <w:r>
        <w:rPr>
          <w:rStyle w:val="FootnoteReference"/>
        </w:rPr>
        <w:footnoteRef/>
      </w:r>
      <w:r>
        <w:t xml:space="preserve"> </w:t>
      </w:r>
      <w:r w:rsidRPr="00983ED6">
        <w:t>Prior to 2014, PERA used the ARC as a funding benchmark against which to gauge the adequacy of the SRC for the State Division Plan.  The ARC is the actuarially determined amount that would be required if the State were to fund each year’s normal cost (i.e., the present value of the benefits that the State Division Plan projects to become payable in the future that are attributable to a valuation year’s payroll) in the State Division Plan plus an annual amortization of the UAAL assuming that the UAAL will be fully funded over a maximum 30-year period.  The difference between the ARC and the SRC constitutes either a contribution deficiency or excess contributions.  For historical information regarding the ARC, see PERA’s Comprehensive Annual Financial Report for calendar year 2013</w:t>
      </w:r>
      <w:r>
        <w:t>.</w:t>
      </w:r>
    </w:p>
  </w:footnote>
  <w:footnote w:id="10">
    <w:p w:rsidR="001F0BE7" w:rsidRDefault="001F0BE7">
      <w:pPr>
        <w:pStyle w:val="FootnoteText"/>
      </w:pPr>
      <w:r>
        <w:rPr>
          <w:rStyle w:val="FootnoteReference"/>
        </w:rPr>
        <w:footnoteRef/>
      </w:r>
      <w:r>
        <w:t xml:space="preserve"> </w:t>
      </w:r>
      <w:r w:rsidRPr="00D11B62">
        <w:t>This amortization period does not include the full effect of legislation enacted in 2006, 2010 and 2018, which includes plan changes designed to lower the normal cost over time as new members are added to the Plan, allow a greater proportion of the State’s contribution to the Plan to be used to amortize the unfunded liability and increase future contributions to the Plan in order to accelerate the amortization of the UAAL.  However, utilizing the assumptions specified in the PERA 2019 CAFR, PERA’s independent actuary projects that the goal of funding 100% of the AAL under the PERA revised benefit structure created by S.B. 18-200 is achievable within a projection period of 24 years, and that the State Division Plan is projected to be 100% funded in 22 years.  For further information, see the Actuarial Section of the PERA 2019 CAFR</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77A" w:rsidRDefault="009177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77A" w:rsidRDefault="009177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77A" w:rsidRDefault="0091777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BE7" w:rsidRPr="006B7783" w:rsidRDefault="001F0BE7" w:rsidP="006B778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BE7" w:rsidRPr="006B7783" w:rsidRDefault="001F0BE7" w:rsidP="006B77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363634AE"/>
    <w:lvl w:ilvl="0">
      <w:start w:val="1"/>
      <w:numFmt w:val="decimal"/>
      <w:lvlText w:val="SECTION %1."/>
      <w:lvlJc w:val="left"/>
      <w:pPr>
        <w:widowControl w:val="0"/>
        <w:tabs>
          <w:tab w:val="num" w:pos="1440"/>
        </w:tabs>
        <w:autoSpaceDE w:val="0"/>
        <w:autoSpaceDN w:val="0"/>
        <w:adjustRightInd w:val="0"/>
        <w:ind w:firstLine="720"/>
        <w:jc w:val="both"/>
      </w:pPr>
      <w:rPr>
        <w:rFonts w:ascii="Times New Roman" w:hAnsi="Times New Roman" w:cs="Times New Roman"/>
        <w:sz w:val="22"/>
        <w:szCs w:val="22"/>
      </w:rPr>
    </w:lvl>
    <w:lvl w:ilvl="1">
      <w:start w:val="1"/>
      <w:numFmt w:val="lowerLetter"/>
      <w:lvlText w:val="(%2)"/>
      <w:lvlJc w:val="left"/>
      <w:pPr>
        <w:widowControl w:val="0"/>
        <w:tabs>
          <w:tab w:val="num" w:pos="2160"/>
        </w:tabs>
        <w:autoSpaceDE w:val="0"/>
        <w:autoSpaceDN w:val="0"/>
        <w:adjustRightInd w:val="0"/>
        <w:ind w:left="720" w:firstLine="720"/>
        <w:jc w:val="both"/>
      </w:pPr>
      <w:rPr>
        <w:rFonts w:ascii="Times New Roman" w:hAnsi="Times New Roman" w:cs="Times New Roman"/>
        <w:sz w:val="22"/>
        <w:szCs w:val="22"/>
      </w:rPr>
    </w:lvl>
    <w:lvl w:ilvl="2">
      <w:start w:val="1"/>
      <w:numFmt w:val="decimal"/>
      <w:lvlText w:val="%3."/>
      <w:lvlJc w:val="left"/>
      <w:pPr>
        <w:widowControl w:val="0"/>
        <w:tabs>
          <w:tab w:val="num" w:pos="2880"/>
        </w:tabs>
        <w:autoSpaceDE w:val="0"/>
        <w:autoSpaceDN w:val="0"/>
        <w:adjustRightInd w:val="0"/>
        <w:ind w:left="2880" w:hanging="720"/>
        <w:jc w:val="both"/>
      </w:pPr>
      <w:rPr>
        <w:rFonts w:ascii="Times New Roman" w:hAnsi="Times New Roman" w:cs="Times New Roman"/>
        <w:sz w:val="22"/>
        <w:szCs w:val="22"/>
      </w:rPr>
    </w:lvl>
    <w:lvl w:ilvl="3">
      <w:start w:val="1"/>
      <w:numFmt w:val="lowerLetter"/>
      <w:lvlText w:val="(%4)"/>
      <w:lvlJc w:val="left"/>
      <w:pPr>
        <w:widowControl w:val="0"/>
        <w:tabs>
          <w:tab w:val="num" w:pos="2880"/>
        </w:tabs>
        <w:autoSpaceDE w:val="0"/>
        <w:autoSpaceDN w:val="0"/>
        <w:adjustRightInd w:val="0"/>
        <w:ind w:firstLine="2160"/>
        <w:jc w:val="both"/>
      </w:pPr>
      <w:rPr>
        <w:rFonts w:ascii="Times New Roman" w:hAnsi="Times New Roman" w:cs="Times New Roman"/>
        <w:sz w:val="22"/>
        <w:szCs w:val="22"/>
      </w:rPr>
    </w:lvl>
    <w:lvl w:ilvl="4">
      <w:start w:val="1"/>
      <w:numFmt w:val="lowerRoman"/>
      <w:lvlText w:val="(%5)"/>
      <w:lvlJc w:val="left"/>
      <w:pPr>
        <w:widowControl w:val="0"/>
        <w:tabs>
          <w:tab w:val="num" w:pos="3600"/>
        </w:tabs>
        <w:autoSpaceDE w:val="0"/>
        <w:autoSpaceDN w:val="0"/>
        <w:adjustRightInd w:val="0"/>
        <w:ind w:firstLine="2880"/>
        <w:jc w:val="both"/>
      </w:pPr>
      <w:rPr>
        <w:rFonts w:ascii="Times New Roman" w:hAnsi="Times New Roman" w:cs="Times New Roman"/>
        <w:sz w:val="22"/>
        <w:szCs w:val="22"/>
      </w:rPr>
    </w:lvl>
    <w:lvl w:ilvl="5">
      <w:start w:val="1"/>
      <w:numFmt w:val="lowerLetter"/>
      <w:lvlText w:val="%6)"/>
      <w:lvlJc w:val="left"/>
      <w:pPr>
        <w:widowControl w:val="0"/>
        <w:tabs>
          <w:tab w:val="num" w:pos="4320"/>
        </w:tabs>
        <w:autoSpaceDE w:val="0"/>
        <w:autoSpaceDN w:val="0"/>
        <w:adjustRightInd w:val="0"/>
        <w:ind w:firstLine="3600"/>
        <w:jc w:val="both"/>
      </w:pPr>
      <w:rPr>
        <w:rFonts w:ascii="Times New Roman" w:hAnsi="Times New Roman" w:cs="Times New Roman"/>
        <w:sz w:val="22"/>
        <w:szCs w:val="22"/>
      </w:rPr>
    </w:lvl>
    <w:lvl w:ilvl="6">
      <w:start w:val="1"/>
      <w:numFmt w:val="upperRoman"/>
      <w:lvlText w:val="%7."/>
      <w:lvlJc w:val="left"/>
      <w:pPr>
        <w:widowControl w:val="0"/>
        <w:tabs>
          <w:tab w:val="num" w:pos="1440"/>
        </w:tabs>
        <w:autoSpaceDE w:val="0"/>
        <w:autoSpaceDN w:val="0"/>
        <w:adjustRightInd w:val="0"/>
        <w:ind w:firstLine="720"/>
        <w:jc w:val="both"/>
      </w:pPr>
      <w:rPr>
        <w:rFonts w:ascii="Times New Roman" w:hAnsi="Times New Roman" w:cs="Times New Roman"/>
        <w:sz w:val="22"/>
        <w:szCs w:val="22"/>
      </w:rPr>
    </w:lvl>
    <w:lvl w:ilvl="7">
      <w:start w:val="1"/>
      <w:numFmt w:val="upperLetter"/>
      <w:lvlText w:val="%8."/>
      <w:lvlJc w:val="left"/>
      <w:pPr>
        <w:widowControl w:val="0"/>
        <w:tabs>
          <w:tab w:val="num" w:pos="2160"/>
        </w:tabs>
        <w:autoSpaceDE w:val="0"/>
        <w:autoSpaceDN w:val="0"/>
        <w:adjustRightInd w:val="0"/>
        <w:ind w:firstLine="1440"/>
        <w:jc w:val="both"/>
      </w:pPr>
      <w:rPr>
        <w:rFonts w:ascii="Times New Roman" w:hAnsi="Times New Roman" w:cs="Times New Roman"/>
        <w:sz w:val="22"/>
        <w:szCs w:val="22"/>
      </w:rPr>
    </w:lvl>
    <w:lvl w:ilvl="8">
      <w:start w:val="1"/>
      <w:numFmt w:val="decimal"/>
      <w:lvlText w:val="%9."/>
      <w:lvlJc w:val="left"/>
      <w:pPr>
        <w:widowControl w:val="0"/>
        <w:tabs>
          <w:tab w:val="num" w:pos="2880"/>
        </w:tabs>
        <w:autoSpaceDE w:val="0"/>
        <w:autoSpaceDN w:val="0"/>
        <w:adjustRightInd w:val="0"/>
        <w:ind w:firstLine="2160"/>
        <w:jc w:val="both"/>
      </w:pPr>
      <w:rPr>
        <w:rFonts w:ascii="Times New Roman" w:hAnsi="Times New Roman" w:cs="Times New Roman"/>
        <w:sz w:val="22"/>
        <w:szCs w:val="22"/>
      </w:rPr>
    </w:lvl>
  </w:abstractNum>
  <w:abstractNum w:abstractNumId="1" w15:restartNumberingAfterBreak="0">
    <w:nsid w:val="000A325A"/>
    <w:multiLevelType w:val="multilevel"/>
    <w:tmpl w:val="363634AE"/>
    <w:lvl w:ilvl="0">
      <w:start w:val="1"/>
      <w:numFmt w:val="decimal"/>
      <w:pStyle w:val="Exhibit1"/>
      <w:lvlText w:val="SECTION %1."/>
      <w:lvlJc w:val="left"/>
      <w:pPr>
        <w:tabs>
          <w:tab w:val="num" w:pos="1440"/>
        </w:tabs>
        <w:ind w:left="0" w:firstLine="720"/>
      </w:pPr>
      <w:rPr>
        <w:rFonts w:hint="default"/>
      </w:rPr>
    </w:lvl>
    <w:lvl w:ilvl="1">
      <w:start w:val="1"/>
      <w:numFmt w:val="lowerLetter"/>
      <w:pStyle w:val="Exhibit2"/>
      <w:lvlText w:val="(%2)"/>
      <w:lvlJc w:val="left"/>
      <w:pPr>
        <w:tabs>
          <w:tab w:val="num" w:pos="2160"/>
        </w:tabs>
        <w:ind w:left="720" w:firstLine="720"/>
      </w:pPr>
      <w:rPr>
        <w:rFonts w:hint="default"/>
      </w:rPr>
    </w:lvl>
    <w:lvl w:ilvl="2">
      <w:start w:val="1"/>
      <w:numFmt w:val="decimal"/>
      <w:pStyle w:val="Exhibit3"/>
      <w:lvlText w:val="%3."/>
      <w:lvlJc w:val="left"/>
      <w:pPr>
        <w:tabs>
          <w:tab w:val="num" w:pos="2880"/>
        </w:tabs>
        <w:ind w:left="2880" w:hanging="720"/>
      </w:pPr>
      <w:rPr>
        <w:rFonts w:hint="default"/>
      </w:rPr>
    </w:lvl>
    <w:lvl w:ilvl="3">
      <w:start w:val="1"/>
      <w:numFmt w:val="lowerLetter"/>
      <w:pStyle w:val="Exhibit4"/>
      <w:lvlText w:val="(%4)"/>
      <w:lvlJc w:val="left"/>
      <w:pPr>
        <w:tabs>
          <w:tab w:val="num" w:pos="2880"/>
        </w:tabs>
        <w:ind w:left="0" w:firstLine="2160"/>
      </w:pPr>
      <w:rPr>
        <w:rFonts w:hint="default"/>
      </w:rPr>
    </w:lvl>
    <w:lvl w:ilvl="4">
      <w:start w:val="1"/>
      <w:numFmt w:val="lowerRoman"/>
      <w:pStyle w:val="Exhibit5"/>
      <w:lvlText w:val="(%5)"/>
      <w:lvlJc w:val="left"/>
      <w:pPr>
        <w:tabs>
          <w:tab w:val="num" w:pos="3600"/>
        </w:tabs>
        <w:ind w:left="0" w:firstLine="2880"/>
      </w:pPr>
      <w:rPr>
        <w:rFonts w:hint="default"/>
      </w:rPr>
    </w:lvl>
    <w:lvl w:ilvl="5">
      <w:start w:val="1"/>
      <w:numFmt w:val="lowerLetter"/>
      <w:pStyle w:val="Exhibit6"/>
      <w:lvlText w:val="%6)"/>
      <w:lvlJc w:val="left"/>
      <w:pPr>
        <w:tabs>
          <w:tab w:val="num" w:pos="4320"/>
        </w:tabs>
        <w:ind w:left="0" w:firstLine="3600"/>
      </w:pPr>
      <w:rPr>
        <w:rFonts w:hint="default"/>
      </w:rPr>
    </w:lvl>
    <w:lvl w:ilvl="6">
      <w:start w:val="1"/>
      <w:numFmt w:val="upperRoman"/>
      <w:pStyle w:val="Exhibit7"/>
      <w:lvlText w:val="%7."/>
      <w:lvlJc w:val="left"/>
      <w:pPr>
        <w:tabs>
          <w:tab w:val="num" w:pos="1440"/>
        </w:tabs>
        <w:ind w:left="0" w:firstLine="720"/>
      </w:pPr>
      <w:rPr>
        <w:rFonts w:hint="default"/>
      </w:rPr>
    </w:lvl>
    <w:lvl w:ilvl="7">
      <w:start w:val="1"/>
      <w:numFmt w:val="upperLetter"/>
      <w:pStyle w:val="Exhibit8"/>
      <w:lvlText w:val="%8."/>
      <w:lvlJc w:val="left"/>
      <w:pPr>
        <w:tabs>
          <w:tab w:val="num" w:pos="2160"/>
        </w:tabs>
        <w:ind w:left="0" w:firstLine="1440"/>
      </w:pPr>
      <w:rPr>
        <w:rFonts w:hint="default"/>
      </w:rPr>
    </w:lvl>
    <w:lvl w:ilvl="8">
      <w:start w:val="1"/>
      <w:numFmt w:val="decimal"/>
      <w:pStyle w:val="Exhibit9"/>
      <w:lvlText w:val="%9."/>
      <w:lvlJc w:val="left"/>
      <w:pPr>
        <w:tabs>
          <w:tab w:val="num" w:pos="2880"/>
        </w:tabs>
        <w:ind w:left="0" w:firstLine="2160"/>
      </w:pPr>
      <w:rPr>
        <w:rFonts w:hint="default"/>
      </w:rPr>
    </w:lvl>
  </w:abstractNum>
  <w:abstractNum w:abstractNumId="2" w15:restartNumberingAfterBreak="0">
    <w:nsid w:val="04F860E5"/>
    <w:multiLevelType w:val="hybridMultilevel"/>
    <w:tmpl w:val="E48C7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E0320"/>
    <w:multiLevelType w:val="multilevel"/>
    <w:tmpl w:val="98C68088"/>
    <w:lvl w:ilvl="0">
      <w:start w:val="1"/>
      <w:numFmt w:val="none"/>
      <w:suff w:val="nothing"/>
      <w:lvlText w:val="%1"/>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decimal"/>
      <w:lvlText w:val="SECTION %3."/>
      <w:lvlJc w:val="left"/>
      <w:pPr>
        <w:tabs>
          <w:tab w:val="num" w:pos="1440"/>
        </w:tabs>
        <w:ind w:left="0" w:firstLine="720"/>
      </w:pPr>
      <w:rPr>
        <w:rFonts w:hint="default"/>
      </w:rPr>
    </w:lvl>
    <w:lvl w:ilvl="3">
      <w:start w:val="1"/>
      <w:numFmt w:val="lowerLetter"/>
      <w:lvlText w:val="(%4)"/>
      <w:lvlJc w:val="left"/>
      <w:pPr>
        <w:tabs>
          <w:tab w:val="num" w:pos="2160"/>
        </w:tabs>
        <w:ind w:left="720" w:firstLine="720"/>
      </w:pPr>
      <w:rPr>
        <w:rFonts w:hint="default"/>
      </w:rPr>
    </w:lvl>
    <w:lvl w:ilvl="4">
      <w:start w:val="1"/>
      <w:numFmt w:val="decimal"/>
      <w:lvlText w:val="%5."/>
      <w:lvlJc w:val="left"/>
      <w:pPr>
        <w:tabs>
          <w:tab w:val="num" w:pos="2880"/>
        </w:tabs>
        <w:ind w:left="2880" w:hanging="720"/>
      </w:pPr>
      <w:rPr>
        <w:rFonts w:hint="default"/>
        <w:vanish w:val="0"/>
      </w:rPr>
    </w:lvl>
    <w:lvl w:ilvl="5">
      <w:start w:val="1"/>
      <w:numFmt w:val="lowerRoman"/>
      <w:lvlText w:val="(%6)"/>
      <w:lvlJc w:val="left"/>
      <w:pPr>
        <w:tabs>
          <w:tab w:val="num" w:pos="5040"/>
        </w:tabs>
        <w:ind w:left="0" w:firstLine="4320"/>
      </w:pPr>
      <w:rPr>
        <w:rFonts w:hint="default"/>
      </w:rPr>
    </w:lvl>
    <w:lvl w:ilvl="6">
      <w:start w:val="1"/>
      <w:numFmt w:val="decimal"/>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4" w15:restartNumberingAfterBreak="0">
    <w:nsid w:val="16AC6FFF"/>
    <w:multiLevelType w:val="multilevel"/>
    <w:tmpl w:val="02F015C2"/>
    <w:lvl w:ilvl="0">
      <w:start w:val="1"/>
      <w:numFmt w:val="upperLetter"/>
      <w:pStyle w:val="Recital1"/>
      <w:lvlText w:val="%1."/>
      <w:lvlJc w:val="left"/>
      <w:pPr>
        <w:tabs>
          <w:tab w:val="num" w:pos="1440"/>
        </w:tabs>
        <w:ind w:left="0" w:firstLine="720"/>
      </w:pPr>
      <w:rPr>
        <w:rFonts w:hint="default"/>
      </w:rPr>
    </w:lvl>
    <w:lvl w:ilvl="1">
      <w:start w:val="1"/>
      <w:numFmt w:val="decimal"/>
      <w:pStyle w:val="Recital2"/>
      <w:lvlText w:val="%2."/>
      <w:lvlJc w:val="left"/>
      <w:pPr>
        <w:tabs>
          <w:tab w:val="num" w:pos="1440"/>
        </w:tabs>
        <w:ind w:left="1440" w:hanging="720"/>
      </w:pPr>
      <w:rPr>
        <w:rFonts w:hint="default"/>
      </w:rPr>
    </w:lvl>
    <w:lvl w:ilvl="2">
      <w:start w:val="1"/>
      <w:numFmt w:val="lowerRoman"/>
      <w:lvlText w:val="%3."/>
      <w:lvlJc w:val="left"/>
      <w:pPr>
        <w:tabs>
          <w:tab w:val="num" w:pos="2160"/>
        </w:tabs>
        <w:ind w:left="0" w:firstLine="1440"/>
      </w:pPr>
      <w:rPr>
        <w:rFonts w:hint="default"/>
      </w:rPr>
    </w:lvl>
    <w:lvl w:ilvl="3">
      <w:start w:val="1"/>
      <w:numFmt w:val="lowerLetter"/>
      <w:lvlText w:val="%4)"/>
      <w:lvlJc w:val="left"/>
      <w:pPr>
        <w:tabs>
          <w:tab w:val="num" w:pos="2880"/>
        </w:tabs>
        <w:ind w:left="0" w:firstLine="2160"/>
      </w:pPr>
      <w:rPr>
        <w:rFonts w:hint="default"/>
      </w:rPr>
    </w:lvl>
    <w:lvl w:ilvl="4">
      <w:start w:val="1"/>
      <w:numFmt w:val="lowerRoman"/>
      <w:lvlText w:val="%5)"/>
      <w:lvlJc w:val="left"/>
      <w:pPr>
        <w:tabs>
          <w:tab w:val="num" w:pos="3600"/>
        </w:tabs>
        <w:ind w:left="0" w:firstLine="2880"/>
      </w:pPr>
      <w:rPr>
        <w:rFonts w:hint="default"/>
      </w:rPr>
    </w:lvl>
    <w:lvl w:ilvl="5">
      <w:start w:val="1"/>
      <w:numFmt w:val="lowerLetter"/>
      <w:lvlText w:val="(%6)"/>
      <w:lvlJc w:val="left"/>
      <w:pPr>
        <w:tabs>
          <w:tab w:val="num" w:pos="4320"/>
        </w:tabs>
        <w:ind w:left="0" w:firstLine="3600"/>
      </w:pPr>
      <w:rPr>
        <w:rFonts w:hint="default"/>
      </w:rPr>
    </w:lvl>
    <w:lvl w:ilvl="6">
      <w:start w:val="1"/>
      <w:numFmt w:val="upperRoman"/>
      <w:lvlText w:val="%7."/>
      <w:lvlJc w:val="left"/>
      <w:pPr>
        <w:tabs>
          <w:tab w:val="num" w:pos="1440"/>
        </w:tabs>
        <w:ind w:left="0" w:firstLine="720"/>
      </w:pPr>
      <w:rPr>
        <w:rFonts w:hint="default"/>
      </w:rPr>
    </w:lvl>
    <w:lvl w:ilvl="7">
      <w:start w:val="1"/>
      <w:numFmt w:val="upperLetter"/>
      <w:lvlText w:val="%8."/>
      <w:lvlJc w:val="left"/>
      <w:pPr>
        <w:tabs>
          <w:tab w:val="num" w:pos="2160"/>
        </w:tabs>
        <w:ind w:left="0" w:firstLine="1440"/>
      </w:pPr>
      <w:rPr>
        <w:rFonts w:hint="default"/>
      </w:rPr>
    </w:lvl>
    <w:lvl w:ilvl="8">
      <w:start w:val="1"/>
      <w:numFmt w:val="lowerRoman"/>
      <w:lvlText w:val="%9."/>
      <w:lvlJc w:val="left"/>
      <w:pPr>
        <w:tabs>
          <w:tab w:val="num" w:pos="2880"/>
        </w:tabs>
        <w:ind w:left="0" w:firstLine="2160"/>
      </w:pPr>
      <w:rPr>
        <w:rFonts w:hint="default"/>
      </w:rPr>
    </w:lvl>
  </w:abstractNum>
  <w:abstractNum w:abstractNumId="5" w15:restartNumberingAfterBreak="0">
    <w:nsid w:val="16F151A0"/>
    <w:multiLevelType w:val="multilevel"/>
    <w:tmpl w:val="67FEF18A"/>
    <w:styleLink w:val="LegalStandard1"/>
    <w:lvl w:ilvl="0">
      <w:start w:val="1"/>
      <w:numFmt w:val="upperLetter"/>
      <w:lvlText w:val="%1."/>
      <w:lvlJc w:val="left"/>
      <w:pPr>
        <w:ind w:left="0" w:firstLine="0"/>
      </w:pPr>
      <w:rPr>
        <w:rFonts w:ascii="Times New Roman" w:hAnsi="Times New Roman" w:hint="default"/>
        <w:sz w:val="24"/>
      </w:rPr>
    </w:lvl>
    <w:lvl w:ilvl="1">
      <w:start w:val="1"/>
      <w:numFmt w:val="decimal"/>
      <w:lvlText w:val="%2."/>
      <w:lvlJc w:val="left"/>
      <w:pPr>
        <w:ind w:left="0" w:firstLine="720"/>
      </w:pPr>
      <w:rPr>
        <w:rFonts w:ascii="Times New Roman" w:hAnsi="Times New Roman" w:hint="default"/>
        <w:b w:val="0"/>
        <w:i w:val="0"/>
        <w:sz w:val="24"/>
      </w:rPr>
    </w:lvl>
    <w:lvl w:ilvl="2">
      <w:start w:val="1"/>
      <w:numFmt w:val="decimal"/>
      <w:lvlText w:val="%2.%3."/>
      <w:lvlJc w:val="left"/>
      <w:pPr>
        <w:ind w:left="0" w:firstLine="1440"/>
      </w:pPr>
      <w:rPr>
        <w:rFonts w:ascii="Times New Roman" w:hAnsi="Times New Roman" w:hint="default"/>
        <w:b w:val="0"/>
        <w:i w:val="0"/>
        <w:sz w:val="24"/>
      </w:rPr>
    </w:lvl>
    <w:lvl w:ilvl="3">
      <w:start w:val="1"/>
      <w:numFmt w:val="decimal"/>
      <w:lvlText w:val="%2.%3.%4."/>
      <w:lvlJc w:val="left"/>
      <w:pPr>
        <w:ind w:left="0" w:firstLine="2160"/>
      </w:pPr>
      <w:rPr>
        <w:rFonts w:ascii="Times New Roman" w:hAnsi="Times New Roman" w:hint="default"/>
        <w:b w:val="0"/>
        <w:i w:val="0"/>
        <w:sz w:val="24"/>
      </w:rPr>
    </w:lvl>
    <w:lvl w:ilvl="4">
      <w:start w:val="1"/>
      <w:numFmt w:val="lowerLetter"/>
      <w:lvlText w:val="%5."/>
      <w:lvlJc w:val="left"/>
      <w:pPr>
        <w:ind w:left="0" w:firstLine="2880"/>
      </w:pPr>
      <w:rPr>
        <w:rFonts w:ascii="Times New Roman" w:hAnsi="Times New Roman" w:hint="default"/>
        <w:b w:val="0"/>
        <w:i w:val="0"/>
        <w:sz w:val="24"/>
      </w:rPr>
    </w:lvl>
    <w:lvl w:ilvl="5">
      <w:start w:val="1"/>
      <w:numFmt w:val="lowerRoman"/>
      <w:lvlText w:val="%6."/>
      <w:lvlJc w:val="left"/>
      <w:pPr>
        <w:ind w:left="0" w:firstLine="3600"/>
      </w:pPr>
      <w:rPr>
        <w:rFonts w:ascii="Times New Roman" w:hAnsi="Times New Roman" w:hint="default"/>
        <w:b w:val="0"/>
        <w:i w:val="0"/>
        <w:sz w:val="24"/>
      </w:rPr>
    </w:lvl>
    <w:lvl w:ilvl="6">
      <w:start w:val="1"/>
      <w:numFmt w:val="upperLetter"/>
      <w:lvlText w:val="(%7)"/>
      <w:lvlJc w:val="left"/>
      <w:pPr>
        <w:tabs>
          <w:tab w:val="num" w:pos="5040"/>
        </w:tabs>
        <w:ind w:left="5040" w:hanging="720"/>
      </w:pPr>
      <w:rPr>
        <w:rFonts w:ascii="Times New Roman" w:hAnsi="Times New Roman" w:hint="default"/>
        <w:b w:val="0"/>
        <w:i w:val="0"/>
        <w:sz w:val="24"/>
      </w:rPr>
    </w:lvl>
    <w:lvl w:ilvl="7">
      <w:start w:val="1"/>
      <w:numFmt w:val="decimal"/>
      <w:lvlText w:val="(%8)"/>
      <w:lvlJc w:val="left"/>
      <w:pPr>
        <w:tabs>
          <w:tab w:val="num" w:pos="5760"/>
        </w:tabs>
        <w:ind w:left="5760" w:hanging="720"/>
      </w:pPr>
      <w:rPr>
        <w:rFonts w:ascii="Times New Roman" w:hAnsi="Times New Roman" w:hint="default"/>
        <w:b w:val="0"/>
        <w:i w:val="0"/>
        <w:sz w:val="24"/>
      </w:rPr>
    </w:lvl>
    <w:lvl w:ilvl="8">
      <w:start w:val="1"/>
      <w:numFmt w:val="bullet"/>
      <w:lvlText w:val=""/>
      <w:lvlJc w:val="left"/>
      <w:pPr>
        <w:tabs>
          <w:tab w:val="num" w:pos="6480"/>
        </w:tabs>
        <w:ind w:left="6480" w:hanging="720"/>
      </w:pPr>
      <w:rPr>
        <w:rFonts w:ascii="Symbol" w:hAnsi="Symbol" w:hint="default"/>
        <w:b w:val="0"/>
        <w:i w:val="0"/>
        <w:color w:val="auto"/>
        <w:sz w:val="24"/>
      </w:rPr>
    </w:lvl>
  </w:abstractNum>
  <w:abstractNum w:abstractNumId="6" w15:restartNumberingAfterBreak="0">
    <w:nsid w:val="38293DF8"/>
    <w:multiLevelType w:val="multilevel"/>
    <w:tmpl w:val="31A4C50A"/>
    <w:lvl w:ilvl="0">
      <w:start w:val="1"/>
      <w:numFmt w:val="decimal"/>
      <w:pStyle w:val="nu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06F261A"/>
    <w:multiLevelType w:val="multilevel"/>
    <w:tmpl w:val="205CCF38"/>
    <w:lvl w:ilvl="0">
      <w:start w:val="1"/>
      <w:numFmt w:val="none"/>
      <w:pStyle w:val="Heading1"/>
      <w:suff w:val="nothing"/>
      <w:lvlText w:val=""/>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lowerRoman"/>
      <w:pStyle w:val="Heading3"/>
      <w:lvlText w:val="%3."/>
      <w:lvlJc w:val="left"/>
      <w:pPr>
        <w:tabs>
          <w:tab w:val="num" w:pos="2880"/>
        </w:tabs>
        <w:ind w:left="0" w:firstLine="2160"/>
      </w:pPr>
      <w:rPr>
        <w:rFonts w:hint="default"/>
      </w:rPr>
    </w:lvl>
    <w:lvl w:ilvl="3">
      <w:start w:val="1"/>
      <w:numFmt w:val="decimal"/>
      <w:pStyle w:val="Heading4"/>
      <w:lvlText w:val="(%4)"/>
      <w:lvlJc w:val="left"/>
      <w:pPr>
        <w:tabs>
          <w:tab w:val="num" w:pos="3600"/>
        </w:tabs>
        <w:ind w:left="0" w:firstLine="2880"/>
      </w:pPr>
      <w:rPr>
        <w:rFonts w:hint="default"/>
      </w:rPr>
    </w:lvl>
    <w:lvl w:ilvl="4">
      <w:start w:val="1"/>
      <w:numFmt w:val="lowerLetter"/>
      <w:pStyle w:val="Heading5"/>
      <w:lvlText w:val="(%5)"/>
      <w:lvlJc w:val="left"/>
      <w:pPr>
        <w:tabs>
          <w:tab w:val="num" w:pos="4320"/>
        </w:tabs>
        <w:ind w:left="0" w:firstLine="3600"/>
      </w:pPr>
      <w:rPr>
        <w:rFonts w:hint="default"/>
      </w:rPr>
    </w:lvl>
    <w:lvl w:ilvl="5">
      <w:start w:val="1"/>
      <w:numFmt w:val="lowerRoman"/>
      <w:pStyle w:val="Heading6"/>
      <w:lvlText w:val="(%6)"/>
      <w:lvlJc w:val="left"/>
      <w:pPr>
        <w:tabs>
          <w:tab w:val="num" w:pos="5040"/>
        </w:tabs>
        <w:ind w:left="0" w:firstLine="4320"/>
      </w:pPr>
      <w:rPr>
        <w:rFonts w:hint="default"/>
      </w:rPr>
    </w:lvl>
    <w:lvl w:ilvl="6">
      <w:start w:val="1"/>
      <w:numFmt w:val="decimal"/>
      <w:pStyle w:val="Heading7"/>
      <w:lvlText w:val="%7."/>
      <w:lvlJc w:val="left"/>
      <w:pPr>
        <w:tabs>
          <w:tab w:val="num" w:pos="5760"/>
        </w:tabs>
        <w:ind w:left="0" w:firstLine="5040"/>
      </w:pPr>
      <w:rPr>
        <w:rFonts w:hint="default"/>
      </w:rPr>
    </w:lvl>
    <w:lvl w:ilvl="7">
      <w:start w:val="1"/>
      <w:numFmt w:val="lowerLetter"/>
      <w:pStyle w:val="Heading8"/>
      <w:lvlText w:val="%8."/>
      <w:lvlJc w:val="left"/>
      <w:pPr>
        <w:tabs>
          <w:tab w:val="num" w:pos="6480"/>
        </w:tabs>
        <w:ind w:left="0" w:firstLine="5760"/>
      </w:pPr>
      <w:rPr>
        <w:rFonts w:hint="default"/>
      </w:rPr>
    </w:lvl>
    <w:lvl w:ilvl="8">
      <w:start w:val="1"/>
      <w:numFmt w:val="lowerRoman"/>
      <w:pStyle w:val="Heading9"/>
      <w:lvlText w:val="%9)"/>
      <w:lvlJc w:val="left"/>
      <w:pPr>
        <w:tabs>
          <w:tab w:val="num" w:pos="7200"/>
        </w:tabs>
        <w:ind w:left="0" w:firstLine="6480"/>
      </w:pPr>
      <w:rPr>
        <w:rFonts w:hint="default"/>
      </w:rPr>
    </w:lvl>
  </w:abstractNum>
  <w:abstractNum w:abstractNumId="8" w15:restartNumberingAfterBreak="0">
    <w:nsid w:val="48ED6C4E"/>
    <w:multiLevelType w:val="multilevel"/>
    <w:tmpl w:val="8FDC6D46"/>
    <w:styleLink w:val="OutlineStandard2"/>
    <w:lvl w:ilvl="0">
      <w:start w:val="1"/>
      <w:numFmt w:val="upperRoman"/>
      <w:pStyle w:val="OutlineS2-1"/>
      <w:suff w:val="nothing"/>
      <w:lvlText w:val="ARTICLE %1."/>
      <w:lvlJc w:val="left"/>
      <w:pPr>
        <w:ind w:left="0" w:firstLine="0"/>
      </w:pPr>
      <w:rPr>
        <w:rFonts w:ascii="Times New Roman" w:hAnsi="Times New Roman" w:hint="default"/>
        <w:b w:val="0"/>
        <w:i w:val="0"/>
        <w:color w:val="auto"/>
        <w:sz w:val="24"/>
      </w:rPr>
    </w:lvl>
    <w:lvl w:ilvl="1">
      <w:start w:val="1"/>
      <w:numFmt w:val="decimal"/>
      <w:pStyle w:val="OutlineS2-2"/>
      <w:isLgl/>
      <w:lvlText w:val="%1.%2"/>
      <w:lvlJc w:val="left"/>
      <w:pPr>
        <w:ind w:left="0" w:firstLine="720"/>
      </w:pPr>
      <w:rPr>
        <w:rFonts w:ascii="Times New Roman" w:hAnsi="Times New Roman" w:hint="default"/>
        <w:b w:val="0"/>
        <w:i w:val="0"/>
        <w:color w:val="auto"/>
        <w:sz w:val="24"/>
      </w:rPr>
    </w:lvl>
    <w:lvl w:ilvl="2">
      <w:start w:val="1"/>
      <w:numFmt w:val="lowerLetter"/>
      <w:pStyle w:val="OutlineS2-3"/>
      <w:lvlText w:val="%3."/>
      <w:lvlJc w:val="left"/>
      <w:pPr>
        <w:ind w:left="0" w:firstLine="1440"/>
      </w:pPr>
      <w:rPr>
        <w:rFonts w:ascii="Times New Roman" w:hAnsi="Times New Roman" w:hint="default"/>
        <w:b w:val="0"/>
        <w:i w:val="0"/>
        <w:color w:val="auto"/>
        <w:sz w:val="24"/>
      </w:rPr>
    </w:lvl>
    <w:lvl w:ilvl="3">
      <w:start w:val="1"/>
      <w:numFmt w:val="lowerRoman"/>
      <w:pStyle w:val="OutlineS2-4"/>
      <w:lvlText w:val="%4."/>
      <w:lvlJc w:val="left"/>
      <w:pPr>
        <w:ind w:left="0" w:firstLine="2160"/>
      </w:pPr>
      <w:rPr>
        <w:rFonts w:ascii="Times New Roman" w:hAnsi="Times New Roman" w:hint="default"/>
        <w:b w:val="0"/>
        <w:i w:val="0"/>
        <w:color w:val="auto"/>
        <w:sz w:val="24"/>
      </w:rPr>
    </w:lvl>
    <w:lvl w:ilvl="4">
      <w:start w:val="1"/>
      <w:numFmt w:val="lowerLetter"/>
      <w:pStyle w:val="OutlineS2-5"/>
      <w:lvlText w:val="(%5)"/>
      <w:lvlJc w:val="left"/>
      <w:pPr>
        <w:ind w:left="3600" w:hanging="720"/>
      </w:pPr>
      <w:rPr>
        <w:rFonts w:ascii="Times New Roman" w:hAnsi="Times New Roman" w:hint="default"/>
        <w:b w:val="0"/>
        <w:i w:val="0"/>
        <w:color w:val="auto"/>
        <w:sz w:val="24"/>
      </w:rPr>
    </w:lvl>
    <w:lvl w:ilvl="5">
      <w:start w:val="1"/>
      <w:numFmt w:val="lowerRoman"/>
      <w:pStyle w:val="OutlineS2-6"/>
      <w:lvlText w:val="(%6)"/>
      <w:lvlJc w:val="left"/>
      <w:pPr>
        <w:tabs>
          <w:tab w:val="num" w:pos="4320"/>
        </w:tabs>
        <w:ind w:left="4320" w:hanging="720"/>
      </w:pPr>
      <w:rPr>
        <w:rFonts w:ascii="Times New Roman" w:hAnsi="Times New Roman" w:hint="default"/>
        <w:b w:val="0"/>
        <w:i w:val="0"/>
        <w:color w:val="auto"/>
        <w:sz w:val="24"/>
      </w:rPr>
    </w:lvl>
    <w:lvl w:ilvl="6">
      <w:start w:val="1"/>
      <w:numFmt w:val="decimal"/>
      <w:pStyle w:val="OutlineS2-7"/>
      <w:lvlText w:val="%7)"/>
      <w:lvlJc w:val="left"/>
      <w:pPr>
        <w:tabs>
          <w:tab w:val="num" w:pos="5040"/>
        </w:tabs>
        <w:ind w:left="5040" w:hanging="720"/>
      </w:pPr>
      <w:rPr>
        <w:rFonts w:ascii="Times New Roman" w:hAnsi="Times New Roman" w:hint="default"/>
        <w:b w:val="0"/>
        <w:i w:val="0"/>
        <w:color w:val="auto"/>
        <w:sz w:val="24"/>
      </w:rPr>
    </w:lvl>
    <w:lvl w:ilvl="7">
      <w:start w:val="1"/>
      <w:numFmt w:val="lowerLetter"/>
      <w:pStyle w:val="OutlineS2-8"/>
      <w:lvlText w:val="%8)"/>
      <w:lvlJc w:val="left"/>
      <w:pPr>
        <w:tabs>
          <w:tab w:val="num" w:pos="5760"/>
        </w:tabs>
        <w:ind w:left="5760" w:hanging="720"/>
      </w:pPr>
      <w:rPr>
        <w:rFonts w:ascii="Times New Roman" w:hAnsi="Times New Roman" w:hint="default"/>
        <w:b w:val="0"/>
        <w:i w:val="0"/>
        <w:sz w:val="24"/>
      </w:rPr>
    </w:lvl>
    <w:lvl w:ilvl="8">
      <w:start w:val="1"/>
      <w:numFmt w:val="lowerRoman"/>
      <w:pStyle w:val="OutlineS2-9"/>
      <w:lvlText w:val="%9)"/>
      <w:lvlJc w:val="left"/>
      <w:pPr>
        <w:tabs>
          <w:tab w:val="num" w:pos="6480"/>
        </w:tabs>
        <w:ind w:left="6480" w:hanging="720"/>
      </w:pPr>
      <w:rPr>
        <w:rFonts w:ascii="Times New Roman" w:hAnsi="Times New Roman" w:hint="default"/>
        <w:b w:val="0"/>
        <w:i w:val="0"/>
        <w:sz w:val="24"/>
      </w:rPr>
    </w:lvl>
  </w:abstractNum>
  <w:abstractNum w:abstractNumId="9" w15:restartNumberingAfterBreak="0">
    <w:nsid w:val="4AB37D5E"/>
    <w:multiLevelType w:val="multilevel"/>
    <w:tmpl w:val="AD3C6C3A"/>
    <w:lvl w:ilvl="0">
      <w:start w:val="1"/>
      <w:numFmt w:val="upperRoman"/>
      <w:lvlRestart w:val="0"/>
      <w:suff w:val="nothing"/>
      <w:lvlText w:val="ARTICLE %1"/>
      <w:lvlJc w:val="left"/>
      <w:pPr>
        <w:tabs>
          <w:tab w:val="num" w:pos="0"/>
        </w:tabs>
      </w:pPr>
      <w:rPr>
        <w:rFonts w:ascii="Times New Roman" w:hAnsi="Times New Roman" w:cs="Times New Roman"/>
        <w:b/>
        <w:i w:val="0"/>
        <w:caps/>
        <w:strike w:val="0"/>
        <w:dstrike w:val="0"/>
        <w:vanish w:val="0"/>
        <w:color w:val="auto"/>
        <w:sz w:val="24"/>
        <w:u w:val="none"/>
        <w:effect w:val="none"/>
        <w:vertAlign w:val="baseline"/>
      </w:rPr>
    </w:lvl>
    <w:lvl w:ilvl="1">
      <w:start w:val="1"/>
      <w:numFmt w:val="decimalZero"/>
      <w:isLgl/>
      <w:suff w:val="space"/>
      <w:lvlText w:val="Section %1.%2. "/>
      <w:lvlJc w:val="left"/>
      <w:pPr>
        <w:tabs>
          <w:tab w:val="num" w:pos="720"/>
        </w:tabs>
        <w:ind w:firstLine="720"/>
      </w:pPr>
      <w:rPr>
        <w:rFonts w:ascii="Times New Roman" w:hAnsi="Times New Roman" w:cs="Times New Roman"/>
        <w:b/>
        <w:i w:val="0"/>
        <w:caps w:val="0"/>
        <w:strike w:val="0"/>
        <w:dstrike w:val="0"/>
        <w:vanish w:val="0"/>
        <w:color w:val="auto"/>
        <w:sz w:val="24"/>
        <w:u w:val="none"/>
        <w:effect w:val="none"/>
        <w:vertAlign w:val="baseline"/>
      </w:rPr>
    </w:lvl>
    <w:lvl w:ilvl="2">
      <w:start w:val="1"/>
      <w:numFmt w:val="lowerLetter"/>
      <w:pStyle w:val="ArticleL3"/>
      <w:lvlText w:val="(%3)"/>
      <w:lvlJc w:val="left"/>
      <w:pPr>
        <w:tabs>
          <w:tab w:val="num" w:pos="2160"/>
        </w:tabs>
        <w:ind w:left="720" w:firstLine="720"/>
      </w:pPr>
      <w:rPr>
        <w:rFonts w:ascii="Times New Roman" w:hAnsi="Times New Roman" w:cs="Times New Roman"/>
        <w:b w:val="0"/>
        <w:i w:val="0"/>
        <w:caps w:val="0"/>
        <w:smallCaps w:val="0"/>
        <w:strike w:val="0"/>
        <w:dstrike w:val="0"/>
        <w:vanish w:val="0"/>
        <w:color w:val="auto"/>
        <w:sz w:val="24"/>
        <w:u w:val="none"/>
        <w:effect w:val="none"/>
        <w:vertAlign w:val="baseline"/>
      </w:rPr>
    </w:lvl>
    <w:lvl w:ilvl="3">
      <w:start w:val="1"/>
      <w:numFmt w:val="lowerRoman"/>
      <w:lvlText w:val="(%4)"/>
      <w:lvlJc w:val="left"/>
      <w:pPr>
        <w:tabs>
          <w:tab w:val="num" w:pos="2880"/>
        </w:tabs>
        <w:ind w:left="1440" w:firstLine="720"/>
      </w:pPr>
      <w:rPr>
        <w:rFonts w:ascii="Times New Roman" w:hAnsi="Times New Roman" w:cs="Times New Roman"/>
        <w:b w:val="0"/>
        <w:i w:val="0"/>
        <w:caps w:val="0"/>
        <w:smallCaps w:val="0"/>
        <w:strike w:val="0"/>
        <w:dstrike w:val="0"/>
        <w:vanish w:val="0"/>
        <w:color w:val="auto"/>
        <w:sz w:val="24"/>
        <w:u w:val="none"/>
        <w:effect w:val="none"/>
        <w:vertAlign w:val="baseline"/>
      </w:rPr>
    </w:lvl>
    <w:lvl w:ilvl="4">
      <w:start w:val="1"/>
      <w:numFmt w:val="upperLetter"/>
      <w:lvlText w:val="(%5)"/>
      <w:lvlJc w:val="left"/>
      <w:pPr>
        <w:tabs>
          <w:tab w:val="num" w:pos="3600"/>
        </w:tabs>
        <w:ind w:left="2160" w:firstLine="720"/>
      </w:pPr>
      <w:rPr>
        <w:rFonts w:ascii="Times New Roman" w:hAnsi="Times New Roman" w:cs="Times New Roman"/>
        <w:b w:val="0"/>
        <w:i w:val="0"/>
        <w:caps w:val="0"/>
        <w:smallCaps w:val="0"/>
        <w:strike w:val="0"/>
        <w:dstrike w:val="0"/>
        <w:vanish w:val="0"/>
        <w:color w:val="auto"/>
        <w:sz w:val="24"/>
        <w:u w:val="none"/>
        <w:effect w:val="none"/>
        <w:vertAlign w:val="baseline"/>
      </w:rPr>
    </w:lvl>
    <w:lvl w:ilvl="5">
      <w:start w:val="1"/>
      <w:numFmt w:val="decimal"/>
      <w:lvlText w:val="(%6)"/>
      <w:lvlJc w:val="left"/>
      <w:pPr>
        <w:tabs>
          <w:tab w:val="num" w:pos="4320"/>
        </w:tabs>
        <w:ind w:left="2880" w:firstLine="720"/>
      </w:pPr>
      <w:rPr>
        <w:rFonts w:ascii="Times New Roman" w:hAnsi="Times New Roman" w:cs="Times New Roman"/>
        <w:b w:val="0"/>
        <w:i w:val="0"/>
        <w:caps w:val="0"/>
        <w:smallCaps w:val="0"/>
        <w:strike w:val="0"/>
        <w:dstrike w:val="0"/>
        <w:vanish w:val="0"/>
        <w:color w:val="auto"/>
        <w:sz w:val="24"/>
        <w:u w:val="none"/>
        <w:effect w:val="none"/>
        <w:vertAlign w:val="baseline"/>
      </w:rPr>
    </w:lvl>
    <w:lvl w:ilvl="6">
      <w:start w:val="1"/>
      <w:numFmt w:val="none"/>
      <w:lvlText w:val=""/>
      <w:lvlJc w:val="left"/>
      <w:pPr>
        <w:tabs>
          <w:tab w:val="num" w:pos="360"/>
        </w:tabs>
      </w:pPr>
      <w:rPr>
        <w:rFonts w:ascii="Times New Roman" w:hAnsi="Times New Roman" w:cs="Times New Roman"/>
        <w:b w:val="0"/>
        <w:i w:val="0"/>
        <w:caps w:val="0"/>
        <w:smallCaps w:val="0"/>
        <w:strike w:val="0"/>
        <w:dstrike w:val="0"/>
        <w:vanish w:val="0"/>
        <w:color w:val="auto"/>
        <w:sz w:val="24"/>
        <w:u w:val="none"/>
        <w:effect w:val="none"/>
        <w:vertAlign w:val="baseline"/>
      </w:rPr>
    </w:lvl>
    <w:lvl w:ilvl="7">
      <w:start w:val="1"/>
      <w:numFmt w:val="none"/>
      <w:lvlText w:val=""/>
      <w:lvlJc w:val="left"/>
      <w:pPr>
        <w:tabs>
          <w:tab w:val="num" w:pos="360"/>
        </w:tabs>
      </w:pPr>
      <w:rPr>
        <w:rFonts w:ascii="Times New Roman" w:hAnsi="Times New Roman" w:cs="Times New Roman"/>
        <w:b w:val="0"/>
        <w:i w:val="0"/>
        <w:caps w:val="0"/>
        <w:smallCaps w:val="0"/>
        <w:strike w:val="0"/>
        <w:dstrike w:val="0"/>
        <w:vanish w:val="0"/>
        <w:color w:val="auto"/>
        <w:sz w:val="24"/>
        <w:u w:val="none"/>
        <w:effect w:val="none"/>
        <w:vertAlign w:val="baseline"/>
      </w:rPr>
    </w:lvl>
    <w:lvl w:ilvl="8">
      <w:start w:val="1"/>
      <w:numFmt w:val="none"/>
      <w:lvlText w:val=""/>
      <w:lvlJc w:val="left"/>
      <w:pPr>
        <w:tabs>
          <w:tab w:val="num" w:pos="360"/>
        </w:tabs>
      </w:pPr>
      <w:rPr>
        <w:rFonts w:ascii="Times New Roman" w:hAnsi="Times New Roman" w:cs="Times New Roman"/>
        <w:b w:val="0"/>
        <w:i w:val="0"/>
        <w:caps w:val="0"/>
        <w:smallCaps w:val="0"/>
        <w:strike w:val="0"/>
        <w:dstrike w:val="0"/>
        <w:vanish w:val="0"/>
        <w:color w:val="auto"/>
        <w:sz w:val="24"/>
        <w:u w:val="none"/>
        <w:effect w:val="none"/>
        <w:vertAlign w:val="baseline"/>
      </w:rPr>
    </w:lvl>
  </w:abstractNum>
  <w:abstractNum w:abstractNumId="10" w15:restartNumberingAfterBreak="0">
    <w:nsid w:val="543824A4"/>
    <w:multiLevelType w:val="multilevel"/>
    <w:tmpl w:val="5BA2F3A6"/>
    <w:styleLink w:val="OutlineStandard1"/>
    <w:lvl w:ilvl="0">
      <w:start w:val="1"/>
      <w:numFmt w:val="upperLetter"/>
      <w:pStyle w:val="OutlineS1-1"/>
      <w:lvlText w:val="%1."/>
      <w:lvlJc w:val="left"/>
      <w:pPr>
        <w:ind w:left="720" w:hanging="720"/>
      </w:pPr>
      <w:rPr>
        <w:rFonts w:ascii="Times New Roman" w:hAnsi="Times New Roman" w:hint="default"/>
        <w:b w:val="0"/>
        <w:i w:val="0"/>
        <w:color w:val="auto"/>
        <w:sz w:val="24"/>
      </w:rPr>
    </w:lvl>
    <w:lvl w:ilvl="1">
      <w:start w:val="1"/>
      <w:numFmt w:val="decimal"/>
      <w:pStyle w:val="OutlineS1-2"/>
      <w:lvlText w:val="%2."/>
      <w:lvlJc w:val="left"/>
      <w:pPr>
        <w:tabs>
          <w:tab w:val="num" w:pos="1440"/>
        </w:tabs>
        <w:ind w:left="1440" w:hanging="720"/>
      </w:pPr>
      <w:rPr>
        <w:rFonts w:ascii="Times New Roman" w:hAnsi="Times New Roman" w:hint="default"/>
        <w:b w:val="0"/>
        <w:i w:val="0"/>
        <w:color w:val="auto"/>
        <w:sz w:val="24"/>
      </w:rPr>
    </w:lvl>
    <w:lvl w:ilvl="2">
      <w:start w:val="1"/>
      <w:numFmt w:val="lowerLetter"/>
      <w:pStyle w:val="OutlineS1-3"/>
      <w:lvlText w:val="%3."/>
      <w:lvlJc w:val="left"/>
      <w:pPr>
        <w:tabs>
          <w:tab w:val="num" w:pos="2160"/>
        </w:tabs>
        <w:ind w:left="2160" w:hanging="720"/>
      </w:pPr>
      <w:rPr>
        <w:rFonts w:ascii="Times New Roman" w:hAnsi="Times New Roman" w:hint="default"/>
        <w:b w:val="0"/>
        <w:i w:val="0"/>
        <w:color w:val="auto"/>
        <w:sz w:val="24"/>
      </w:rPr>
    </w:lvl>
    <w:lvl w:ilvl="3">
      <w:start w:val="1"/>
      <w:numFmt w:val="lowerRoman"/>
      <w:pStyle w:val="OutlineS1-4"/>
      <w:lvlText w:val="%4."/>
      <w:lvlJc w:val="left"/>
      <w:pPr>
        <w:tabs>
          <w:tab w:val="num" w:pos="2160"/>
        </w:tabs>
        <w:ind w:left="2880" w:hanging="720"/>
      </w:pPr>
      <w:rPr>
        <w:rFonts w:ascii="Times New Roman" w:hAnsi="Times New Roman" w:hint="default"/>
        <w:b w:val="0"/>
        <w:i w:val="0"/>
        <w:color w:val="auto"/>
        <w:sz w:val="24"/>
      </w:rPr>
    </w:lvl>
    <w:lvl w:ilvl="4">
      <w:start w:val="1"/>
      <w:numFmt w:val="upperLetter"/>
      <w:pStyle w:val="OutlineS1-5"/>
      <w:lvlText w:val="(%5)"/>
      <w:lvlJc w:val="left"/>
      <w:pPr>
        <w:tabs>
          <w:tab w:val="num" w:pos="3600"/>
        </w:tabs>
        <w:ind w:left="3600" w:hanging="720"/>
      </w:pPr>
      <w:rPr>
        <w:rFonts w:ascii="Times New Roman" w:hAnsi="Times New Roman" w:hint="default"/>
        <w:b w:val="0"/>
        <w:i w:val="0"/>
        <w:color w:val="auto"/>
        <w:sz w:val="24"/>
      </w:rPr>
    </w:lvl>
    <w:lvl w:ilvl="5">
      <w:start w:val="1"/>
      <w:numFmt w:val="decimal"/>
      <w:pStyle w:val="OutlineS1-6"/>
      <w:lvlText w:val="(%6)"/>
      <w:lvlJc w:val="left"/>
      <w:pPr>
        <w:tabs>
          <w:tab w:val="num" w:pos="4320"/>
        </w:tabs>
        <w:ind w:left="4320" w:hanging="720"/>
      </w:pPr>
      <w:rPr>
        <w:rFonts w:ascii="Times New Roman" w:hAnsi="Times New Roman" w:hint="default"/>
        <w:b w:val="0"/>
        <w:i w:val="0"/>
        <w:sz w:val="24"/>
      </w:rPr>
    </w:lvl>
    <w:lvl w:ilvl="6">
      <w:start w:val="1"/>
      <w:numFmt w:val="lowerLetter"/>
      <w:pStyle w:val="OutlineS1-7"/>
      <w:lvlText w:val="(%7)"/>
      <w:lvlJc w:val="left"/>
      <w:pPr>
        <w:tabs>
          <w:tab w:val="num" w:pos="5040"/>
        </w:tabs>
        <w:ind w:left="5040" w:hanging="720"/>
      </w:pPr>
      <w:rPr>
        <w:rFonts w:ascii="Times New Roman" w:hAnsi="Times New Roman" w:hint="default"/>
        <w:b w:val="0"/>
        <w:i w:val="0"/>
        <w:color w:val="auto"/>
        <w:sz w:val="24"/>
      </w:rPr>
    </w:lvl>
    <w:lvl w:ilvl="7">
      <w:start w:val="1"/>
      <w:numFmt w:val="lowerRoman"/>
      <w:pStyle w:val="OutlineS1-8"/>
      <w:lvlText w:val="(%8)"/>
      <w:lvlJc w:val="left"/>
      <w:pPr>
        <w:tabs>
          <w:tab w:val="num" w:pos="5760"/>
        </w:tabs>
        <w:ind w:left="5760" w:hanging="720"/>
      </w:pPr>
      <w:rPr>
        <w:rFonts w:ascii="Times New Roman" w:hAnsi="Times New Roman" w:hint="default"/>
        <w:b w:val="0"/>
        <w:i w:val="0"/>
        <w:color w:val="auto"/>
        <w:sz w:val="24"/>
      </w:rPr>
    </w:lvl>
    <w:lvl w:ilvl="8">
      <w:start w:val="1"/>
      <w:numFmt w:val="bullet"/>
      <w:pStyle w:val="OutlineS1-9"/>
      <w:lvlText w:val=""/>
      <w:lvlJc w:val="left"/>
      <w:pPr>
        <w:tabs>
          <w:tab w:val="num" w:pos="6480"/>
        </w:tabs>
        <w:ind w:left="6480" w:hanging="720"/>
      </w:pPr>
      <w:rPr>
        <w:rFonts w:ascii="Symbol" w:hAnsi="Symbol" w:hint="default"/>
        <w:b w:val="0"/>
        <w:i w:val="0"/>
        <w:color w:val="auto"/>
        <w:sz w:val="24"/>
      </w:rPr>
    </w:lvl>
  </w:abstractNum>
  <w:abstractNum w:abstractNumId="11" w15:restartNumberingAfterBreak="0">
    <w:nsid w:val="5B102BBF"/>
    <w:multiLevelType w:val="multilevel"/>
    <w:tmpl w:val="8FDC6D46"/>
    <w:numStyleLink w:val="OutlineStandard2"/>
  </w:abstractNum>
  <w:abstractNum w:abstractNumId="12" w15:restartNumberingAfterBreak="0">
    <w:nsid w:val="5C7D685D"/>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15:restartNumberingAfterBreak="0">
    <w:nsid w:val="645A20C2"/>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15:restartNumberingAfterBreak="0">
    <w:nsid w:val="66AD583D"/>
    <w:multiLevelType w:val="hybridMultilevel"/>
    <w:tmpl w:val="E312B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BD0C45"/>
    <w:multiLevelType w:val="multilevel"/>
    <w:tmpl w:val="A8AECCA8"/>
    <w:lvl w:ilvl="0">
      <w:start w:val="1"/>
      <w:numFmt w:val="none"/>
      <w:pStyle w:val="LegalS1-1"/>
      <w:suff w:val="nothing"/>
      <w:lvlText w:val=""/>
      <w:lvlJc w:val="left"/>
      <w:pPr>
        <w:ind w:left="0" w:firstLine="0"/>
      </w:pPr>
      <w:rPr>
        <w:rFonts w:ascii="Times New Roman" w:hAnsi="Times New Roman" w:hint="default"/>
        <w:sz w:val="24"/>
      </w:rPr>
    </w:lvl>
    <w:lvl w:ilvl="1">
      <w:start w:val="1"/>
      <w:numFmt w:val="decimal"/>
      <w:pStyle w:val="LegalS1-2"/>
      <w:lvlText w:val="%2."/>
      <w:lvlJc w:val="left"/>
      <w:pPr>
        <w:ind w:left="0" w:firstLine="720"/>
      </w:pPr>
      <w:rPr>
        <w:rFonts w:ascii="Times New Roman" w:hAnsi="Times New Roman" w:hint="default"/>
        <w:b w:val="0"/>
        <w:i w:val="0"/>
        <w:sz w:val="24"/>
      </w:rPr>
    </w:lvl>
    <w:lvl w:ilvl="2">
      <w:start w:val="1"/>
      <w:numFmt w:val="decimal"/>
      <w:pStyle w:val="LegalS1-3"/>
      <w:lvlText w:val="%2.%3."/>
      <w:lvlJc w:val="left"/>
      <w:pPr>
        <w:ind w:left="0" w:firstLine="1440"/>
      </w:pPr>
      <w:rPr>
        <w:rFonts w:ascii="Times New Roman" w:hAnsi="Times New Roman" w:hint="default"/>
        <w:b w:val="0"/>
        <w:i w:val="0"/>
        <w:sz w:val="24"/>
      </w:rPr>
    </w:lvl>
    <w:lvl w:ilvl="3">
      <w:start w:val="1"/>
      <w:numFmt w:val="decimal"/>
      <w:pStyle w:val="LegalS1-4"/>
      <w:lvlText w:val="%2.%3.%4."/>
      <w:lvlJc w:val="left"/>
      <w:pPr>
        <w:ind w:left="0" w:firstLine="2160"/>
      </w:pPr>
      <w:rPr>
        <w:rFonts w:ascii="Times New Roman" w:hAnsi="Times New Roman" w:hint="default"/>
        <w:b w:val="0"/>
        <w:i w:val="0"/>
        <w:sz w:val="24"/>
      </w:rPr>
    </w:lvl>
    <w:lvl w:ilvl="4">
      <w:start w:val="1"/>
      <w:numFmt w:val="lowerLetter"/>
      <w:pStyle w:val="LegalS1-5"/>
      <w:lvlText w:val="%5."/>
      <w:lvlJc w:val="left"/>
      <w:pPr>
        <w:ind w:left="0" w:firstLine="2880"/>
      </w:pPr>
      <w:rPr>
        <w:rFonts w:ascii="Times New Roman" w:hAnsi="Times New Roman" w:hint="default"/>
        <w:b w:val="0"/>
        <w:i w:val="0"/>
        <w:sz w:val="24"/>
      </w:rPr>
    </w:lvl>
    <w:lvl w:ilvl="5">
      <w:start w:val="1"/>
      <w:numFmt w:val="lowerRoman"/>
      <w:pStyle w:val="LegalS1-6"/>
      <w:lvlText w:val="%6."/>
      <w:lvlJc w:val="left"/>
      <w:pPr>
        <w:ind w:left="0" w:firstLine="3600"/>
      </w:pPr>
      <w:rPr>
        <w:rFonts w:ascii="Times New Roman" w:hAnsi="Times New Roman" w:hint="default"/>
        <w:b w:val="0"/>
        <w:i w:val="0"/>
        <w:sz w:val="24"/>
      </w:rPr>
    </w:lvl>
    <w:lvl w:ilvl="6">
      <w:start w:val="1"/>
      <w:numFmt w:val="upperLetter"/>
      <w:pStyle w:val="LegalS1-7"/>
      <w:lvlText w:val="(%7)"/>
      <w:lvlJc w:val="left"/>
      <w:pPr>
        <w:tabs>
          <w:tab w:val="num" w:pos="5040"/>
        </w:tabs>
        <w:ind w:left="5040" w:hanging="720"/>
      </w:pPr>
      <w:rPr>
        <w:rFonts w:ascii="Times New Roman" w:hAnsi="Times New Roman" w:hint="default"/>
        <w:b w:val="0"/>
        <w:i w:val="0"/>
        <w:sz w:val="24"/>
      </w:rPr>
    </w:lvl>
    <w:lvl w:ilvl="7">
      <w:start w:val="1"/>
      <w:numFmt w:val="decimal"/>
      <w:pStyle w:val="LegalS1-8"/>
      <w:lvlText w:val="(%8)"/>
      <w:lvlJc w:val="left"/>
      <w:pPr>
        <w:tabs>
          <w:tab w:val="num" w:pos="5760"/>
        </w:tabs>
        <w:ind w:left="5760" w:hanging="720"/>
      </w:pPr>
      <w:rPr>
        <w:rFonts w:ascii="Times New Roman" w:hAnsi="Times New Roman" w:hint="default"/>
        <w:b w:val="0"/>
        <w:i w:val="0"/>
        <w:sz w:val="24"/>
      </w:rPr>
    </w:lvl>
    <w:lvl w:ilvl="8">
      <w:start w:val="1"/>
      <w:numFmt w:val="bullet"/>
      <w:pStyle w:val="LegalS1-9"/>
      <w:lvlText w:val=""/>
      <w:lvlJc w:val="left"/>
      <w:pPr>
        <w:tabs>
          <w:tab w:val="num" w:pos="6480"/>
        </w:tabs>
        <w:ind w:left="6480" w:hanging="720"/>
      </w:pPr>
      <w:rPr>
        <w:rFonts w:ascii="Symbol" w:hAnsi="Symbol" w:hint="default"/>
        <w:b w:val="0"/>
        <w:i w:val="0"/>
        <w:color w:val="auto"/>
        <w:sz w:val="24"/>
      </w:rPr>
    </w:lvl>
  </w:abstractNum>
  <w:abstractNum w:abstractNumId="16" w15:restartNumberingAfterBreak="0">
    <w:nsid w:val="7C035060"/>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7E782330"/>
    <w:multiLevelType w:val="multilevel"/>
    <w:tmpl w:val="5BA2F3A6"/>
    <w:numStyleLink w:val="OutlineStandard1"/>
  </w:abstractNum>
  <w:num w:numId="1">
    <w:abstractNumId w:val="1"/>
  </w:num>
  <w:num w:numId="2">
    <w:abstractNumId w:val="4"/>
  </w:num>
  <w:num w:numId="3">
    <w:abstractNumId w:val="3"/>
  </w:num>
  <w:num w:numId="4">
    <w:abstractNumId w:val="2"/>
  </w:num>
  <w:num w:numId="5">
    <w:abstractNumId w:val="5"/>
  </w:num>
  <w:num w:numId="6">
    <w:abstractNumId w:val="15"/>
  </w:num>
  <w:num w:numId="7">
    <w:abstractNumId w:val="6"/>
  </w:num>
  <w:num w:numId="8">
    <w:abstractNumId w:val="10"/>
  </w:num>
  <w:num w:numId="9">
    <w:abstractNumId w:val="8"/>
  </w:num>
  <w:num w:numId="10">
    <w:abstractNumId w:val="17"/>
  </w:num>
  <w:num w:numId="11">
    <w:abstractNumId w:val="11"/>
  </w:num>
  <w:num w:numId="12">
    <w:abstractNumId w:val="12"/>
  </w:num>
  <w:num w:numId="13">
    <w:abstractNumId w:val="13"/>
  </w:num>
  <w:num w:numId="14">
    <w:abstractNumId w:val="16"/>
  </w:num>
  <w:num w:numId="15">
    <w:abstractNumId w:val="14"/>
  </w:num>
  <w:num w:numId="16">
    <w:abstractNumId w:val="9"/>
  </w:num>
  <w:num w:numId="17">
    <w:abstractNumId w:val="3"/>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0"/>
  </w:num>
  <w:num w:numId="27">
    <w:abstractNumId w:val="7"/>
  </w:num>
  <w:num w:numId="28">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stylePaneSortMethod w:val="0000"/>
  <w:defaultTabStop w:val="720"/>
  <w:characterSpacingControl w:val="doNotCompress"/>
  <w:hdrShapeDefaults>
    <o:shapedefaults v:ext="edit" spidmax="182273"/>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DInfo" w:val="F"/>
  </w:docVars>
  <w:rsids>
    <w:rsidRoot w:val="006123A1"/>
    <w:rsid w:val="00006F60"/>
    <w:rsid w:val="0000781B"/>
    <w:rsid w:val="00010005"/>
    <w:rsid w:val="00016BB9"/>
    <w:rsid w:val="00017235"/>
    <w:rsid w:val="000202CD"/>
    <w:rsid w:val="000207AC"/>
    <w:rsid w:val="00027D66"/>
    <w:rsid w:val="00031678"/>
    <w:rsid w:val="00032ADE"/>
    <w:rsid w:val="00035C3D"/>
    <w:rsid w:val="00035D1F"/>
    <w:rsid w:val="00036302"/>
    <w:rsid w:val="000370BD"/>
    <w:rsid w:val="00040A5C"/>
    <w:rsid w:val="00047B3D"/>
    <w:rsid w:val="0005038F"/>
    <w:rsid w:val="000568E0"/>
    <w:rsid w:val="0007340F"/>
    <w:rsid w:val="000801DB"/>
    <w:rsid w:val="00080DB4"/>
    <w:rsid w:val="00080DE6"/>
    <w:rsid w:val="000813DF"/>
    <w:rsid w:val="00082CA8"/>
    <w:rsid w:val="000A6530"/>
    <w:rsid w:val="000B24E2"/>
    <w:rsid w:val="000B7821"/>
    <w:rsid w:val="000C0E1A"/>
    <w:rsid w:val="000C7901"/>
    <w:rsid w:val="000D32C5"/>
    <w:rsid w:val="000D691D"/>
    <w:rsid w:val="000D6F46"/>
    <w:rsid w:val="000E42DD"/>
    <w:rsid w:val="000E558D"/>
    <w:rsid w:val="000E71F5"/>
    <w:rsid w:val="000E7E43"/>
    <w:rsid w:val="000F412D"/>
    <w:rsid w:val="000F6CF9"/>
    <w:rsid w:val="000F7A66"/>
    <w:rsid w:val="00104FA7"/>
    <w:rsid w:val="00107A5A"/>
    <w:rsid w:val="00124582"/>
    <w:rsid w:val="00130363"/>
    <w:rsid w:val="001400AF"/>
    <w:rsid w:val="001427D0"/>
    <w:rsid w:val="00142B38"/>
    <w:rsid w:val="00151799"/>
    <w:rsid w:val="00154778"/>
    <w:rsid w:val="001600F6"/>
    <w:rsid w:val="00161F4E"/>
    <w:rsid w:val="00163777"/>
    <w:rsid w:val="00167EF2"/>
    <w:rsid w:val="00170EA2"/>
    <w:rsid w:val="00171BB9"/>
    <w:rsid w:val="00172AF3"/>
    <w:rsid w:val="001A070C"/>
    <w:rsid w:val="001A13BB"/>
    <w:rsid w:val="001A242B"/>
    <w:rsid w:val="001A5B62"/>
    <w:rsid w:val="001B117D"/>
    <w:rsid w:val="001B2A09"/>
    <w:rsid w:val="001C30F3"/>
    <w:rsid w:val="001D5234"/>
    <w:rsid w:val="001D636B"/>
    <w:rsid w:val="001E036B"/>
    <w:rsid w:val="001E716C"/>
    <w:rsid w:val="001F00C3"/>
    <w:rsid w:val="001F068F"/>
    <w:rsid w:val="001F0BE7"/>
    <w:rsid w:val="001F7915"/>
    <w:rsid w:val="00205B0F"/>
    <w:rsid w:val="00212B74"/>
    <w:rsid w:val="00212DA4"/>
    <w:rsid w:val="00213924"/>
    <w:rsid w:val="0021438B"/>
    <w:rsid w:val="00214F7D"/>
    <w:rsid w:val="002151C2"/>
    <w:rsid w:val="00215AFA"/>
    <w:rsid w:val="00227643"/>
    <w:rsid w:val="00232028"/>
    <w:rsid w:val="002324E1"/>
    <w:rsid w:val="00236B0E"/>
    <w:rsid w:val="00241999"/>
    <w:rsid w:val="00243289"/>
    <w:rsid w:val="002445FE"/>
    <w:rsid w:val="00244C7E"/>
    <w:rsid w:val="00252477"/>
    <w:rsid w:val="0025389C"/>
    <w:rsid w:val="0026412C"/>
    <w:rsid w:val="00270FA2"/>
    <w:rsid w:val="002718E2"/>
    <w:rsid w:val="002729D7"/>
    <w:rsid w:val="00276183"/>
    <w:rsid w:val="00280F36"/>
    <w:rsid w:val="002832DB"/>
    <w:rsid w:val="0028401F"/>
    <w:rsid w:val="0028599E"/>
    <w:rsid w:val="002860B1"/>
    <w:rsid w:val="002860C9"/>
    <w:rsid w:val="002901DC"/>
    <w:rsid w:val="00291D26"/>
    <w:rsid w:val="0029224B"/>
    <w:rsid w:val="00292BB5"/>
    <w:rsid w:val="00294924"/>
    <w:rsid w:val="00295B37"/>
    <w:rsid w:val="002A2A7A"/>
    <w:rsid w:val="002A4EAC"/>
    <w:rsid w:val="002A657A"/>
    <w:rsid w:val="002A7DF1"/>
    <w:rsid w:val="002B0537"/>
    <w:rsid w:val="002B184F"/>
    <w:rsid w:val="002B3833"/>
    <w:rsid w:val="002B7205"/>
    <w:rsid w:val="002C1C57"/>
    <w:rsid w:val="002D36A7"/>
    <w:rsid w:val="002D4D10"/>
    <w:rsid w:val="002D58A5"/>
    <w:rsid w:val="002E3E62"/>
    <w:rsid w:val="002F0135"/>
    <w:rsid w:val="002F06DD"/>
    <w:rsid w:val="002F112A"/>
    <w:rsid w:val="002F1FD0"/>
    <w:rsid w:val="002F3EC5"/>
    <w:rsid w:val="002F4C18"/>
    <w:rsid w:val="002F54D9"/>
    <w:rsid w:val="003029F1"/>
    <w:rsid w:val="00311B8F"/>
    <w:rsid w:val="00322523"/>
    <w:rsid w:val="00324215"/>
    <w:rsid w:val="0033171A"/>
    <w:rsid w:val="003355E3"/>
    <w:rsid w:val="00337DC8"/>
    <w:rsid w:val="00340170"/>
    <w:rsid w:val="0034253E"/>
    <w:rsid w:val="003439F8"/>
    <w:rsid w:val="00346C43"/>
    <w:rsid w:val="00346E75"/>
    <w:rsid w:val="00347584"/>
    <w:rsid w:val="00347EFC"/>
    <w:rsid w:val="00354595"/>
    <w:rsid w:val="00355BAC"/>
    <w:rsid w:val="003606FD"/>
    <w:rsid w:val="00361399"/>
    <w:rsid w:val="003619A8"/>
    <w:rsid w:val="003705C9"/>
    <w:rsid w:val="0037149C"/>
    <w:rsid w:val="00373463"/>
    <w:rsid w:val="00382C36"/>
    <w:rsid w:val="0038445F"/>
    <w:rsid w:val="00390B40"/>
    <w:rsid w:val="0039766E"/>
    <w:rsid w:val="003A0E35"/>
    <w:rsid w:val="003A3DD0"/>
    <w:rsid w:val="003A4160"/>
    <w:rsid w:val="003B158C"/>
    <w:rsid w:val="003B42AB"/>
    <w:rsid w:val="003C232E"/>
    <w:rsid w:val="003C6242"/>
    <w:rsid w:val="003C7F5F"/>
    <w:rsid w:val="003D42CF"/>
    <w:rsid w:val="003D6851"/>
    <w:rsid w:val="003E0992"/>
    <w:rsid w:val="003E1FEA"/>
    <w:rsid w:val="003E21D9"/>
    <w:rsid w:val="003E61BE"/>
    <w:rsid w:val="003F3119"/>
    <w:rsid w:val="003F3181"/>
    <w:rsid w:val="003F4EE4"/>
    <w:rsid w:val="0040281E"/>
    <w:rsid w:val="00405D5E"/>
    <w:rsid w:val="00406305"/>
    <w:rsid w:val="00407395"/>
    <w:rsid w:val="00411B98"/>
    <w:rsid w:val="00413254"/>
    <w:rsid w:val="004135E0"/>
    <w:rsid w:val="0042362F"/>
    <w:rsid w:val="0042662F"/>
    <w:rsid w:val="00430D60"/>
    <w:rsid w:val="00434780"/>
    <w:rsid w:val="00436AED"/>
    <w:rsid w:val="00437E38"/>
    <w:rsid w:val="00437E52"/>
    <w:rsid w:val="00450641"/>
    <w:rsid w:val="00452011"/>
    <w:rsid w:val="0045212A"/>
    <w:rsid w:val="00461557"/>
    <w:rsid w:val="0046376F"/>
    <w:rsid w:val="00467064"/>
    <w:rsid w:val="00470C97"/>
    <w:rsid w:val="00477FDB"/>
    <w:rsid w:val="00480C95"/>
    <w:rsid w:val="004810A4"/>
    <w:rsid w:val="0048305E"/>
    <w:rsid w:val="004830B4"/>
    <w:rsid w:val="004844A4"/>
    <w:rsid w:val="00486B8A"/>
    <w:rsid w:val="004920DD"/>
    <w:rsid w:val="00492691"/>
    <w:rsid w:val="00492C23"/>
    <w:rsid w:val="004A0160"/>
    <w:rsid w:val="004B2DCB"/>
    <w:rsid w:val="004B72B0"/>
    <w:rsid w:val="004B744C"/>
    <w:rsid w:val="004B7456"/>
    <w:rsid w:val="004B77E8"/>
    <w:rsid w:val="004C4110"/>
    <w:rsid w:val="004C4F26"/>
    <w:rsid w:val="004D0AE2"/>
    <w:rsid w:val="004D1918"/>
    <w:rsid w:val="004D2D24"/>
    <w:rsid w:val="004D6310"/>
    <w:rsid w:val="004E1336"/>
    <w:rsid w:val="004E2DD1"/>
    <w:rsid w:val="004E6C5A"/>
    <w:rsid w:val="004F15A1"/>
    <w:rsid w:val="004F357A"/>
    <w:rsid w:val="004F5B6A"/>
    <w:rsid w:val="004F70E5"/>
    <w:rsid w:val="00501AA7"/>
    <w:rsid w:val="005137C8"/>
    <w:rsid w:val="005147E6"/>
    <w:rsid w:val="00514EF6"/>
    <w:rsid w:val="0051576A"/>
    <w:rsid w:val="005162B7"/>
    <w:rsid w:val="005163A5"/>
    <w:rsid w:val="0051705E"/>
    <w:rsid w:val="00520E5D"/>
    <w:rsid w:val="00530C6A"/>
    <w:rsid w:val="0053163D"/>
    <w:rsid w:val="0053530E"/>
    <w:rsid w:val="00546412"/>
    <w:rsid w:val="00547A3F"/>
    <w:rsid w:val="00552294"/>
    <w:rsid w:val="00556A43"/>
    <w:rsid w:val="00557115"/>
    <w:rsid w:val="0056094E"/>
    <w:rsid w:val="00560D64"/>
    <w:rsid w:val="00561636"/>
    <w:rsid w:val="005670C0"/>
    <w:rsid w:val="00567EE5"/>
    <w:rsid w:val="0057116F"/>
    <w:rsid w:val="00573866"/>
    <w:rsid w:val="00580B2F"/>
    <w:rsid w:val="00580ECB"/>
    <w:rsid w:val="00586B20"/>
    <w:rsid w:val="005942B3"/>
    <w:rsid w:val="005A6697"/>
    <w:rsid w:val="005B07C7"/>
    <w:rsid w:val="005B1BDB"/>
    <w:rsid w:val="005C081D"/>
    <w:rsid w:val="005C29E0"/>
    <w:rsid w:val="005C64A8"/>
    <w:rsid w:val="005C6B61"/>
    <w:rsid w:val="005C6FA1"/>
    <w:rsid w:val="005D1DA9"/>
    <w:rsid w:val="005E0C61"/>
    <w:rsid w:val="005E16B8"/>
    <w:rsid w:val="005E170F"/>
    <w:rsid w:val="005E1EEB"/>
    <w:rsid w:val="005E4CE3"/>
    <w:rsid w:val="005E6034"/>
    <w:rsid w:val="005F2BAE"/>
    <w:rsid w:val="005F51E1"/>
    <w:rsid w:val="00607ABC"/>
    <w:rsid w:val="006123A1"/>
    <w:rsid w:val="0061296E"/>
    <w:rsid w:val="00612FA5"/>
    <w:rsid w:val="00613B0A"/>
    <w:rsid w:val="006154A6"/>
    <w:rsid w:val="00624B0B"/>
    <w:rsid w:val="00627EFA"/>
    <w:rsid w:val="00634FA4"/>
    <w:rsid w:val="00636C24"/>
    <w:rsid w:val="00637305"/>
    <w:rsid w:val="006422E2"/>
    <w:rsid w:val="00642D0B"/>
    <w:rsid w:val="00653256"/>
    <w:rsid w:val="00654E7F"/>
    <w:rsid w:val="00655008"/>
    <w:rsid w:val="0066604A"/>
    <w:rsid w:val="006667AF"/>
    <w:rsid w:val="006702CD"/>
    <w:rsid w:val="00671ED7"/>
    <w:rsid w:val="00672B2A"/>
    <w:rsid w:val="00685F66"/>
    <w:rsid w:val="006A3A9D"/>
    <w:rsid w:val="006A4C08"/>
    <w:rsid w:val="006A534B"/>
    <w:rsid w:val="006A6C83"/>
    <w:rsid w:val="006B25D7"/>
    <w:rsid w:val="006B7783"/>
    <w:rsid w:val="006C0B9E"/>
    <w:rsid w:val="006D4A88"/>
    <w:rsid w:val="006E48FE"/>
    <w:rsid w:val="006E4AB9"/>
    <w:rsid w:val="006E6DE1"/>
    <w:rsid w:val="007048D5"/>
    <w:rsid w:val="0071094D"/>
    <w:rsid w:val="00713012"/>
    <w:rsid w:val="00715E8D"/>
    <w:rsid w:val="007206D7"/>
    <w:rsid w:val="00724723"/>
    <w:rsid w:val="007365F9"/>
    <w:rsid w:val="00737129"/>
    <w:rsid w:val="00742574"/>
    <w:rsid w:val="0074310E"/>
    <w:rsid w:val="00745720"/>
    <w:rsid w:val="00746000"/>
    <w:rsid w:val="007466CE"/>
    <w:rsid w:val="007546B9"/>
    <w:rsid w:val="007577EC"/>
    <w:rsid w:val="007626D5"/>
    <w:rsid w:val="00765EAA"/>
    <w:rsid w:val="00767024"/>
    <w:rsid w:val="00767258"/>
    <w:rsid w:val="007715E5"/>
    <w:rsid w:val="0077595C"/>
    <w:rsid w:val="007835F2"/>
    <w:rsid w:val="00785DE4"/>
    <w:rsid w:val="00791FFE"/>
    <w:rsid w:val="007941AC"/>
    <w:rsid w:val="007944CB"/>
    <w:rsid w:val="00794508"/>
    <w:rsid w:val="007A2308"/>
    <w:rsid w:val="007A52EF"/>
    <w:rsid w:val="007A5DD4"/>
    <w:rsid w:val="007B5EE3"/>
    <w:rsid w:val="007B6F29"/>
    <w:rsid w:val="007C13AF"/>
    <w:rsid w:val="007C235C"/>
    <w:rsid w:val="007C46CD"/>
    <w:rsid w:val="007C6273"/>
    <w:rsid w:val="007D206F"/>
    <w:rsid w:val="007F425E"/>
    <w:rsid w:val="00801663"/>
    <w:rsid w:val="00801BAA"/>
    <w:rsid w:val="00804D3C"/>
    <w:rsid w:val="00807770"/>
    <w:rsid w:val="00807C60"/>
    <w:rsid w:val="00810F6D"/>
    <w:rsid w:val="00811749"/>
    <w:rsid w:val="00811B5B"/>
    <w:rsid w:val="00813C1C"/>
    <w:rsid w:val="008158BD"/>
    <w:rsid w:val="008249B8"/>
    <w:rsid w:val="00825C31"/>
    <w:rsid w:val="008262D0"/>
    <w:rsid w:val="008324FC"/>
    <w:rsid w:val="00832EA0"/>
    <w:rsid w:val="008414F7"/>
    <w:rsid w:val="008421D2"/>
    <w:rsid w:val="00842241"/>
    <w:rsid w:val="00843EAB"/>
    <w:rsid w:val="0084465D"/>
    <w:rsid w:val="008449C5"/>
    <w:rsid w:val="00844D2E"/>
    <w:rsid w:val="00846C3D"/>
    <w:rsid w:val="00846F97"/>
    <w:rsid w:val="00853673"/>
    <w:rsid w:val="00854A67"/>
    <w:rsid w:val="00860CFA"/>
    <w:rsid w:val="00863B2B"/>
    <w:rsid w:val="008644E6"/>
    <w:rsid w:val="00865293"/>
    <w:rsid w:val="00877E4B"/>
    <w:rsid w:val="00882957"/>
    <w:rsid w:val="00882BF2"/>
    <w:rsid w:val="00882FE7"/>
    <w:rsid w:val="008862C5"/>
    <w:rsid w:val="00890CBC"/>
    <w:rsid w:val="00895121"/>
    <w:rsid w:val="00897442"/>
    <w:rsid w:val="008A3407"/>
    <w:rsid w:val="008B041E"/>
    <w:rsid w:val="008B0BC8"/>
    <w:rsid w:val="008B270E"/>
    <w:rsid w:val="008B669D"/>
    <w:rsid w:val="008C0A2F"/>
    <w:rsid w:val="008C2AC2"/>
    <w:rsid w:val="008C31C1"/>
    <w:rsid w:val="008D1DBA"/>
    <w:rsid w:val="008D7ED3"/>
    <w:rsid w:val="008E0824"/>
    <w:rsid w:val="008E2F68"/>
    <w:rsid w:val="008E48B6"/>
    <w:rsid w:val="008E53C8"/>
    <w:rsid w:val="008E67C4"/>
    <w:rsid w:val="00901E07"/>
    <w:rsid w:val="009043F7"/>
    <w:rsid w:val="00907288"/>
    <w:rsid w:val="00910588"/>
    <w:rsid w:val="009105A0"/>
    <w:rsid w:val="0091230E"/>
    <w:rsid w:val="00912686"/>
    <w:rsid w:val="009151B0"/>
    <w:rsid w:val="0091777A"/>
    <w:rsid w:val="009200FB"/>
    <w:rsid w:val="00921739"/>
    <w:rsid w:val="009223A1"/>
    <w:rsid w:val="00930E5A"/>
    <w:rsid w:val="00931616"/>
    <w:rsid w:val="00934FDB"/>
    <w:rsid w:val="009352A0"/>
    <w:rsid w:val="00935E4E"/>
    <w:rsid w:val="0093605E"/>
    <w:rsid w:val="00940E5F"/>
    <w:rsid w:val="00944404"/>
    <w:rsid w:val="00950C0C"/>
    <w:rsid w:val="00954826"/>
    <w:rsid w:val="009659C0"/>
    <w:rsid w:val="00966F37"/>
    <w:rsid w:val="00983ED6"/>
    <w:rsid w:val="009A2D4E"/>
    <w:rsid w:val="009A67AD"/>
    <w:rsid w:val="009A7B92"/>
    <w:rsid w:val="009B01C1"/>
    <w:rsid w:val="009B145C"/>
    <w:rsid w:val="009B293F"/>
    <w:rsid w:val="009B5D91"/>
    <w:rsid w:val="009B6405"/>
    <w:rsid w:val="009C59CD"/>
    <w:rsid w:val="009D29FF"/>
    <w:rsid w:val="009D566A"/>
    <w:rsid w:val="009D7655"/>
    <w:rsid w:val="009D76AC"/>
    <w:rsid w:val="009E3B52"/>
    <w:rsid w:val="009E72FC"/>
    <w:rsid w:val="009E7307"/>
    <w:rsid w:val="009E7FD2"/>
    <w:rsid w:val="009F07A3"/>
    <w:rsid w:val="009F5B62"/>
    <w:rsid w:val="009F6F2A"/>
    <w:rsid w:val="009F7CA9"/>
    <w:rsid w:val="00A02B68"/>
    <w:rsid w:val="00A030E1"/>
    <w:rsid w:val="00A06786"/>
    <w:rsid w:val="00A07798"/>
    <w:rsid w:val="00A13B10"/>
    <w:rsid w:val="00A21C91"/>
    <w:rsid w:val="00A26382"/>
    <w:rsid w:val="00A32E6B"/>
    <w:rsid w:val="00A33345"/>
    <w:rsid w:val="00A36E42"/>
    <w:rsid w:val="00A42D19"/>
    <w:rsid w:val="00A4689B"/>
    <w:rsid w:val="00A50650"/>
    <w:rsid w:val="00A507C8"/>
    <w:rsid w:val="00A50AF0"/>
    <w:rsid w:val="00A50AFC"/>
    <w:rsid w:val="00A56082"/>
    <w:rsid w:val="00A5774C"/>
    <w:rsid w:val="00A778F4"/>
    <w:rsid w:val="00A837C3"/>
    <w:rsid w:val="00A86411"/>
    <w:rsid w:val="00A87D3B"/>
    <w:rsid w:val="00A929F3"/>
    <w:rsid w:val="00AA05EA"/>
    <w:rsid w:val="00AB07F2"/>
    <w:rsid w:val="00AB304F"/>
    <w:rsid w:val="00AC0456"/>
    <w:rsid w:val="00AD5595"/>
    <w:rsid w:val="00AD71DB"/>
    <w:rsid w:val="00AE18AE"/>
    <w:rsid w:val="00AE2AF2"/>
    <w:rsid w:val="00AF018D"/>
    <w:rsid w:val="00AF20F6"/>
    <w:rsid w:val="00AF4DA5"/>
    <w:rsid w:val="00AF52CB"/>
    <w:rsid w:val="00B02666"/>
    <w:rsid w:val="00B035D8"/>
    <w:rsid w:val="00B03695"/>
    <w:rsid w:val="00B065A1"/>
    <w:rsid w:val="00B073E4"/>
    <w:rsid w:val="00B14ADF"/>
    <w:rsid w:val="00B21DA1"/>
    <w:rsid w:val="00B22F88"/>
    <w:rsid w:val="00B27411"/>
    <w:rsid w:val="00B321FD"/>
    <w:rsid w:val="00B42E3C"/>
    <w:rsid w:val="00B44E01"/>
    <w:rsid w:val="00B53E33"/>
    <w:rsid w:val="00B54DFB"/>
    <w:rsid w:val="00B54FB4"/>
    <w:rsid w:val="00B67F69"/>
    <w:rsid w:val="00B72B76"/>
    <w:rsid w:val="00B74927"/>
    <w:rsid w:val="00B802F1"/>
    <w:rsid w:val="00B8301C"/>
    <w:rsid w:val="00B84D6C"/>
    <w:rsid w:val="00B9039F"/>
    <w:rsid w:val="00BA2195"/>
    <w:rsid w:val="00BA22A2"/>
    <w:rsid w:val="00BA2970"/>
    <w:rsid w:val="00BA5E10"/>
    <w:rsid w:val="00BB371B"/>
    <w:rsid w:val="00BB7B8D"/>
    <w:rsid w:val="00BC1176"/>
    <w:rsid w:val="00BC4C20"/>
    <w:rsid w:val="00BC4D58"/>
    <w:rsid w:val="00BC6455"/>
    <w:rsid w:val="00BC74B5"/>
    <w:rsid w:val="00BD144D"/>
    <w:rsid w:val="00BD156B"/>
    <w:rsid w:val="00BD21F0"/>
    <w:rsid w:val="00BE0446"/>
    <w:rsid w:val="00BE641C"/>
    <w:rsid w:val="00BF3179"/>
    <w:rsid w:val="00BF5AEF"/>
    <w:rsid w:val="00C00FC4"/>
    <w:rsid w:val="00C1076A"/>
    <w:rsid w:val="00C11453"/>
    <w:rsid w:val="00C12E64"/>
    <w:rsid w:val="00C1417C"/>
    <w:rsid w:val="00C218ED"/>
    <w:rsid w:val="00C30793"/>
    <w:rsid w:val="00C315CF"/>
    <w:rsid w:val="00C31F62"/>
    <w:rsid w:val="00C50A23"/>
    <w:rsid w:val="00C53E1A"/>
    <w:rsid w:val="00C6272C"/>
    <w:rsid w:val="00C63CFE"/>
    <w:rsid w:val="00C6439D"/>
    <w:rsid w:val="00C670D8"/>
    <w:rsid w:val="00C717B8"/>
    <w:rsid w:val="00C71AC6"/>
    <w:rsid w:val="00C73BC9"/>
    <w:rsid w:val="00C74F4E"/>
    <w:rsid w:val="00C8121F"/>
    <w:rsid w:val="00CA1DCA"/>
    <w:rsid w:val="00CA26A2"/>
    <w:rsid w:val="00CA5CCF"/>
    <w:rsid w:val="00CA6135"/>
    <w:rsid w:val="00CB0D87"/>
    <w:rsid w:val="00CB3195"/>
    <w:rsid w:val="00CB5C58"/>
    <w:rsid w:val="00CC1EE6"/>
    <w:rsid w:val="00CC2B63"/>
    <w:rsid w:val="00CC512C"/>
    <w:rsid w:val="00CC52EE"/>
    <w:rsid w:val="00CD0F3E"/>
    <w:rsid w:val="00CD1AB0"/>
    <w:rsid w:val="00CD359B"/>
    <w:rsid w:val="00CE3B6E"/>
    <w:rsid w:val="00CE5CED"/>
    <w:rsid w:val="00CE5CF8"/>
    <w:rsid w:val="00CF47DB"/>
    <w:rsid w:val="00CF5110"/>
    <w:rsid w:val="00CF5341"/>
    <w:rsid w:val="00CF788E"/>
    <w:rsid w:val="00D03900"/>
    <w:rsid w:val="00D06746"/>
    <w:rsid w:val="00D11B62"/>
    <w:rsid w:val="00D1383E"/>
    <w:rsid w:val="00D14014"/>
    <w:rsid w:val="00D2047F"/>
    <w:rsid w:val="00D21B61"/>
    <w:rsid w:val="00D227BA"/>
    <w:rsid w:val="00D236F7"/>
    <w:rsid w:val="00D30499"/>
    <w:rsid w:val="00D32159"/>
    <w:rsid w:val="00D3374C"/>
    <w:rsid w:val="00D36A74"/>
    <w:rsid w:val="00D40372"/>
    <w:rsid w:val="00D47162"/>
    <w:rsid w:val="00D54D66"/>
    <w:rsid w:val="00D57A4D"/>
    <w:rsid w:val="00D57E2E"/>
    <w:rsid w:val="00D646CF"/>
    <w:rsid w:val="00D658F7"/>
    <w:rsid w:val="00D70BE6"/>
    <w:rsid w:val="00D70F51"/>
    <w:rsid w:val="00D70FC9"/>
    <w:rsid w:val="00D71B53"/>
    <w:rsid w:val="00D75179"/>
    <w:rsid w:val="00D90214"/>
    <w:rsid w:val="00D91B0B"/>
    <w:rsid w:val="00D935D5"/>
    <w:rsid w:val="00D97D76"/>
    <w:rsid w:val="00DA0528"/>
    <w:rsid w:val="00DA25F4"/>
    <w:rsid w:val="00DA3617"/>
    <w:rsid w:val="00DA5985"/>
    <w:rsid w:val="00DA73BF"/>
    <w:rsid w:val="00DB2C42"/>
    <w:rsid w:val="00DB767D"/>
    <w:rsid w:val="00DC70A0"/>
    <w:rsid w:val="00DD0F8A"/>
    <w:rsid w:val="00DD2960"/>
    <w:rsid w:val="00DD47B0"/>
    <w:rsid w:val="00DD4B54"/>
    <w:rsid w:val="00DD58BD"/>
    <w:rsid w:val="00DD5A0B"/>
    <w:rsid w:val="00DD756D"/>
    <w:rsid w:val="00DE043B"/>
    <w:rsid w:val="00DE0F4F"/>
    <w:rsid w:val="00DE1F7B"/>
    <w:rsid w:val="00DF5201"/>
    <w:rsid w:val="00DF67E1"/>
    <w:rsid w:val="00E036D7"/>
    <w:rsid w:val="00E06A40"/>
    <w:rsid w:val="00E07091"/>
    <w:rsid w:val="00E0739C"/>
    <w:rsid w:val="00E1056D"/>
    <w:rsid w:val="00E12DE2"/>
    <w:rsid w:val="00E16765"/>
    <w:rsid w:val="00E27FB6"/>
    <w:rsid w:val="00E31651"/>
    <w:rsid w:val="00E369BC"/>
    <w:rsid w:val="00E40397"/>
    <w:rsid w:val="00E428DD"/>
    <w:rsid w:val="00E45C7B"/>
    <w:rsid w:val="00E678D6"/>
    <w:rsid w:val="00E70C0D"/>
    <w:rsid w:val="00E769B0"/>
    <w:rsid w:val="00E86868"/>
    <w:rsid w:val="00E874A1"/>
    <w:rsid w:val="00E9473A"/>
    <w:rsid w:val="00E959C7"/>
    <w:rsid w:val="00EA0EED"/>
    <w:rsid w:val="00EA1CD5"/>
    <w:rsid w:val="00EA43D7"/>
    <w:rsid w:val="00EB6913"/>
    <w:rsid w:val="00EC1DB2"/>
    <w:rsid w:val="00EC2176"/>
    <w:rsid w:val="00EC3BEE"/>
    <w:rsid w:val="00EC3EF7"/>
    <w:rsid w:val="00EC4D42"/>
    <w:rsid w:val="00EC6306"/>
    <w:rsid w:val="00ED3C0C"/>
    <w:rsid w:val="00ED5078"/>
    <w:rsid w:val="00ED5858"/>
    <w:rsid w:val="00ED7C99"/>
    <w:rsid w:val="00EE0EE1"/>
    <w:rsid w:val="00EE7F37"/>
    <w:rsid w:val="00EF12F0"/>
    <w:rsid w:val="00EF36E1"/>
    <w:rsid w:val="00EF5857"/>
    <w:rsid w:val="00EF5F6C"/>
    <w:rsid w:val="00F0350F"/>
    <w:rsid w:val="00F040E2"/>
    <w:rsid w:val="00F071AF"/>
    <w:rsid w:val="00F07F3C"/>
    <w:rsid w:val="00F11F35"/>
    <w:rsid w:val="00F12A69"/>
    <w:rsid w:val="00F13B16"/>
    <w:rsid w:val="00F14B68"/>
    <w:rsid w:val="00F14BD9"/>
    <w:rsid w:val="00F14D79"/>
    <w:rsid w:val="00F150AE"/>
    <w:rsid w:val="00F17494"/>
    <w:rsid w:val="00F21419"/>
    <w:rsid w:val="00F21590"/>
    <w:rsid w:val="00F226C4"/>
    <w:rsid w:val="00F24E86"/>
    <w:rsid w:val="00F27774"/>
    <w:rsid w:val="00F35F2A"/>
    <w:rsid w:val="00F37B1D"/>
    <w:rsid w:val="00F40065"/>
    <w:rsid w:val="00F40563"/>
    <w:rsid w:val="00F43307"/>
    <w:rsid w:val="00F55768"/>
    <w:rsid w:val="00F559B8"/>
    <w:rsid w:val="00F620BE"/>
    <w:rsid w:val="00F64928"/>
    <w:rsid w:val="00F709A0"/>
    <w:rsid w:val="00F7128E"/>
    <w:rsid w:val="00F744B7"/>
    <w:rsid w:val="00F75889"/>
    <w:rsid w:val="00F75C3B"/>
    <w:rsid w:val="00F9347E"/>
    <w:rsid w:val="00F93C9E"/>
    <w:rsid w:val="00F94423"/>
    <w:rsid w:val="00FA24DA"/>
    <w:rsid w:val="00FB3B39"/>
    <w:rsid w:val="00FC1B1E"/>
    <w:rsid w:val="00FC3261"/>
    <w:rsid w:val="00FC5739"/>
    <w:rsid w:val="00FD33D5"/>
    <w:rsid w:val="00FD7E4E"/>
    <w:rsid w:val="00FE3F0A"/>
    <w:rsid w:val="00FE5FFA"/>
    <w:rsid w:val="00FE757B"/>
    <w:rsid w:val="00FF07C8"/>
    <w:rsid w:val="00FF1476"/>
    <w:rsid w:val="00FF52D2"/>
    <w:rsid w:val="00FF5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ecimalSymbol w:val="."/>
  <w:listSeparator w:val=","/>
  <w15:chartTrackingRefBased/>
  <w15:docId w15:val="{C6E13CA9-1470-470B-8B0A-8D2E07836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135"/>
    <w:pPr>
      <w:spacing w:after="0" w:line="240" w:lineRule="auto"/>
      <w:jc w:val="both"/>
    </w:pPr>
    <w:rPr>
      <w:rFonts w:ascii="Times New Roman" w:hAnsi="Times New Roman"/>
      <w:szCs w:val="21"/>
    </w:rPr>
  </w:style>
  <w:style w:type="paragraph" w:styleId="Heading1">
    <w:name w:val="heading 1"/>
    <w:aliases w:val="h1,OS Heading 1,OS"/>
    <w:basedOn w:val="Normal"/>
    <w:link w:val="Heading1Char"/>
    <w:qFormat/>
    <w:rsid w:val="003A3DD0"/>
    <w:pPr>
      <w:numPr>
        <w:numId w:val="19"/>
      </w:numPr>
      <w:spacing w:after="240"/>
      <w:jc w:val="center"/>
      <w:outlineLvl w:val="0"/>
    </w:pPr>
    <w:rPr>
      <w:rFonts w:ascii="Times New Roman Bold" w:eastAsiaTheme="majorEastAsia" w:hAnsi="Times New Roman Bold" w:cstheme="majorBidi"/>
      <w:b/>
      <w:sz w:val="24"/>
      <w:szCs w:val="32"/>
    </w:rPr>
  </w:style>
  <w:style w:type="paragraph" w:styleId="Heading2">
    <w:name w:val="heading 2"/>
    <w:aliases w:val="h2,OS Heading 2,Subheading OS"/>
    <w:basedOn w:val="Normal"/>
    <w:link w:val="Heading2Char"/>
    <w:qFormat/>
    <w:rsid w:val="003A3DD0"/>
    <w:pPr>
      <w:numPr>
        <w:ilvl w:val="1"/>
        <w:numId w:val="19"/>
      </w:numPr>
      <w:spacing w:after="240"/>
      <w:jc w:val="left"/>
      <w:outlineLvl w:val="1"/>
    </w:pPr>
    <w:rPr>
      <w:rFonts w:ascii="Times New Roman Bold" w:eastAsiaTheme="majorEastAsia" w:hAnsi="Times New Roman Bold" w:cstheme="majorBidi"/>
      <w:b/>
      <w:sz w:val="24"/>
      <w:szCs w:val="26"/>
    </w:rPr>
  </w:style>
  <w:style w:type="paragraph" w:styleId="Heading3">
    <w:name w:val="heading 3"/>
    <w:aliases w:val="h3"/>
    <w:basedOn w:val="Normal"/>
    <w:link w:val="Heading3Char"/>
    <w:qFormat/>
    <w:rsid w:val="007365F9"/>
    <w:pPr>
      <w:numPr>
        <w:ilvl w:val="2"/>
        <w:numId w:val="19"/>
      </w:numPr>
      <w:spacing w:after="240"/>
      <w:outlineLvl w:val="2"/>
    </w:pPr>
    <w:rPr>
      <w:rFonts w:eastAsiaTheme="majorEastAsia" w:cs="Arial"/>
      <w:bCs/>
      <w:szCs w:val="26"/>
    </w:rPr>
  </w:style>
  <w:style w:type="paragraph" w:styleId="Heading4">
    <w:name w:val="heading 4"/>
    <w:aliases w:val="h4"/>
    <w:basedOn w:val="Normal"/>
    <w:link w:val="Heading4Char"/>
    <w:qFormat/>
    <w:rsid w:val="007365F9"/>
    <w:pPr>
      <w:numPr>
        <w:ilvl w:val="3"/>
        <w:numId w:val="19"/>
      </w:numPr>
      <w:spacing w:after="240"/>
      <w:outlineLvl w:val="3"/>
    </w:pPr>
    <w:rPr>
      <w:rFonts w:eastAsiaTheme="majorEastAsia" w:cstheme="majorBidi"/>
      <w:iCs/>
    </w:rPr>
  </w:style>
  <w:style w:type="paragraph" w:styleId="Heading5">
    <w:name w:val="heading 5"/>
    <w:aliases w:val="h5"/>
    <w:basedOn w:val="Normal"/>
    <w:link w:val="Heading5Char"/>
    <w:qFormat/>
    <w:rsid w:val="007365F9"/>
    <w:pPr>
      <w:numPr>
        <w:ilvl w:val="4"/>
        <w:numId w:val="19"/>
      </w:numPr>
      <w:spacing w:after="240"/>
      <w:outlineLvl w:val="4"/>
    </w:pPr>
    <w:rPr>
      <w:rFonts w:eastAsiaTheme="majorEastAsia" w:cstheme="majorBidi"/>
    </w:rPr>
  </w:style>
  <w:style w:type="paragraph" w:styleId="Heading6">
    <w:name w:val="heading 6"/>
    <w:aliases w:val="h6"/>
    <w:basedOn w:val="Normal"/>
    <w:link w:val="Heading6Char"/>
    <w:qFormat/>
    <w:rsid w:val="007365F9"/>
    <w:pPr>
      <w:numPr>
        <w:ilvl w:val="5"/>
        <w:numId w:val="19"/>
      </w:numPr>
      <w:spacing w:after="240"/>
      <w:outlineLvl w:val="5"/>
    </w:pPr>
    <w:rPr>
      <w:rFonts w:eastAsiaTheme="majorEastAsia" w:cstheme="majorBidi"/>
    </w:rPr>
  </w:style>
  <w:style w:type="paragraph" w:styleId="Heading7">
    <w:name w:val="heading 7"/>
    <w:aliases w:val="h7"/>
    <w:basedOn w:val="Normal"/>
    <w:link w:val="Heading7Char"/>
    <w:qFormat/>
    <w:rsid w:val="007365F9"/>
    <w:pPr>
      <w:numPr>
        <w:ilvl w:val="6"/>
        <w:numId w:val="19"/>
      </w:numPr>
      <w:spacing w:after="240"/>
      <w:outlineLvl w:val="6"/>
    </w:pPr>
    <w:rPr>
      <w:rFonts w:eastAsiaTheme="majorEastAsia" w:cstheme="majorBidi"/>
      <w:iCs/>
    </w:rPr>
  </w:style>
  <w:style w:type="paragraph" w:styleId="Heading8">
    <w:name w:val="heading 8"/>
    <w:aliases w:val="h8"/>
    <w:basedOn w:val="Normal"/>
    <w:link w:val="Heading8Char"/>
    <w:qFormat/>
    <w:rsid w:val="007365F9"/>
    <w:pPr>
      <w:numPr>
        <w:ilvl w:val="7"/>
        <w:numId w:val="19"/>
      </w:numPr>
      <w:spacing w:after="240"/>
      <w:outlineLvl w:val="7"/>
    </w:pPr>
    <w:rPr>
      <w:rFonts w:eastAsiaTheme="majorEastAsia" w:cstheme="majorBidi"/>
    </w:rPr>
  </w:style>
  <w:style w:type="paragraph" w:styleId="Heading9">
    <w:name w:val="heading 9"/>
    <w:aliases w:val="h9"/>
    <w:basedOn w:val="Normal"/>
    <w:link w:val="Heading9Char"/>
    <w:qFormat/>
    <w:rsid w:val="007365F9"/>
    <w:pPr>
      <w:numPr>
        <w:ilvl w:val="8"/>
        <w:numId w:val="19"/>
      </w:numPr>
      <w:spacing w:after="240"/>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0"/>
    <w:basedOn w:val="Normal"/>
    <w:link w:val="BodyTextChar"/>
    <w:uiPriority w:val="99"/>
    <w:qFormat/>
    <w:rsid w:val="005E6034"/>
    <w:pPr>
      <w:spacing w:after="240"/>
    </w:pPr>
    <w:rPr>
      <w:rFonts w:eastAsia="Times New Roman" w:cs="Times New Roman"/>
      <w:szCs w:val="24"/>
    </w:rPr>
  </w:style>
  <w:style w:type="character" w:customStyle="1" w:styleId="BodyTextChar">
    <w:name w:val="Body Text Char"/>
    <w:aliases w:val="b0 Char"/>
    <w:basedOn w:val="DefaultParagraphFont"/>
    <w:link w:val="BodyText"/>
    <w:rsid w:val="005E6034"/>
    <w:rPr>
      <w:rFonts w:ascii="Times New Roman" w:eastAsia="Times New Roman" w:hAnsi="Times New Roman" w:cs="Times New Roman"/>
      <w:sz w:val="24"/>
      <w:szCs w:val="24"/>
    </w:rPr>
  </w:style>
  <w:style w:type="paragraph" w:customStyle="1" w:styleId="BodyText1">
    <w:name w:val="Body Text1"/>
    <w:aliases w:val="b1,Body Text 1"/>
    <w:basedOn w:val="Normal"/>
    <w:link w:val="BodyText1Char"/>
    <w:qFormat/>
    <w:rsid w:val="005E6034"/>
    <w:pPr>
      <w:spacing w:after="240"/>
      <w:ind w:firstLine="720"/>
    </w:pPr>
    <w:rPr>
      <w:rFonts w:eastAsia="Times New Roman" w:cs="Times New Roman"/>
      <w:szCs w:val="24"/>
    </w:rPr>
  </w:style>
  <w:style w:type="paragraph" w:customStyle="1" w:styleId="BodyText2">
    <w:name w:val="Body Text2"/>
    <w:aliases w:val="b2,b2 Char,Body Text2 Char Char,Body Text2 Char Char Char"/>
    <w:basedOn w:val="Normal"/>
    <w:link w:val="BodyText2Char"/>
    <w:qFormat/>
    <w:rsid w:val="005E6034"/>
    <w:pPr>
      <w:spacing w:after="240"/>
      <w:ind w:firstLine="1440"/>
    </w:pPr>
    <w:rPr>
      <w:rFonts w:eastAsia="Times New Roman" w:cs="Times New Roman"/>
      <w:szCs w:val="24"/>
    </w:rPr>
  </w:style>
  <w:style w:type="paragraph" w:customStyle="1" w:styleId="BodyText3">
    <w:name w:val="Body Text3"/>
    <w:aliases w:val="b3"/>
    <w:basedOn w:val="Normal"/>
    <w:qFormat/>
    <w:rsid w:val="005E6034"/>
    <w:pPr>
      <w:spacing w:after="240"/>
      <w:ind w:left="720" w:firstLine="720"/>
    </w:pPr>
    <w:rPr>
      <w:rFonts w:eastAsia="Times New Roman" w:cs="Times New Roman"/>
      <w:szCs w:val="24"/>
    </w:rPr>
  </w:style>
  <w:style w:type="paragraph" w:customStyle="1" w:styleId="DocID">
    <w:name w:val="DocID"/>
    <w:basedOn w:val="Normal"/>
    <w:next w:val="Footer"/>
    <w:link w:val="DocIDChar"/>
    <w:unhideWhenUsed/>
    <w:rsid w:val="000C7901"/>
    <w:pPr>
      <w:jc w:val="left"/>
    </w:pPr>
    <w:rPr>
      <w:rFonts w:cs="Times New Roman"/>
      <w:color w:val="000000"/>
      <w:sz w:val="16"/>
    </w:rPr>
  </w:style>
  <w:style w:type="character" w:customStyle="1" w:styleId="DocIDChar">
    <w:name w:val="DocID Char"/>
    <w:basedOn w:val="DefaultParagraphFont"/>
    <w:link w:val="DocID"/>
    <w:rsid w:val="000C7901"/>
    <w:rPr>
      <w:rFonts w:ascii="Times New Roman" w:hAnsi="Times New Roman" w:cs="Times New Roman"/>
      <w:color w:val="000000"/>
      <w:sz w:val="16"/>
      <w:szCs w:val="21"/>
    </w:rPr>
  </w:style>
  <w:style w:type="paragraph" w:styleId="Footer">
    <w:name w:val="footer"/>
    <w:basedOn w:val="Normal"/>
    <w:link w:val="FooterChar"/>
    <w:uiPriority w:val="99"/>
    <w:rsid w:val="005E6034"/>
    <w:pPr>
      <w:tabs>
        <w:tab w:val="center" w:pos="4680"/>
        <w:tab w:val="right" w:pos="9360"/>
      </w:tabs>
    </w:pPr>
  </w:style>
  <w:style w:type="character" w:customStyle="1" w:styleId="FooterChar">
    <w:name w:val="Footer Char"/>
    <w:basedOn w:val="DefaultParagraphFont"/>
    <w:link w:val="Footer"/>
    <w:uiPriority w:val="99"/>
    <w:rsid w:val="005E6034"/>
    <w:rPr>
      <w:rFonts w:ascii="Times New Roman" w:hAnsi="Times New Roman"/>
      <w:sz w:val="24"/>
      <w:szCs w:val="21"/>
    </w:rPr>
  </w:style>
  <w:style w:type="paragraph" w:styleId="EnvelopeAddress">
    <w:name w:val="envelope address"/>
    <w:basedOn w:val="Normal"/>
    <w:uiPriority w:val="99"/>
    <w:semiHidden/>
    <w:unhideWhenUsed/>
    <w:rsid w:val="005E6034"/>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rsid w:val="005E6034"/>
    <w:rPr>
      <w:rFonts w:eastAsiaTheme="majorEastAsia" w:cstheme="majorBidi"/>
      <w:sz w:val="20"/>
      <w:szCs w:val="20"/>
    </w:rPr>
  </w:style>
  <w:style w:type="paragraph" w:customStyle="1" w:styleId="Exhibit1">
    <w:name w:val="Exhibit 1"/>
    <w:aliases w:val="e1"/>
    <w:basedOn w:val="Normal"/>
    <w:rsid w:val="005E6034"/>
    <w:pPr>
      <w:numPr>
        <w:numId w:val="1"/>
      </w:numPr>
      <w:spacing w:after="240"/>
    </w:pPr>
    <w:rPr>
      <w:rFonts w:eastAsia="Times New Roman" w:cs="Times New Roman"/>
      <w:szCs w:val="24"/>
    </w:rPr>
  </w:style>
  <w:style w:type="paragraph" w:customStyle="1" w:styleId="Exhibit2">
    <w:name w:val="Exhibit 2"/>
    <w:aliases w:val="e2"/>
    <w:basedOn w:val="Normal"/>
    <w:rsid w:val="005E6034"/>
    <w:pPr>
      <w:numPr>
        <w:ilvl w:val="1"/>
        <w:numId w:val="1"/>
      </w:numPr>
      <w:spacing w:after="240"/>
    </w:pPr>
    <w:rPr>
      <w:rFonts w:eastAsia="Times New Roman" w:cs="Times New Roman"/>
      <w:szCs w:val="24"/>
    </w:rPr>
  </w:style>
  <w:style w:type="paragraph" w:customStyle="1" w:styleId="Exhibit3">
    <w:name w:val="Exhibit 3"/>
    <w:aliases w:val="e3"/>
    <w:basedOn w:val="Normal"/>
    <w:rsid w:val="005E6034"/>
    <w:pPr>
      <w:numPr>
        <w:ilvl w:val="2"/>
        <w:numId w:val="1"/>
      </w:numPr>
      <w:spacing w:after="240"/>
    </w:pPr>
    <w:rPr>
      <w:rFonts w:eastAsia="Times New Roman" w:cs="Times New Roman"/>
      <w:szCs w:val="24"/>
    </w:rPr>
  </w:style>
  <w:style w:type="paragraph" w:customStyle="1" w:styleId="Exhibit4">
    <w:name w:val="Exhibit 4"/>
    <w:aliases w:val="e4"/>
    <w:basedOn w:val="Normal"/>
    <w:rsid w:val="005E6034"/>
    <w:pPr>
      <w:numPr>
        <w:ilvl w:val="3"/>
        <w:numId w:val="1"/>
      </w:numPr>
      <w:spacing w:after="240"/>
    </w:pPr>
    <w:rPr>
      <w:rFonts w:eastAsia="Times New Roman" w:cs="Times New Roman"/>
      <w:szCs w:val="24"/>
    </w:rPr>
  </w:style>
  <w:style w:type="paragraph" w:customStyle="1" w:styleId="Exhibit5">
    <w:name w:val="Exhibit 5"/>
    <w:aliases w:val="e5"/>
    <w:basedOn w:val="Normal"/>
    <w:rsid w:val="005E6034"/>
    <w:pPr>
      <w:numPr>
        <w:ilvl w:val="4"/>
        <w:numId w:val="1"/>
      </w:numPr>
      <w:spacing w:after="240"/>
    </w:pPr>
    <w:rPr>
      <w:rFonts w:eastAsia="Times New Roman" w:cs="Times New Roman"/>
      <w:szCs w:val="24"/>
    </w:rPr>
  </w:style>
  <w:style w:type="paragraph" w:customStyle="1" w:styleId="Exhibit6">
    <w:name w:val="Exhibit 6"/>
    <w:aliases w:val="e6"/>
    <w:basedOn w:val="Normal"/>
    <w:rsid w:val="005E6034"/>
    <w:pPr>
      <w:numPr>
        <w:ilvl w:val="5"/>
        <w:numId w:val="1"/>
      </w:numPr>
      <w:spacing w:after="240"/>
    </w:pPr>
    <w:rPr>
      <w:rFonts w:eastAsia="Times New Roman" w:cs="Times New Roman"/>
      <w:szCs w:val="24"/>
    </w:rPr>
  </w:style>
  <w:style w:type="paragraph" w:customStyle="1" w:styleId="Exhibit7">
    <w:name w:val="Exhibit 7"/>
    <w:aliases w:val="e7"/>
    <w:basedOn w:val="Normal"/>
    <w:rsid w:val="005E6034"/>
    <w:pPr>
      <w:numPr>
        <w:ilvl w:val="6"/>
        <w:numId w:val="1"/>
      </w:numPr>
      <w:spacing w:after="240"/>
    </w:pPr>
    <w:rPr>
      <w:rFonts w:eastAsia="Times New Roman" w:cs="Times New Roman"/>
      <w:szCs w:val="24"/>
    </w:rPr>
  </w:style>
  <w:style w:type="paragraph" w:customStyle="1" w:styleId="Exhibit8">
    <w:name w:val="Exhibit 8"/>
    <w:aliases w:val="e8"/>
    <w:basedOn w:val="Normal"/>
    <w:rsid w:val="005E6034"/>
    <w:pPr>
      <w:numPr>
        <w:ilvl w:val="7"/>
        <w:numId w:val="1"/>
      </w:numPr>
      <w:spacing w:after="240"/>
    </w:pPr>
    <w:rPr>
      <w:rFonts w:eastAsia="Times New Roman" w:cs="Times New Roman"/>
      <w:szCs w:val="24"/>
    </w:rPr>
  </w:style>
  <w:style w:type="paragraph" w:customStyle="1" w:styleId="Exhibit9">
    <w:name w:val="Exhibit 9"/>
    <w:aliases w:val="e9"/>
    <w:basedOn w:val="Normal"/>
    <w:rsid w:val="005E6034"/>
    <w:pPr>
      <w:numPr>
        <w:ilvl w:val="8"/>
        <w:numId w:val="1"/>
      </w:numPr>
      <w:spacing w:after="240"/>
    </w:pPr>
    <w:rPr>
      <w:rFonts w:eastAsia="Times New Roman" w:cs="Times New Roman"/>
      <w:szCs w:val="24"/>
    </w:rPr>
  </w:style>
  <w:style w:type="paragraph" w:styleId="Header">
    <w:name w:val="header"/>
    <w:basedOn w:val="Normal"/>
    <w:link w:val="HeaderChar"/>
    <w:uiPriority w:val="99"/>
    <w:unhideWhenUsed/>
    <w:rsid w:val="005E6034"/>
    <w:pPr>
      <w:tabs>
        <w:tab w:val="center" w:pos="4680"/>
        <w:tab w:val="right" w:pos="9360"/>
      </w:tabs>
    </w:pPr>
  </w:style>
  <w:style w:type="character" w:customStyle="1" w:styleId="HeaderChar">
    <w:name w:val="Header Char"/>
    <w:basedOn w:val="DefaultParagraphFont"/>
    <w:link w:val="Header"/>
    <w:uiPriority w:val="99"/>
    <w:rsid w:val="005E6034"/>
    <w:rPr>
      <w:rFonts w:ascii="Times New Roman" w:hAnsi="Times New Roman"/>
      <w:sz w:val="24"/>
      <w:szCs w:val="21"/>
    </w:rPr>
  </w:style>
  <w:style w:type="character" w:customStyle="1" w:styleId="Heading1Char">
    <w:name w:val="Heading 1 Char"/>
    <w:aliases w:val="h1 Char,OS Heading 1 Char,OS Char"/>
    <w:basedOn w:val="DefaultParagraphFont"/>
    <w:link w:val="Heading1"/>
    <w:uiPriority w:val="9"/>
    <w:rsid w:val="003A3DD0"/>
    <w:rPr>
      <w:rFonts w:ascii="Times New Roman Bold" w:eastAsiaTheme="majorEastAsia" w:hAnsi="Times New Roman Bold" w:cstheme="majorBidi"/>
      <w:b/>
      <w:sz w:val="24"/>
      <w:szCs w:val="32"/>
    </w:rPr>
  </w:style>
  <w:style w:type="character" w:customStyle="1" w:styleId="Heading2Char">
    <w:name w:val="Heading 2 Char"/>
    <w:aliases w:val="h2 Char,OS Heading 2 Char,Subheading OS Char"/>
    <w:basedOn w:val="DefaultParagraphFont"/>
    <w:link w:val="Heading2"/>
    <w:uiPriority w:val="99"/>
    <w:rsid w:val="003A3DD0"/>
    <w:rPr>
      <w:rFonts w:ascii="Times New Roman Bold" w:eastAsiaTheme="majorEastAsia" w:hAnsi="Times New Roman Bold" w:cstheme="majorBidi"/>
      <w:b/>
      <w:sz w:val="24"/>
      <w:szCs w:val="26"/>
    </w:rPr>
  </w:style>
  <w:style w:type="character" w:customStyle="1" w:styleId="Heading3Char">
    <w:name w:val="Heading 3 Char"/>
    <w:aliases w:val="h3 Char"/>
    <w:basedOn w:val="DefaultParagraphFont"/>
    <w:link w:val="Heading3"/>
    <w:uiPriority w:val="99"/>
    <w:rsid w:val="005E6034"/>
    <w:rPr>
      <w:rFonts w:ascii="Times New Roman" w:eastAsiaTheme="majorEastAsia" w:hAnsi="Times New Roman" w:cs="Arial"/>
      <w:bCs/>
      <w:szCs w:val="26"/>
    </w:rPr>
  </w:style>
  <w:style w:type="character" w:customStyle="1" w:styleId="Heading4Char">
    <w:name w:val="Heading 4 Char"/>
    <w:aliases w:val="h4 Char"/>
    <w:basedOn w:val="DefaultParagraphFont"/>
    <w:link w:val="Heading4"/>
    <w:uiPriority w:val="99"/>
    <w:rsid w:val="007365F9"/>
    <w:rPr>
      <w:rFonts w:ascii="Times New Roman" w:eastAsiaTheme="majorEastAsia" w:hAnsi="Times New Roman" w:cstheme="majorBidi"/>
      <w:iCs/>
      <w:szCs w:val="21"/>
    </w:rPr>
  </w:style>
  <w:style w:type="character" w:customStyle="1" w:styleId="Heading5Char">
    <w:name w:val="Heading 5 Char"/>
    <w:aliases w:val="h5 Char"/>
    <w:basedOn w:val="DefaultParagraphFont"/>
    <w:link w:val="Heading5"/>
    <w:uiPriority w:val="99"/>
    <w:rsid w:val="007365F9"/>
    <w:rPr>
      <w:rFonts w:ascii="Times New Roman" w:eastAsiaTheme="majorEastAsia" w:hAnsi="Times New Roman" w:cstheme="majorBidi"/>
      <w:szCs w:val="21"/>
    </w:rPr>
  </w:style>
  <w:style w:type="character" w:customStyle="1" w:styleId="Heading6Char">
    <w:name w:val="Heading 6 Char"/>
    <w:aliases w:val="h6 Char"/>
    <w:basedOn w:val="DefaultParagraphFont"/>
    <w:link w:val="Heading6"/>
    <w:uiPriority w:val="99"/>
    <w:rsid w:val="005E6034"/>
    <w:rPr>
      <w:rFonts w:ascii="Times New Roman" w:eastAsiaTheme="majorEastAsia" w:hAnsi="Times New Roman" w:cstheme="majorBidi"/>
      <w:szCs w:val="21"/>
    </w:rPr>
  </w:style>
  <w:style w:type="character" w:customStyle="1" w:styleId="Heading7Char">
    <w:name w:val="Heading 7 Char"/>
    <w:aliases w:val="h7 Char"/>
    <w:basedOn w:val="DefaultParagraphFont"/>
    <w:link w:val="Heading7"/>
    <w:uiPriority w:val="99"/>
    <w:rsid w:val="005E6034"/>
    <w:rPr>
      <w:rFonts w:ascii="Times New Roman" w:eastAsiaTheme="majorEastAsia" w:hAnsi="Times New Roman" w:cstheme="majorBidi"/>
      <w:iCs/>
      <w:szCs w:val="21"/>
    </w:rPr>
  </w:style>
  <w:style w:type="character" w:customStyle="1" w:styleId="Heading8Char">
    <w:name w:val="Heading 8 Char"/>
    <w:aliases w:val="h8 Char"/>
    <w:basedOn w:val="DefaultParagraphFont"/>
    <w:link w:val="Heading8"/>
    <w:uiPriority w:val="99"/>
    <w:rsid w:val="005E6034"/>
    <w:rPr>
      <w:rFonts w:ascii="Times New Roman" w:eastAsiaTheme="majorEastAsia" w:hAnsi="Times New Roman" w:cstheme="majorBidi"/>
      <w:szCs w:val="21"/>
    </w:rPr>
  </w:style>
  <w:style w:type="character" w:customStyle="1" w:styleId="Heading9Char">
    <w:name w:val="Heading 9 Char"/>
    <w:aliases w:val="h9 Char"/>
    <w:basedOn w:val="DefaultParagraphFont"/>
    <w:link w:val="Heading9"/>
    <w:uiPriority w:val="99"/>
    <w:rsid w:val="005E6034"/>
    <w:rPr>
      <w:rFonts w:ascii="Times New Roman" w:eastAsiaTheme="majorEastAsia" w:hAnsi="Times New Roman" w:cstheme="majorBidi"/>
      <w:iCs/>
      <w:szCs w:val="21"/>
    </w:rPr>
  </w:style>
  <w:style w:type="character" w:styleId="PageNumber">
    <w:name w:val="page number"/>
    <w:basedOn w:val="DefaultParagraphFont"/>
    <w:uiPriority w:val="99"/>
    <w:rsid w:val="00514EF6"/>
    <w:rPr>
      <w:rFonts w:ascii="Times New Roman" w:hAnsi="Times New Roman"/>
      <w:b w:val="0"/>
      <w:i w:val="0"/>
      <w:sz w:val="22"/>
    </w:rPr>
  </w:style>
  <w:style w:type="paragraph" w:styleId="Quote">
    <w:name w:val="Quote"/>
    <w:basedOn w:val="Normal"/>
    <w:next w:val="Normal"/>
    <w:link w:val="QuoteChar"/>
    <w:uiPriority w:val="29"/>
    <w:qFormat/>
    <w:rsid w:val="005E6034"/>
    <w:pPr>
      <w:spacing w:after="240"/>
      <w:ind w:left="720" w:right="720"/>
    </w:pPr>
    <w:rPr>
      <w:iCs/>
    </w:rPr>
  </w:style>
  <w:style w:type="character" w:customStyle="1" w:styleId="QuoteChar">
    <w:name w:val="Quote Char"/>
    <w:basedOn w:val="DefaultParagraphFont"/>
    <w:link w:val="Quote"/>
    <w:uiPriority w:val="29"/>
    <w:rsid w:val="005E6034"/>
    <w:rPr>
      <w:rFonts w:ascii="Times New Roman" w:hAnsi="Times New Roman"/>
      <w:iCs/>
      <w:sz w:val="24"/>
      <w:szCs w:val="21"/>
    </w:rPr>
  </w:style>
  <w:style w:type="paragraph" w:customStyle="1" w:styleId="Quote1">
    <w:name w:val="Quote 1"/>
    <w:aliases w:val="q1"/>
    <w:basedOn w:val="Normal"/>
    <w:qFormat/>
    <w:rsid w:val="005E6034"/>
    <w:pPr>
      <w:spacing w:after="240"/>
      <w:ind w:left="720" w:right="720"/>
    </w:pPr>
    <w:rPr>
      <w:rFonts w:eastAsia="Times New Roman" w:cs="Times New Roman"/>
      <w:szCs w:val="24"/>
    </w:rPr>
  </w:style>
  <w:style w:type="paragraph" w:customStyle="1" w:styleId="Quote2">
    <w:name w:val="Quote 2"/>
    <w:aliases w:val="q2"/>
    <w:basedOn w:val="Normal"/>
    <w:qFormat/>
    <w:rsid w:val="005E6034"/>
    <w:pPr>
      <w:spacing w:after="240"/>
      <w:ind w:left="1440" w:right="1440"/>
    </w:pPr>
    <w:rPr>
      <w:rFonts w:eastAsia="Times New Roman" w:cs="Times New Roman"/>
      <w:szCs w:val="24"/>
    </w:rPr>
  </w:style>
  <w:style w:type="paragraph" w:customStyle="1" w:styleId="Recital1">
    <w:name w:val="Recital 1"/>
    <w:aliases w:val="r1"/>
    <w:basedOn w:val="Normal"/>
    <w:rsid w:val="005E6034"/>
    <w:pPr>
      <w:numPr>
        <w:numId w:val="2"/>
      </w:numPr>
      <w:spacing w:after="240"/>
    </w:pPr>
    <w:rPr>
      <w:rFonts w:eastAsia="Times New Roman" w:cs="Times New Roman"/>
      <w:szCs w:val="24"/>
    </w:rPr>
  </w:style>
  <w:style w:type="paragraph" w:customStyle="1" w:styleId="Recital2">
    <w:name w:val="Recital 2"/>
    <w:aliases w:val="r2"/>
    <w:basedOn w:val="Normal"/>
    <w:rsid w:val="005E6034"/>
    <w:pPr>
      <w:numPr>
        <w:ilvl w:val="1"/>
        <w:numId w:val="2"/>
      </w:numPr>
      <w:spacing w:after="240"/>
    </w:pPr>
    <w:rPr>
      <w:rFonts w:eastAsia="Times New Roman" w:cs="Times New Roman"/>
      <w:szCs w:val="24"/>
    </w:rPr>
  </w:style>
  <w:style w:type="paragraph" w:customStyle="1" w:styleId="Recitals">
    <w:name w:val="Recitals"/>
    <w:aliases w:val="r"/>
    <w:basedOn w:val="Normal"/>
    <w:next w:val="Normal"/>
    <w:rsid w:val="005E6034"/>
    <w:pPr>
      <w:spacing w:after="240"/>
      <w:jc w:val="center"/>
    </w:pPr>
    <w:rPr>
      <w:rFonts w:eastAsia="Times New Roman" w:cs="Times New Roman"/>
      <w:b/>
      <w:caps/>
      <w:szCs w:val="24"/>
    </w:rPr>
  </w:style>
  <w:style w:type="paragraph" w:customStyle="1" w:styleId="Subtitlenotoc">
    <w:name w:val="Subtitle (no toc)"/>
    <w:aliases w:val="stn"/>
    <w:basedOn w:val="Normal"/>
    <w:next w:val="Normal"/>
    <w:qFormat/>
    <w:rsid w:val="005E6034"/>
    <w:pPr>
      <w:keepNext/>
      <w:spacing w:after="240"/>
      <w:jc w:val="center"/>
    </w:pPr>
    <w:rPr>
      <w:rFonts w:eastAsia="Times New Roman" w:cs="Times New Roman"/>
      <w:szCs w:val="24"/>
    </w:rPr>
  </w:style>
  <w:style w:type="paragraph" w:styleId="Subtitle">
    <w:name w:val="Subtitle"/>
    <w:aliases w:val="st"/>
    <w:basedOn w:val="Normal"/>
    <w:next w:val="Normal"/>
    <w:link w:val="SubtitleChar"/>
    <w:rsid w:val="002445FE"/>
    <w:pPr>
      <w:numPr>
        <w:ilvl w:val="1"/>
      </w:numPr>
      <w:spacing w:after="240"/>
      <w:jc w:val="left"/>
    </w:pPr>
    <w:rPr>
      <w:b/>
      <w:szCs w:val="28"/>
    </w:rPr>
  </w:style>
  <w:style w:type="character" w:customStyle="1" w:styleId="SubtitleChar">
    <w:name w:val="Subtitle Char"/>
    <w:aliases w:val="st Char"/>
    <w:basedOn w:val="DefaultParagraphFont"/>
    <w:link w:val="Subtitle"/>
    <w:rsid w:val="002445FE"/>
    <w:rPr>
      <w:rFonts w:ascii="Times New Roman" w:hAnsi="Times New Roman"/>
      <w:b/>
      <w:szCs w:val="28"/>
    </w:rPr>
  </w:style>
  <w:style w:type="paragraph" w:customStyle="1" w:styleId="SubTitlePage">
    <w:name w:val="SubTitlePage"/>
    <w:basedOn w:val="Normal"/>
    <w:semiHidden/>
    <w:rsid w:val="005E6034"/>
    <w:pPr>
      <w:jc w:val="center"/>
    </w:pPr>
  </w:style>
  <w:style w:type="paragraph" w:styleId="Title">
    <w:name w:val="Title"/>
    <w:basedOn w:val="Normal"/>
    <w:next w:val="Normal"/>
    <w:link w:val="TitleChar"/>
    <w:uiPriority w:val="10"/>
    <w:qFormat/>
    <w:rsid w:val="001F068F"/>
    <w:pPr>
      <w:spacing w:after="400" w:line="240" w:lineRule="exact"/>
      <w:contextualSpacing/>
      <w:jc w:val="center"/>
    </w:pPr>
    <w:rPr>
      <w:rFonts w:ascii="Times New Roman Bold" w:eastAsiaTheme="majorEastAsia" w:hAnsi="Times New Roman Bold" w:cstheme="majorBidi"/>
      <w:b/>
      <w:caps/>
      <w:szCs w:val="72"/>
    </w:rPr>
  </w:style>
  <w:style w:type="character" w:customStyle="1" w:styleId="TitleChar">
    <w:name w:val="Title Char"/>
    <w:basedOn w:val="DefaultParagraphFont"/>
    <w:link w:val="Title"/>
    <w:uiPriority w:val="10"/>
    <w:rsid w:val="001F068F"/>
    <w:rPr>
      <w:rFonts w:ascii="Times New Roman Bold" w:eastAsiaTheme="majorEastAsia" w:hAnsi="Times New Roman Bold" w:cstheme="majorBidi"/>
      <w:b/>
      <w:caps/>
      <w:sz w:val="24"/>
      <w:szCs w:val="72"/>
    </w:rPr>
  </w:style>
  <w:style w:type="paragraph" w:customStyle="1" w:styleId="TitleNCnotoc">
    <w:name w:val="Title NC (no toc)"/>
    <w:basedOn w:val="Normal"/>
    <w:next w:val="Normal"/>
    <w:qFormat/>
    <w:rsid w:val="005E6034"/>
    <w:pPr>
      <w:keepNext/>
      <w:widowControl w:val="0"/>
      <w:spacing w:after="240"/>
      <w:jc w:val="center"/>
    </w:pPr>
    <w:rPr>
      <w:rFonts w:eastAsia="Times New Roman" w:cs="Times New Roman"/>
      <w:b/>
      <w:szCs w:val="24"/>
    </w:rPr>
  </w:style>
  <w:style w:type="paragraph" w:customStyle="1" w:styleId="TitlePage">
    <w:name w:val="Title Page"/>
    <w:basedOn w:val="Normal"/>
    <w:rsid w:val="005E6034"/>
    <w:pPr>
      <w:spacing w:after="480"/>
      <w:jc w:val="center"/>
    </w:pPr>
    <w:rPr>
      <w:rFonts w:ascii="Times New Roman Bold" w:hAnsi="Times New Roman Bold"/>
      <w:b/>
      <w:caps/>
    </w:rPr>
  </w:style>
  <w:style w:type="paragraph" w:customStyle="1" w:styleId="TitleUnotoc">
    <w:name w:val="Title U (no toc)"/>
    <w:basedOn w:val="Normal"/>
    <w:next w:val="Normal"/>
    <w:qFormat/>
    <w:rsid w:val="005E6034"/>
    <w:pPr>
      <w:keepNext/>
      <w:widowControl w:val="0"/>
      <w:spacing w:after="240"/>
      <w:jc w:val="center"/>
    </w:pPr>
    <w:rPr>
      <w:rFonts w:eastAsia="Times New Roman" w:cs="Times New Roman"/>
      <w:b/>
      <w:caps/>
      <w:szCs w:val="24"/>
      <w:u w:val="single"/>
    </w:rPr>
  </w:style>
  <w:style w:type="paragraph" w:styleId="TOC2">
    <w:name w:val="toc 2"/>
    <w:basedOn w:val="Normal"/>
    <w:next w:val="Normal"/>
    <w:autoRedefine/>
    <w:uiPriority w:val="39"/>
    <w:unhideWhenUsed/>
    <w:rsid w:val="009E3B52"/>
    <w:pPr>
      <w:tabs>
        <w:tab w:val="right" w:leader="dot" w:pos="9270"/>
      </w:tabs>
      <w:spacing w:line="259" w:lineRule="auto"/>
      <w:ind w:left="216"/>
    </w:pPr>
    <w:rPr>
      <w:rFonts w:eastAsiaTheme="minorEastAsia" w:cs="Times New Roman"/>
      <w:noProof/>
      <w:specVanish/>
    </w:rPr>
  </w:style>
  <w:style w:type="character" w:styleId="BookTitle">
    <w:name w:val="Book Title"/>
    <w:basedOn w:val="DefaultParagraphFont"/>
    <w:uiPriority w:val="33"/>
    <w:semiHidden/>
    <w:qFormat/>
    <w:rsid w:val="005E6034"/>
    <w:rPr>
      <w:b/>
      <w:bCs/>
      <w:caps w:val="0"/>
      <w:smallCaps/>
      <w:spacing w:val="0"/>
    </w:rPr>
  </w:style>
  <w:style w:type="paragraph" w:styleId="Caption">
    <w:name w:val="caption"/>
    <w:basedOn w:val="Normal"/>
    <w:next w:val="Normal"/>
    <w:uiPriority w:val="35"/>
    <w:semiHidden/>
    <w:unhideWhenUsed/>
    <w:qFormat/>
    <w:rsid w:val="005E6034"/>
    <w:rPr>
      <w:b/>
      <w:bCs/>
      <w:color w:val="404040" w:themeColor="text1" w:themeTint="BF"/>
      <w:sz w:val="16"/>
      <w:szCs w:val="16"/>
    </w:rPr>
  </w:style>
  <w:style w:type="character" w:styleId="Emphasis">
    <w:name w:val="Emphasis"/>
    <w:basedOn w:val="DefaultParagraphFont"/>
    <w:uiPriority w:val="20"/>
    <w:semiHidden/>
    <w:qFormat/>
    <w:rsid w:val="005E6034"/>
    <w:rPr>
      <w:i/>
      <w:iCs/>
      <w:color w:val="000000" w:themeColor="text1"/>
    </w:rPr>
  </w:style>
  <w:style w:type="character" w:styleId="IntenseEmphasis">
    <w:name w:val="Intense Emphasis"/>
    <w:basedOn w:val="DefaultParagraphFont"/>
    <w:uiPriority w:val="21"/>
    <w:semiHidden/>
    <w:qFormat/>
    <w:rsid w:val="005E6034"/>
    <w:rPr>
      <w:b/>
      <w:bCs/>
      <w:i/>
      <w:iCs/>
      <w:color w:val="auto"/>
    </w:rPr>
  </w:style>
  <w:style w:type="paragraph" w:styleId="IntenseQuote">
    <w:name w:val="Intense Quote"/>
    <w:basedOn w:val="Normal"/>
    <w:next w:val="Normal"/>
    <w:link w:val="IntenseQuoteChar"/>
    <w:uiPriority w:val="30"/>
    <w:qFormat/>
    <w:rsid w:val="005E6034"/>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5E6034"/>
    <w:rPr>
      <w:rFonts w:asciiTheme="majorHAnsi" w:eastAsiaTheme="majorEastAsia" w:hAnsiTheme="majorHAnsi" w:cstheme="majorBidi"/>
      <w:caps/>
      <w:color w:val="2E74B5" w:themeColor="accent1" w:themeShade="BF"/>
      <w:sz w:val="28"/>
      <w:szCs w:val="28"/>
    </w:rPr>
  </w:style>
  <w:style w:type="character" w:styleId="IntenseReference">
    <w:name w:val="Intense Reference"/>
    <w:basedOn w:val="DefaultParagraphFont"/>
    <w:uiPriority w:val="32"/>
    <w:semiHidden/>
    <w:qFormat/>
    <w:rsid w:val="005E6034"/>
    <w:rPr>
      <w:b/>
      <w:bCs/>
      <w:caps w:val="0"/>
      <w:smallCaps/>
      <w:color w:val="auto"/>
      <w:spacing w:val="0"/>
      <w:u w:val="single"/>
    </w:rPr>
  </w:style>
  <w:style w:type="paragraph" w:styleId="NoSpacing">
    <w:name w:val="No Spacing"/>
    <w:uiPriority w:val="1"/>
    <w:qFormat/>
    <w:rsid w:val="005E6034"/>
    <w:pPr>
      <w:spacing w:after="0" w:line="240" w:lineRule="auto"/>
    </w:pPr>
    <w:rPr>
      <w:sz w:val="21"/>
      <w:szCs w:val="21"/>
    </w:rPr>
  </w:style>
  <w:style w:type="character" w:styleId="Strong">
    <w:name w:val="Strong"/>
    <w:basedOn w:val="DefaultParagraphFont"/>
    <w:uiPriority w:val="22"/>
    <w:semiHidden/>
    <w:qFormat/>
    <w:rsid w:val="005E6034"/>
    <w:rPr>
      <w:b/>
      <w:bCs/>
    </w:rPr>
  </w:style>
  <w:style w:type="character" w:styleId="SubtleEmphasis">
    <w:name w:val="Subtle Emphasis"/>
    <w:basedOn w:val="DefaultParagraphFont"/>
    <w:uiPriority w:val="19"/>
    <w:semiHidden/>
    <w:qFormat/>
    <w:rsid w:val="005E6034"/>
    <w:rPr>
      <w:i/>
      <w:iCs/>
      <w:color w:val="595959" w:themeColor="text1" w:themeTint="A6"/>
    </w:rPr>
  </w:style>
  <w:style w:type="character" w:styleId="SubtleReference">
    <w:name w:val="Subtle Reference"/>
    <w:basedOn w:val="DefaultParagraphFont"/>
    <w:uiPriority w:val="31"/>
    <w:semiHidden/>
    <w:qFormat/>
    <w:rsid w:val="005E6034"/>
    <w:rPr>
      <w:caps w:val="0"/>
      <w:smallCaps/>
      <w:color w:val="404040" w:themeColor="text1" w:themeTint="BF"/>
      <w:spacing w:val="0"/>
      <w:u w:val="single" w:color="7F7F7F" w:themeColor="text1" w:themeTint="80"/>
    </w:rPr>
  </w:style>
  <w:style w:type="paragraph" w:styleId="TOCHeading">
    <w:name w:val="TOC Heading"/>
    <w:basedOn w:val="Heading1"/>
    <w:next w:val="Normal"/>
    <w:uiPriority w:val="39"/>
    <w:semiHidden/>
    <w:unhideWhenUsed/>
    <w:qFormat/>
    <w:rsid w:val="005E6034"/>
    <w:pPr>
      <w:outlineLvl w:val="9"/>
    </w:pPr>
    <w:rPr>
      <w:rFonts w:eastAsia="Times New Roman"/>
    </w:rPr>
  </w:style>
  <w:style w:type="table" w:styleId="TableGrid">
    <w:name w:val="Table Grid"/>
    <w:basedOn w:val="TableNormal"/>
    <w:uiPriority w:val="39"/>
    <w:rsid w:val="00426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Car,Style 39,Footnote Text Char3,Footnote Text Char Char,Footnote Text Char1 Char Char,TBG Style Char Char Char Char,Footnote Text Char2 Char,Footnote Text Char1 Char1,TBG Style Char Char Char1,Footnote Text Char1 Char,f"/>
    <w:basedOn w:val="Normal"/>
    <w:link w:val="FootnoteTextChar"/>
    <w:uiPriority w:val="99"/>
    <w:unhideWhenUsed/>
    <w:qFormat/>
    <w:rsid w:val="004B744C"/>
    <w:rPr>
      <w:sz w:val="20"/>
      <w:szCs w:val="20"/>
    </w:rPr>
  </w:style>
  <w:style w:type="character" w:customStyle="1" w:styleId="FootnoteTextChar">
    <w:name w:val="Footnote Text Char"/>
    <w:aliases w:val="Car Char1,Style 39 Char,Footnote Text Char3 Char,Footnote Text Char Char Char,Footnote Text Char1 Char Char Char,TBG Style Char Char Char Char Char,Footnote Text Char2 Char Char,Footnote Text Char1 Char1 Char,f Char"/>
    <w:basedOn w:val="DefaultParagraphFont"/>
    <w:link w:val="FootnoteText"/>
    <w:uiPriority w:val="99"/>
    <w:rsid w:val="004B744C"/>
    <w:rPr>
      <w:rFonts w:ascii="Times New Roman" w:hAnsi="Times New Roman"/>
      <w:sz w:val="20"/>
      <w:szCs w:val="20"/>
    </w:rPr>
  </w:style>
  <w:style w:type="character" w:styleId="FootnoteReference">
    <w:name w:val="footnote reference"/>
    <w:aliases w:val="fr"/>
    <w:basedOn w:val="DefaultParagraphFont"/>
    <w:uiPriority w:val="99"/>
    <w:unhideWhenUsed/>
    <w:rsid w:val="004B744C"/>
    <w:rPr>
      <w:vertAlign w:val="superscript"/>
    </w:rPr>
  </w:style>
  <w:style w:type="paragraph" w:customStyle="1" w:styleId="BodyText8pt">
    <w:name w:val="BodyText 8pt"/>
    <w:basedOn w:val="Normal"/>
    <w:qFormat/>
    <w:rsid w:val="00340170"/>
    <w:pPr>
      <w:spacing w:after="240"/>
      <w:ind w:firstLine="720"/>
    </w:pPr>
    <w:rPr>
      <w:sz w:val="16"/>
    </w:rPr>
  </w:style>
  <w:style w:type="paragraph" w:styleId="ListParagraph">
    <w:name w:val="List Paragraph"/>
    <w:basedOn w:val="Normal"/>
    <w:uiPriority w:val="34"/>
    <w:qFormat/>
    <w:rsid w:val="005F2BAE"/>
    <w:pPr>
      <w:spacing w:after="120"/>
      <w:ind w:left="720"/>
    </w:pPr>
  </w:style>
  <w:style w:type="character" w:customStyle="1" w:styleId="BodyText1Char">
    <w:name w:val="Body Text1 Char"/>
    <w:aliases w:val="b1 Char,Body Text 1 Char"/>
    <w:basedOn w:val="DefaultParagraphFont"/>
    <w:link w:val="BodyText1"/>
    <w:rsid w:val="00935E4E"/>
    <w:rPr>
      <w:rFonts w:ascii="Times New Roman" w:eastAsia="Times New Roman" w:hAnsi="Times New Roman" w:cs="Times New Roman"/>
      <w:szCs w:val="24"/>
    </w:rPr>
  </w:style>
  <w:style w:type="numbering" w:customStyle="1" w:styleId="LegalStandard1">
    <w:name w:val="Legal Standard1"/>
    <w:uiPriority w:val="99"/>
    <w:rsid w:val="00107A5A"/>
    <w:pPr>
      <w:numPr>
        <w:numId w:val="5"/>
      </w:numPr>
    </w:pPr>
  </w:style>
  <w:style w:type="paragraph" w:customStyle="1" w:styleId="Cover">
    <w:name w:val="Cover"/>
    <w:rsid w:val="00107A5A"/>
    <w:pPr>
      <w:tabs>
        <w:tab w:val="left" w:pos="2880"/>
      </w:tabs>
      <w:suppressAutoHyphens/>
      <w:spacing w:after="0" w:line="240" w:lineRule="auto"/>
    </w:pPr>
    <w:rPr>
      <w:rFonts w:ascii="Courier" w:eastAsia="Times New Roman" w:hAnsi="Courier" w:cs="Times New Roman"/>
      <w:sz w:val="18"/>
      <w:szCs w:val="20"/>
    </w:rPr>
  </w:style>
  <w:style w:type="paragraph" w:customStyle="1" w:styleId="Centered">
    <w:name w:val="Centered"/>
    <w:basedOn w:val="Normal"/>
    <w:next w:val="BodyText"/>
    <w:rsid w:val="00107A5A"/>
    <w:pPr>
      <w:spacing w:after="240"/>
      <w:jc w:val="center"/>
    </w:pPr>
    <w:rPr>
      <w:rFonts w:eastAsia="Times New Roman" w:cs="Times New Roman"/>
      <w:sz w:val="20"/>
      <w:szCs w:val="22"/>
    </w:rPr>
  </w:style>
  <w:style w:type="paragraph" w:customStyle="1" w:styleId="OStablenotes">
    <w:name w:val="OS table notes"/>
    <w:basedOn w:val="Normal"/>
    <w:link w:val="OStablenotesChar1"/>
    <w:rsid w:val="005B07C7"/>
    <w:pPr>
      <w:keepNext/>
      <w:keepLines/>
      <w:spacing w:before="120" w:after="120"/>
      <w:ind w:left="144" w:hanging="144"/>
    </w:pPr>
    <w:rPr>
      <w:rFonts w:eastAsia="Times New Roman" w:cs="Times New Roman"/>
      <w:color w:val="000000"/>
      <w:sz w:val="16"/>
      <w:szCs w:val="22"/>
    </w:rPr>
  </w:style>
  <w:style w:type="character" w:customStyle="1" w:styleId="OStablenotesChar1">
    <w:name w:val="OS table notes Char1"/>
    <w:link w:val="OStablenotes"/>
    <w:locked/>
    <w:rsid w:val="005B07C7"/>
    <w:rPr>
      <w:rFonts w:ascii="Times New Roman" w:eastAsia="Times New Roman" w:hAnsi="Times New Roman" w:cs="Times New Roman"/>
      <w:color w:val="000000"/>
      <w:sz w:val="16"/>
    </w:rPr>
  </w:style>
  <w:style w:type="paragraph" w:customStyle="1" w:styleId="OStablesources">
    <w:name w:val="OS table sources"/>
    <w:basedOn w:val="Normal"/>
    <w:rsid w:val="005163A5"/>
    <w:pPr>
      <w:spacing w:before="120" w:after="240"/>
      <w:ind w:left="576" w:hanging="576"/>
    </w:pPr>
    <w:rPr>
      <w:rFonts w:eastAsia="Times New Roman" w:cs="Times New Roman"/>
      <w:color w:val="000000"/>
      <w:sz w:val="16"/>
      <w:szCs w:val="22"/>
    </w:rPr>
  </w:style>
  <w:style w:type="paragraph" w:styleId="BalloonText">
    <w:name w:val="Balloon Text"/>
    <w:basedOn w:val="Normal"/>
    <w:link w:val="BalloonTextChar"/>
    <w:uiPriority w:val="99"/>
    <w:semiHidden/>
    <w:unhideWhenUsed/>
    <w:rsid w:val="005163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3A5"/>
    <w:rPr>
      <w:rFonts w:ascii="Segoe UI" w:hAnsi="Segoe UI" w:cs="Segoe UI"/>
      <w:sz w:val="18"/>
      <w:szCs w:val="18"/>
    </w:rPr>
  </w:style>
  <w:style w:type="paragraph" w:customStyle="1" w:styleId="OSTableTitle">
    <w:name w:val="OS Table Title"/>
    <w:basedOn w:val="Normal"/>
    <w:uiPriority w:val="99"/>
    <w:rsid w:val="00B22F88"/>
    <w:pPr>
      <w:keepNext/>
      <w:keepLines/>
      <w:widowControl w:val="0"/>
      <w:autoSpaceDE w:val="0"/>
      <w:autoSpaceDN w:val="0"/>
      <w:adjustRightInd w:val="0"/>
      <w:spacing w:after="120"/>
      <w:jc w:val="center"/>
    </w:pPr>
    <w:rPr>
      <w:rFonts w:eastAsia="Times New Roman" w:cs="Times New Roman"/>
      <w:b/>
      <w:bCs/>
      <w:color w:val="000000"/>
      <w:sz w:val="20"/>
      <w:szCs w:val="20"/>
    </w:rPr>
  </w:style>
  <w:style w:type="paragraph" w:customStyle="1" w:styleId="Offices">
    <w:name w:val="Offices"/>
    <w:basedOn w:val="Normal"/>
    <w:next w:val="Normal"/>
    <w:semiHidden/>
    <w:rsid w:val="00B22F88"/>
    <w:pPr>
      <w:tabs>
        <w:tab w:val="left" w:pos="1440"/>
      </w:tabs>
      <w:jc w:val="left"/>
    </w:pPr>
    <w:rPr>
      <w:rFonts w:eastAsia="Times New Roman" w:cs="Times New Roman"/>
      <w:szCs w:val="22"/>
      <w:lang w:eastAsia="zh-CN"/>
    </w:rPr>
  </w:style>
  <w:style w:type="paragraph" w:styleId="TOC1">
    <w:name w:val="toc 1"/>
    <w:basedOn w:val="Normal"/>
    <w:next w:val="Normal"/>
    <w:autoRedefine/>
    <w:uiPriority w:val="39"/>
    <w:unhideWhenUsed/>
    <w:rsid w:val="00A778F4"/>
    <w:pPr>
      <w:tabs>
        <w:tab w:val="right" w:leader="dot" w:pos="9270"/>
      </w:tabs>
      <w:spacing w:before="240"/>
    </w:pPr>
  </w:style>
  <w:style w:type="character" w:styleId="Hyperlink">
    <w:name w:val="Hyperlink"/>
    <w:basedOn w:val="DefaultParagraphFont"/>
    <w:uiPriority w:val="99"/>
    <w:unhideWhenUsed/>
    <w:rsid w:val="00AB07F2"/>
    <w:rPr>
      <w:color w:val="0563C1" w:themeColor="hyperlink"/>
      <w:u w:val="single"/>
    </w:rPr>
  </w:style>
  <w:style w:type="paragraph" w:customStyle="1" w:styleId="LegalS1-1">
    <w:name w:val="LegalS1-1"/>
    <w:basedOn w:val="Normal"/>
    <w:rsid w:val="00E769B0"/>
    <w:pPr>
      <w:numPr>
        <w:numId w:val="6"/>
      </w:numPr>
      <w:spacing w:after="240"/>
    </w:pPr>
    <w:rPr>
      <w:szCs w:val="22"/>
    </w:rPr>
  </w:style>
  <w:style w:type="paragraph" w:customStyle="1" w:styleId="LegalS1-2">
    <w:name w:val="LegalS1-2"/>
    <w:basedOn w:val="Normal"/>
    <w:rsid w:val="00E769B0"/>
    <w:pPr>
      <w:numPr>
        <w:ilvl w:val="1"/>
        <w:numId w:val="6"/>
      </w:numPr>
      <w:spacing w:after="240"/>
    </w:pPr>
    <w:rPr>
      <w:szCs w:val="22"/>
    </w:rPr>
  </w:style>
  <w:style w:type="paragraph" w:customStyle="1" w:styleId="LegalS1-3">
    <w:name w:val="LegalS1-3"/>
    <w:basedOn w:val="Normal"/>
    <w:rsid w:val="00E769B0"/>
    <w:pPr>
      <w:numPr>
        <w:ilvl w:val="2"/>
        <w:numId w:val="6"/>
      </w:numPr>
      <w:spacing w:after="240"/>
    </w:pPr>
    <w:rPr>
      <w:szCs w:val="22"/>
    </w:rPr>
  </w:style>
  <w:style w:type="paragraph" w:customStyle="1" w:styleId="LegalS1-4">
    <w:name w:val="LegalS1-4"/>
    <w:basedOn w:val="Normal"/>
    <w:rsid w:val="00E769B0"/>
    <w:pPr>
      <w:numPr>
        <w:ilvl w:val="3"/>
        <w:numId w:val="6"/>
      </w:numPr>
      <w:spacing w:after="240"/>
    </w:pPr>
    <w:rPr>
      <w:szCs w:val="22"/>
    </w:rPr>
  </w:style>
  <w:style w:type="paragraph" w:customStyle="1" w:styleId="LegalS1-5">
    <w:name w:val="LegalS1-5"/>
    <w:basedOn w:val="Normal"/>
    <w:rsid w:val="00E769B0"/>
    <w:pPr>
      <w:numPr>
        <w:ilvl w:val="4"/>
        <w:numId w:val="6"/>
      </w:numPr>
      <w:spacing w:after="240"/>
    </w:pPr>
    <w:rPr>
      <w:szCs w:val="22"/>
    </w:rPr>
  </w:style>
  <w:style w:type="paragraph" w:customStyle="1" w:styleId="LegalS1-6">
    <w:name w:val="LegalS1-6"/>
    <w:basedOn w:val="Normal"/>
    <w:rsid w:val="00E769B0"/>
    <w:pPr>
      <w:numPr>
        <w:ilvl w:val="5"/>
        <w:numId w:val="6"/>
      </w:numPr>
      <w:spacing w:after="240"/>
    </w:pPr>
    <w:rPr>
      <w:szCs w:val="22"/>
    </w:rPr>
  </w:style>
  <w:style w:type="paragraph" w:customStyle="1" w:styleId="LegalS1-7">
    <w:name w:val="LegalS1-7"/>
    <w:basedOn w:val="Normal"/>
    <w:rsid w:val="00E769B0"/>
    <w:pPr>
      <w:numPr>
        <w:ilvl w:val="6"/>
        <w:numId w:val="6"/>
      </w:numPr>
      <w:spacing w:after="240"/>
    </w:pPr>
    <w:rPr>
      <w:szCs w:val="22"/>
    </w:rPr>
  </w:style>
  <w:style w:type="paragraph" w:customStyle="1" w:styleId="LegalS1-8">
    <w:name w:val="LegalS1-8"/>
    <w:basedOn w:val="Normal"/>
    <w:rsid w:val="00E769B0"/>
    <w:pPr>
      <w:numPr>
        <w:ilvl w:val="7"/>
        <w:numId w:val="6"/>
      </w:numPr>
      <w:spacing w:after="240"/>
    </w:pPr>
    <w:rPr>
      <w:szCs w:val="22"/>
    </w:rPr>
  </w:style>
  <w:style w:type="paragraph" w:customStyle="1" w:styleId="LegalS1-9">
    <w:name w:val="LegalS1-9"/>
    <w:basedOn w:val="Normal"/>
    <w:rsid w:val="00E769B0"/>
    <w:pPr>
      <w:numPr>
        <w:ilvl w:val="8"/>
        <w:numId w:val="6"/>
      </w:numPr>
      <w:spacing w:after="240"/>
    </w:pPr>
    <w:rPr>
      <w:szCs w:val="22"/>
    </w:rPr>
  </w:style>
  <w:style w:type="paragraph" w:customStyle="1" w:styleId="DeltaViewTableBody">
    <w:name w:val="DeltaView Table Body"/>
    <w:basedOn w:val="Normal"/>
    <w:uiPriority w:val="99"/>
    <w:rsid w:val="00CA6135"/>
    <w:pPr>
      <w:autoSpaceDE w:val="0"/>
      <w:autoSpaceDN w:val="0"/>
      <w:adjustRightInd w:val="0"/>
      <w:jc w:val="left"/>
    </w:pPr>
    <w:rPr>
      <w:rFonts w:ascii="Arial" w:eastAsia="Times New Roman" w:hAnsi="Arial" w:cs="Times New Roman"/>
      <w:sz w:val="24"/>
      <w:szCs w:val="24"/>
    </w:rPr>
  </w:style>
  <w:style w:type="paragraph" w:customStyle="1" w:styleId="num">
    <w:name w:val=".num"/>
    <w:rsid w:val="00CA6135"/>
    <w:pPr>
      <w:numPr>
        <w:numId w:val="7"/>
      </w:numPr>
      <w:tabs>
        <w:tab w:val="num" w:pos="1440"/>
      </w:tabs>
      <w:spacing w:after="240" w:line="240" w:lineRule="auto"/>
      <w:ind w:firstLine="720"/>
      <w:outlineLvl w:val="0"/>
    </w:pPr>
    <w:rPr>
      <w:rFonts w:ascii="Times New Roman" w:eastAsia="Times New Roman" w:hAnsi="Times New Roman" w:cs="Arial"/>
      <w:bCs/>
      <w:sz w:val="24"/>
      <w:szCs w:val="24"/>
    </w:rPr>
  </w:style>
  <w:style w:type="paragraph" w:customStyle="1" w:styleId="addressee1">
    <w:name w:val="addressee1"/>
    <w:basedOn w:val="Normal"/>
    <w:link w:val="addressee1Char"/>
    <w:rsid w:val="00DD4B54"/>
    <w:pPr>
      <w:ind w:left="360" w:hanging="360"/>
    </w:pPr>
    <w:rPr>
      <w:szCs w:val="22"/>
    </w:rPr>
  </w:style>
  <w:style w:type="character" w:customStyle="1" w:styleId="addressee1Char">
    <w:name w:val="addressee1 Char"/>
    <w:basedOn w:val="DefaultParagraphFont"/>
    <w:link w:val="addressee1"/>
    <w:rsid w:val="00DD4B54"/>
    <w:rPr>
      <w:rFonts w:ascii="Times New Roman" w:hAnsi="Times New Roman"/>
    </w:rPr>
  </w:style>
  <w:style w:type="paragraph" w:styleId="Bibliography">
    <w:name w:val="Bibliography"/>
    <w:basedOn w:val="Normal"/>
    <w:next w:val="Normal"/>
    <w:uiPriority w:val="37"/>
    <w:unhideWhenUsed/>
    <w:rsid w:val="00DD4B54"/>
    <w:rPr>
      <w:szCs w:val="22"/>
    </w:rPr>
  </w:style>
  <w:style w:type="paragraph" w:customStyle="1" w:styleId="header2">
    <w:name w:val="header2"/>
    <w:basedOn w:val="Normal"/>
    <w:link w:val="header2Char"/>
    <w:rsid w:val="00DD4B54"/>
    <w:pPr>
      <w:keepNext/>
      <w:tabs>
        <w:tab w:val="left" w:pos="4320"/>
        <w:tab w:val="left" w:pos="4536"/>
        <w:tab w:val="right" w:pos="9360"/>
      </w:tabs>
      <w:spacing w:before="480"/>
      <w:ind w:left="4320" w:hanging="4320"/>
    </w:pPr>
    <w:rPr>
      <w:rFonts w:eastAsia="Times New Roman" w:cs="Times New Roman"/>
      <w:szCs w:val="24"/>
    </w:rPr>
  </w:style>
  <w:style w:type="character" w:customStyle="1" w:styleId="header2Char">
    <w:name w:val="header2 Char"/>
    <w:basedOn w:val="DefaultParagraphFont"/>
    <w:link w:val="header2"/>
    <w:rsid w:val="00DD4B54"/>
    <w:rPr>
      <w:rFonts w:ascii="Times New Roman" w:eastAsia="Times New Roman" w:hAnsi="Times New Roman" w:cs="Times New Roman"/>
      <w:szCs w:val="24"/>
    </w:rPr>
  </w:style>
  <w:style w:type="numbering" w:customStyle="1" w:styleId="OutlineStandard1">
    <w:name w:val="Outline Standard 1"/>
    <w:uiPriority w:val="99"/>
    <w:rsid w:val="00DD4B54"/>
    <w:pPr>
      <w:numPr>
        <w:numId w:val="8"/>
      </w:numPr>
    </w:pPr>
  </w:style>
  <w:style w:type="numbering" w:customStyle="1" w:styleId="OutlineStandard2">
    <w:name w:val="Outline Standard 2"/>
    <w:uiPriority w:val="99"/>
    <w:rsid w:val="00DD4B54"/>
    <w:pPr>
      <w:numPr>
        <w:numId w:val="9"/>
      </w:numPr>
    </w:pPr>
  </w:style>
  <w:style w:type="paragraph" w:customStyle="1" w:styleId="OutlineS1-1">
    <w:name w:val="OutlineS1-1"/>
    <w:basedOn w:val="Normal"/>
    <w:rsid w:val="00DD4B54"/>
    <w:pPr>
      <w:numPr>
        <w:numId w:val="10"/>
      </w:numPr>
      <w:spacing w:after="240"/>
    </w:pPr>
    <w:rPr>
      <w:szCs w:val="22"/>
    </w:rPr>
  </w:style>
  <w:style w:type="paragraph" w:customStyle="1" w:styleId="OutlineS1-2">
    <w:name w:val="OutlineS1-2"/>
    <w:basedOn w:val="Normal"/>
    <w:rsid w:val="00DD4B54"/>
    <w:pPr>
      <w:numPr>
        <w:ilvl w:val="1"/>
        <w:numId w:val="10"/>
      </w:numPr>
      <w:spacing w:after="240"/>
    </w:pPr>
    <w:rPr>
      <w:szCs w:val="22"/>
    </w:rPr>
  </w:style>
  <w:style w:type="paragraph" w:customStyle="1" w:styleId="OutlineS1-3">
    <w:name w:val="OutlineS1-3"/>
    <w:basedOn w:val="Normal"/>
    <w:rsid w:val="00DD4B54"/>
    <w:pPr>
      <w:numPr>
        <w:ilvl w:val="2"/>
        <w:numId w:val="10"/>
      </w:numPr>
      <w:spacing w:after="240"/>
    </w:pPr>
    <w:rPr>
      <w:szCs w:val="22"/>
    </w:rPr>
  </w:style>
  <w:style w:type="paragraph" w:customStyle="1" w:styleId="OutlineS1-4">
    <w:name w:val="OutlineS1-4"/>
    <w:basedOn w:val="Normal"/>
    <w:rsid w:val="00DD4B54"/>
    <w:pPr>
      <w:numPr>
        <w:ilvl w:val="3"/>
        <w:numId w:val="10"/>
      </w:numPr>
      <w:spacing w:after="240"/>
    </w:pPr>
    <w:rPr>
      <w:szCs w:val="22"/>
    </w:rPr>
  </w:style>
  <w:style w:type="paragraph" w:customStyle="1" w:styleId="OutlineS1-5">
    <w:name w:val="OutlineS1-5"/>
    <w:basedOn w:val="Normal"/>
    <w:rsid w:val="00DD4B54"/>
    <w:pPr>
      <w:numPr>
        <w:ilvl w:val="4"/>
        <w:numId w:val="10"/>
      </w:numPr>
      <w:spacing w:after="240"/>
    </w:pPr>
    <w:rPr>
      <w:szCs w:val="22"/>
    </w:rPr>
  </w:style>
  <w:style w:type="paragraph" w:customStyle="1" w:styleId="OutlineS1-6">
    <w:name w:val="OutlineS1-6"/>
    <w:basedOn w:val="Normal"/>
    <w:rsid w:val="00DD4B54"/>
    <w:pPr>
      <w:numPr>
        <w:ilvl w:val="5"/>
        <w:numId w:val="10"/>
      </w:numPr>
      <w:spacing w:after="240"/>
    </w:pPr>
    <w:rPr>
      <w:szCs w:val="22"/>
    </w:rPr>
  </w:style>
  <w:style w:type="paragraph" w:customStyle="1" w:styleId="OutlineS1-7">
    <w:name w:val="OutlineS1-7"/>
    <w:basedOn w:val="Normal"/>
    <w:rsid w:val="00DD4B54"/>
    <w:pPr>
      <w:numPr>
        <w:ilvl w:val="6"/>
        <w:numId w:val="10"/>
      </w:numPr>
      <w:spacing w:after="240"/>
    </w:pPr>
    <w:rPr>
      <w:szCs w:val="22"/>
    </w:rPr>
  </w:style>
  <w:style w:type="paragraph" w:customStyle="1" w:styleId="OutlineS1-8">
    <w:name w:val="OutlineS1-8"/>
    <w:basedOn w:val="Normal"/>
    <w:rsid w:val="00DD4B54"/>
    <w:pPr>
      <w:numPr>
        <w:ilvl w:val="7"/>
        <w:numId w:val="10"/>
      </w:numPr>
      <w:spacing w:after="240"/>
    </w:pPr>
    <w:rPr>
      <w:szCs w:val="22"/>
    </w:rPr>
  </w:style>
  <w:style w:type="paragraph" w:customStyle="1" w:styleId="OutlineS1-9">
    <w:name w:val="OutlineS1-9"/>
    <w:basedOn w:val="Normal"/>
    <w:rsid w:val="00DD4B54"/>
    <w:pPr>
      <w:numPr>
        <w:ilvl w:val="8"/>
        <w:numId w:val="10"/>
      </w:numPr>
      <w:spacing w:after="240"/>
    </w:pPr>
    <w:rPr>
      <w:szCs w:val="22"/>
    </w:rPr>
  </w:style>
  <w:style w:type="paragraph" w:customStyle="1" w:styleId="OutlineS2-1">
    <w:name w:val="OutlineS2-1"/>
    <w:basedOn w:val="Normal"/>
    <w:rsid w:val="00DD4B54"/>
    <w:pPr>
      <w:numPr>
        <w:numId w:val="11"/>
      </w:numPr>
      <w:spacing w:after="240"/>
      <w:jc w:val="center"/>
    </w:pPr>
    <w:rPr>
      <w:szCs w:val="22"/>
    </w:rPr>
  </w:style>
  <w:style w:type="paragraph" w:customStyle="1" w:styleId="OutlineS2-2">
    <w:name w:val="OutlineS2-2"/>
    <w:basedOn w:val="Normal"/>
    <w:rsid w:val="00DD4B54"/>
    <w:pPr>
      <w:numPr>
        <w:ilvl w:val="1"/>
        <w:numId w:val="11"/>
      </w:numPr>
      <w:spacing w:after="240"/>
    </w:pPr>
    <w:rPr>
      <w:szCs w:val="22"/>
    </w:rPr>
  </w:style>
  <w:style w:type="paragraph" w:customStyle="1" w:styleId="OutlineS2-3">
    <w:name w:val="OutlineS2-3"/>
    <w:basedOn w:val="Normal"/>
    <w:rsid w:val="00DD4B54"/>
    <w:pPr>
      <w:numPr>
        <w:ilvl w:val="2"/>
        <w:numId w:val="11"/>
      </w:numPr>
      <w:spacing w:after="240"/>
    </w:pPr>
    <w:rPr>
      <w:szCs w:val="22"/>
    </w:rPr>
  </w:style>
  <w:style w:type="paragraph" w:customStyle="1" w:styleId="OutlineS2-4">
    <w:name w:val="OutlineS2-4"/>
    <w:basedOn w:val="Normal"/>
    <w:rsid w:val="00DD4B54"/>
    <w:pPr>
      <w:numPr>
        <w:ilvl w:val="3"/>
        <w:numId w:val="11"/>
      </w:numPr>
      <w:spacing w:after="240"/>
    </w:pPr>
    <w:rPr>
      <w:szCs w:val="22"/>
    </w:rPr>
  </w:style>
  <w:style w:type="paragraph" w:customStyle="1" w:styleId="OutlineS2-5">
    <w:name w:val="OutlineS2-5"/>
    <w:basedOn w:val="Normal"/>
    <w:rsid w:val="00DD4B54"/>
    <w:pPr>
      <w:numPr>
        <w:ilvl w:val="4"/>
        <w:numId w:val="11"/>
      </w:numPr>
      <w:spacing w:after="240"/>
    </w:pPr>
    <w:rPr>
      <w:szCs w:val="22"/>
    </w:rPr>
  </w:style>
  <w:style w:type="paragraph" w:customStyle="1" w:styleId="OutlineS2-6">
    <w:name w:val="OutlineS2-6"/>
    <w:basedOn w:val="Normal"/>
    <w:rsid w:val="00DD4B54"/>
    <w:pPr>
      <w:numPr>
        <w:ilvl w:val="5"/>
        <w:numId w:val="11"/>
      </w:numPr>
      <w:spacing w:after="240"/>
    </w:pPr>
    <w:rPr>
      <w:szCs w:val="22"/>
    </w:rPr>
  </w:style>
  <w:style w:type="paragraph" w:customStyle="1" w:styleId="OutlineS2-7">
    <w:name w:val="OutlineS2-7"/>
    <w:basedOn w:val="Normal"/>
    <w:rsid w:val="00DD4B54"/>
    <w:pPr>
      <w:numPr>
        <w:ilvl w:val="6"/>
        <w:numId w:val="11"/>
      </w:numPr>
      <w:spacing w:after="240"/>
    </w:pPr>
    <w:rPr>
      <w:szCs w:val="22"/>
    </w:rPr>
  </w:style>
  <w:style w:type="paragraph" w:customStyle="1" w:styleId="OutlineS2-8">
    <w:name w:val="OutlineS2-8"/>
    <w:basedOn w:val="Normal"/>
    <w:rsid w:val="00DD4B54"/>
    <w:pPr>
      <w:numPr>
        <w:ilvl w:val="7"/>
        <w:numId w:val="11"/>
      </w:numPr>
      <w:spacing w:after="240"/>
    </w:pPr>
    <w:rPr>
      <w:szCs w:val="22"/>
    </w:rPr>
  </w:style>
  <w:style w:type="paragraph" w:customStyle="1" w:styleId="OutlineS2-9">
    <w:name w:val="OutlineS2-9"/>
    <w:basedOn w:val="Normal"/>
    <w:rsid w:val="00DD4B54"/>
    <w:pPr>
      <w:numPr>
        <w:ilvl w:val="8"/>
        <w:numId w:val="11"/>
      </w:numPr>
      <w:spacing w:after="240"/>
    </w:pPr>
    <w:rPr>
      <w:szCs w:val="22"/>
    </w:rPr>
  </w:style>
  <w:style w:type="paragraph" w:customStyle="1" w:styleId="SS">
    <w:name w:val="SS"/>
    <w:basedOn w:val="Normal"/>
    <w:rsid w:val="00DD4B54"/>
    <w:pPr>
      <w:tabs>
        <w:tab w:val="left" w:pos="3600"/>
      </w:tabs>
    </w:pPr>
    <w:rPr>
      <w:rFonts w:eastAsia="Times New Roman" w:cs="Times New Roman"/>
      <w:szCs w:val="24"/>
    </w:rPr>
  </w:style>
  <w:style w:type="paragraph" w:customStyle="1" w:styleId="Style1">
    <w:name w:val="Style1"/>
    <w:basedOn w:val="Normal"/>
    <w:rsid w:val="00DD4B54"/>
    <w:pPr>
      <w:spacing w:after="240"/>
    </w:pPr>
    <w:rPr>
      <w:szCs w:val="22"/>
    </w:rPr>
  </w:style>
  <w:style w:type="paragraph" w:customStyle="1" w:styleId="BoldCenter">
    <w:name w:val="Bold Center"/>
    <w:basedOn w:val="BodyText"/>
    <w:next w:val="BodyText"/>
    <w:rsid w:val="00DD4B54"/>
    <w:pPr>
      <w:keepNext/>
      <w:spacing w:after="0"/>
      <w:jc w:val="center"/>
    </w:pPr>
    <w:rPr>
      <w:b/>
      <w:caps/>
      <w:sz w:val="20"/>
      <w:szCs w:val="22"/>
    </w:rPr>
  </w:style>
  <w:style w:type="paragraph" w:customStyle="1" w:styleId="BT110pt">
    <w:name w:val="BT1 10 pt"/>
    <w:basedOn w:val="BodyText1"/>
    <w:link w:val="BT110ptChar"/>
    <w:qFormat/>
    <w:rsid w:val="00DD4B54"/>
    <w:rPr>
      <w:sz w:val="20"/>
      <w:szCs w:val="20"/>
    </w:rPr>
  </w:style>
  <w:style w:type="character" w:customStyle="1" w:styleId="BT110ptChar">
    <w:name w:val="BT1 10 pt Char"/>
    <w:basedOn w:val="BodyText1Char"/>
    <w:link w:val="BT110pt"/>
    <w:rsid w:val="00DD4B54"/>
    <w:rPr>
      <w:rFonts w:ascii="Times New Roman" w:eastAsia="Times New Roman" w:hAnsi="Times New Roman" w:cs="Times New Roman"/>
      <w:sz w:val="20"/>
      <w:szCs w:val="20"/>
    </w:rPr>
  </w:style>
  <w:style w:type="paragraph" w:styleId="TableofFigures">
    <w:name w:val="table of figures"/>
    <w:basedOn w:val="Normal"/>
    <w:next w:val="Normal"/>
    <w:uiPriority w:val="99"/>
    <w:unhideWhenUsed/>
    <w:rsid w:val="00DD4B54"/>
    <w:pPr>
      <w:keepNext/>
      <w:spacing w:after="240"/>
      <w:jc w:val="center"/>
    </w:pPr>
    <w:rPr>
      <w:rFonts w:ascii="Times New Roman Bold" w:hAnsi="Times New Roman Bold"/>
      <w:b/>
      <w:szCs w:val="22"/>
    </w:rPr>
  </w:style>
  <w:style w:type="character" w:customStyle="1" w:styleId="FootnoteTextChar1">
    <w:name w:val="Footnote Text Char1"/>
    <w:aliases w:val="Car Char,Style 39 Char1,Footnote Text Char3 Char1,Footnote Text Char Char Char1,Footnote Text Char1 Char Char Char1,TBG Style Char Char Char Char Char1,Footnote Text Char2 Char Char1,Footnote Text Char1 Char1 Char1,f Char1"/>
    <w:uiPriority w:val="99"/>
    <w:semiHidden/>
    <w:locked/>
    <w:rsid w:val="00DD4B54"/>
    <w:rPr>
      <w:rFonts w:ascii="Times New Roman" w:eastAsia="Times New Roman" w:hAnsi="Times New Roman" w:cs="Times New Roman"/>
      <w:sz w:val="18"/>
      <w:szCs w:val="20"/>
    </w:rPr>
  </w:style>
  <w:style w:type="paragraph" w:customStyle="1" w:styleId="FootnoteLine">
    <w:name w:val="Footnote Line"/>
    <w:basedOn w:val="Normal"/>
    <w:uiPriority w:val="99"/>
    <w:rsid w:val="00DD4B54"/>
    <w:pPr>
      <w:tabs>
        <w:tab w:val="left" w:pos="2160"/>
      </w:tabs>
      <w:suppressAutoHyphens/>
      <w:jc w:val="left"/>
    </w:pPr>
    <w:rPr>
      <w:rFonts w:eastAsia="Times New Roman" w:cs="Times New Roman"/>
      <w:color w:val="000000"/>
      <w:szCs w:val="20"/>
      <w:u w:val="single"/>
    </w:rPr>
  </w:style>
  <w:style w:type="paragraph" w:customStyle="1" w:styleId="Heading-Level11">
    <w:name w:val="Heading - Level 1.1"/>
    <w:basedOn w:val="Normal"/>
    <w:uiPriority w:val="99"/>
    <w:rsid w:val="00DD4B54"/>
    <w:pPr>
      <w:tabs>
        <w:tab w:val="num" w:pos="720"/>
      </w:tabs>
      <w:ind w:left="720" w:hanging="720"/>
      <w:jc w:val="left"/>
    </w:pPr>
    <w:rPr>
      <w:rFonts w:eastAsia="Times New Roman" w:cs="Times New Roman"/>
      <w:b/>
      <w:smallCaps/>
      <w:sz w:val="32"/>
      <w:szCs w:val="24"/>
    </w:rPr>
  </w:style>
  <w:style w:type="paragraph" w:customStyle="1" w:styleId="OSbody">
    <w:name w:val="OS body"/>
    <w:basedOn w:val="Normal"/>
    <w:link w:val="OSbodyChar1"/>
    <w:uiPriority w:val="99"/>
    <w:rsid w:val="00DD4B54"/>
    <w:pPr>
      <w:spacing w:after="240"/>
      <w:ind w:firstLine="720"/>
    </w:pPr>
    <w:rPr>
      <w:rFonts w:eastAsia="Times New Roman" w:cs="Times New Roman"/>
      <w:color w:val="000000"/>
      <w:szCs w:val="20"/>
    </w:rPr>
  </w:style>
  <w:style w:type="character" w:customStyle="1" w:styleId="OSbodyChar1">
    <w:name w:val="OS body Char1"/>
    <w:link w:val="OSbody"/>
    <w:uiPriority w:val="99"/>
    <w:locked/>
    <w:rsid w:val="00DD4B54"/>
    <w:rPr>
      <w:rFonts w:ascii="Times New Roman" w:eastAsia="Times New Roman" w:hAnsi="Times New Roman" w:cs="Times New Roman"/>
      <w:color w:val="000000"/>
      <w:szCs w:val="20"/>
    </w:rPr>
  </w:style>
  <w:style w:type="character" w:customStyle="1" w:styleId="BodyText2Char">
    <w:name w:val="Body Text2 Char"/>
    <w:aliases w:val="b2 Char Char,bt2 Char,Body Text2 Char Char Char Char1,Body Text2 Char Char Char2,b2 Char Char1,Body Text2 Char Char Char3,Body Text2 Char2,Body Text2 Char3,b2 Char Char2,b2 Char2,b2 Char3,bt2 Char1"/>
    <w:link w:val="BodyText2"/>
    <w:rsid w:val="00DD4B54"/>
    <w:rPr>
      <w:rFonts w:ascii="Times New Roman" w:eastAsia="Times New Roman" w:hAnsi="Times New Roman" w:cs="Times New Roman"/>
      <w:szCs w:val="24"/>
    </w:rPr>
  </w:style>
  <w:style w:type="paragraph" w:customStyle="1" w:styleId="OScoverpage">
    <w:name w:val="OS cover page"/>
    <w:basedOn w:val="Normal"/>
    <w:uiPriority w:val="99"/>
    <w:rsid w:val="00DD4B54"/>
    <w:pPr>
      <w:tabs>
        <w:tab w:val="left" w:pos="720"/>
        <w:tab w:val="left" w:pos="1440"/>
        <w:tab w:val="left" w:pos="2160"/>
        <w:tab w:val="left" w:pos="2880"/>
        <w:tab w:val="left" w:pos="3600"/>
        <w:tab w:val="left" w:pos="4320"/>
      </w:tabs>
      <w:spacing w:after="120"/>
      <w:ind w:firstLine="360"/>
    </w:pPr>
    <w:rPr>
      <w:rFonts w:eastAsia="Times New Roman" w:cs="Times New Roman"/>
      <w:color w:val="000000"/>
      <w:sz w:val="16"/>
      <w:szCs w:val="16"/>
    </w:rPr>
  </w:style>
  <w:style w:type="character" w:customStyle="1" w:styleId="OSbodyChar">
    <w:name w:val="OS body Char"/>
    <w:locked/>
    <w:rsid w:val="00DD4B54"/>
    <w:rPr>
      <w:sz w:val="20"/>
    </w:rPr>
  </w:style>
  <w:style w:type="numbering" w:styleId="ArticleSection">
    <w:name w:val="Outline List 3"/>
    <w:basedOn w:val="NoList"/>
    <w:uiPriority w:val="99"/>
    <w:unhideWhenUsed/>
    <w:rsid w:val="00DD4B54"/>
    <w:pPr>
      <w:numPr>
        <w:numId w:val="12"/>
      </w:numPr>
    </w:pPr>
  </w:style>
  <w:style w:type="character" w:customStyle="1" w:styleId="OStablenotesCharChar1">
    <w:name w:val="OS table notes Char Char1"/>
    <w:uiPriority w:val="99"/>
    <w:locked/>
    <w:rsid w:val="00DD4B54"/>
    <w:rPr>
      <w:sz w:val="20"/>
    </w:rPr>
  </w:style>
  <w:style w:type="table" w:customStyle="1" w:styleId="TableColorful21">
    <w:name w:val="Table Colorful 21"/>
    <w:uiPriority w:val="99"/>
    <w:rsid w:val="00DD4B54"/>
    <w:pPr>
      <w:spacing w:after="240" w:line="240" w:lineRule="auto"/>
      <w:ind w:firstLine="720"/>
      <w:jc w:val="both"/>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paragraph" w:customStyle="1" w:styleId="OSAppendixHeading">
    <w:name w:val="OS Appendix Heading"/>
    <w:basedOn w:val="Normal"/>
    <w:uiPriority w:val="99"/>
    <w:rsid w:val="00DD4B54"/>
    <w:pPr>
      <w:keepNext/>
      <w:spacing w:after="240"/>
      <w:jc w:val="center"/>
    </w:pPr>
    <w:rPr>
      <w:rFonts w:eastAsia="Times New Roman" w:cs="Times New Roman"/>
      <w:b/>
      <w:color w:val="000000"/>
      <w:szCs w:val="22"/>
    </w:rPr>
  </w:style>
  <w:style w:type="paragraph" w:customStyle="1" w:styleId="OSfooter">
    <w:name w:val="OS footer"/>
    <w:basedOn w:val="Normal"/>
    <w:uiPriority w:val="99"/>
    <w:semiHidden/>
    <w:rsid w:val="00DD4B54"/>
    <w:pPr>
      <w:tabs>
        <w:tab w:val="center" w:pos="4680"/>
      </w:tabs>
      <w:spacing w:before="240"/>
    </w:pPr>
    <w:rPr>
      <w:rFonts w:eastAsia="Times New Roman" w:cs="Times New Roman"/>
      <w:sz w:val="16"/>
      <w:szCs w:val="16"/>
    </w:rPr>
  </w:style>
  <w:style w:type="paragraph" w:customStyle="1" w:styleId="TableTitle">
    <w:name w:val="Table Title"/>
    <w:basedOn w:val="Normal"/>
    <w:uiPriority w:val="99"/>
    <w:semiHidden/>
    <w:rsid w:val="00DD4B54"/>
    <w:pPr>
      <w:jc w:val="center"/>
    </w:pPr>
    <w:rPr>
      <w:rFonts w:eastAsia="Times New Roman" w:cs="Times New Roman"/>
      <w:b/>
      <w:bCs/>
      <w:sz w:val="20"/>
      <w:szCs w:val="20"/>
    </w:rPr>
  </w:style>
  <w:style w:type="paragraph" w:customStyle="1" w:styleId="TableRight">
    <w:name w:val="Table Right"/>
    <w:basedOn w:val="Normal"/>
    <w:uiPriority w:val="99"/>
    <w:semiHidden/>
    <w:rsid w:val="00DD4B54"/>
    <w:pPr>
      <w:jc w:val="right"/>
    </w:pPr>
    <w:rPr>
      <w:rFonts w:eastAsia="Times New Roman" w:cs="Times New Roman"/>
      <w:sz w:val="20"/>
      <w:szCs w:val="20"/>
    </w:rPr>
  </w:style>
  <w:style w:type="paragraph" w:customStyle="1" w:styleId="TitleR">
    <w:name w:val="Title R"/>
    <w:basedOn w:val="Normal"/>
    <w:uiPriority w:val="99"/>
    <w:semiHidden/>
    <w:rsid w:val="00DD4B54"/>
    <w:pPr>
      <w:jc w:val="right"/>
    </w:pPr>
    <w:rPr>
      <w:rFonts w:eastAsia="Times New Roman" w:cs="Times New Roman"/>
      <w:szCs w:val="22"/>
    </w:rPr>
  </w:style>
  <w:style w:type="paragraph" w:customStyle="1" w:styleId="TableDecimal">
    <w:name w:val="Table Decimal"/>
    <w:basedOn w:val="Normal"/>
    <w:uiPriority w:val="99"/>
    <w:semiHidden/>
    <w:rsid w:val="00DD4B54"/>
    <w:pPr>
      <w:tabs>
        <w:tab w:val="decimal" w:pos="720"/>
      </w:tabs>
    </w:pPr>
    <w:rPr>
      <w:rFonts w:eastAsia="Times New Roman" w:cs="Times New Roman"/>
      <w:sz w:val="20"/>
      <w:szCs w:val="20"/>
    </w:rPr>
  </w:style>
  <w:style w:type="paragraph" w:customStyle="1" w:styleId="TableCenter">
    <w:name w:val="Table Center"/>
    <w:basedOn w:val="Normal"/>
    <w:uiPriority w:val="99"/>
    <w:semiHidden/>
    <w:rsid w:val="00DD4B54"/>
    <w:pPr>
      <w:jc w:val="center"/>
    </w:pPr>
    <w:rPr>
      <w:rFonts w:eastAsia="Times New Roman" w:cs="Times New Roman"/>
      <w:sz w:val="20"/>
      <w:szCs w:val="20"/>
    </w:rPr>
  </w:style>
  <w:style w:type="paragraph" w:customStyle="1" w:styleId="TableLeft">
    <w:name w:val="Table Left"/>
    <w:basedOn w:val="Normal"/>
    <w:uiPriority w:val="99"/>
    <w:semiHidden/>
    <w:rsid w:val="00DD4B54"/>
    <w:rPr>
      <w:rFonts w:eastAsia="Times New Roman" w:cs="Times New Roman"/>
      <w:sz w:val="20"/>
      <w:szCs w:val="20"/>
    </w:rPr>
  </w:style>
  <w:style w:type="paragraph" w:customStyle="1" w:styleId="OScover">
    <w:name w:val="OS cover"/>
    <w:basedOn w:val="Normal"/>
    <w:uiPriority w:val="99"/>
    <w:rsid w:val="00DD4B54"/>
    <w:pPr>
      <w:suppressAutoHyphens/>
      <w:spacing w:after="120"/>
      <w:ind w:firstLine="360"/>
    </w:pPr>
    <w:rPr>
      <w:rFonts w:eastAsia="Times New Roman" w:cs="Times New Roman"/>
      <w:sz w:val="18"/>
      <w:szCs w:val="18"/>
    </w:rPr>
  </w:style>
  <w:style w:type="paragraph" w:customStyle="1" w:styleId="Tablesource">
    <w:name w:val="Table source"/>
    <w:basedOn w:val="Normal"/>
    <w:uiPriority w:val="99"/>
    <w:semiHidden/>
    <w:rsid w:val="00DD4B54"/>
    <w:pPr>
      <w:ind w:left="576" w:hanging="576"/>
    </w:pPr>
    <w:rPr>
      <w:rFonts w:eastAsia="Times New Roman" w:cs="Times New Roman"/>
      <w:color w:val="000000"/>
      <w:sz w:val="16"/>
      <w:szCs w:val="16"/>
    </w:rPr>
  </w:style>
  <w:style w:type="paragraph" w:customStyle="1" w:styleId="Tablefootnote">
    <w:name w:val="Table footnote"/>
    <w:basedOn w:val="Normal"/>
    <w:uiPriority w:val="99"/>
    <w:semiHidden/>
    <w:rsid w:val="00DD4B54"/>
    <w:pPr>
      <w:keepNext/>
      <w:keepLines/>
      <w:spacing w:after="120"/>
      <w:ind w:left="144" w:hanging="144"/>
    </w:pPr>
    <w:rPr>
      <w:rFonts w:eastAsia="Times New Roman" w:cs="Times New Roman"/>
      <w:sz w:val="16"/>
      <w:szCs w:val="16"/>
    </w:rPr>
  </w:style>
  <w:style w:type="character" w:customStyle="1" w:styleId="OStablenotesChar">
    <w:name w:val="OS table notes Char"/>
    <w:rsid w:val="00DD4B54"/>
    <w:rPr>
      <w:sz w:val="16"/>
      <w:lang w:val="en-US" w:eastAsia="en-US"/>
    </w:rPr>
  </w:style>
  <w:style w:type="character" w:customStyle="1" w:styleId="OStablesourcesChar">
    <w:name w:val="OS table sources Char"/>
    <w:uiPriority w:val="99"/>
    <w:semiHidden/>
    <w:rsid w:val="00DD4B54"/>
    <w:rPr>
      <w:sz w:val="16"/>
      <w:lang w:val="en-US" w:eastAsia="en-US"/>
    </w:rPr>
  </w:style>
  <w:style w:type="paragraph" w:customStyle="1" w:styleId="OSbullets">
    <w:name w:val="OS bullets"/>
    <w:basedOn w:val="OSbody"/>
    <w:uiPriority w:val="99"/>
    <w:rsid w:val="00DD4B54"/>
    <w:pPr>
      <w:tabs>
        <w:tab w:val="left" w:pos="720"/>
        <w:tab w:val="num" w:pos="1440"/>
        <w:tab w:val="left" w:pos="2160"/>
        <w:tab w:val="left" w:pos="2880"/>
        <w:tab w:val="left" w:pos="3600"/>
        <w:tab w:val="left" w:pos="4320"/>
      </w:tabs>
      <w:spacing w:after="200"/>
      <w:ind w:left="1440" w:hanging="720"/>
    </w:pPr>
  </w:style>
  <w:style w:type="paragraph" w:customStyle="1" w:styleId="OStablecolumntitles">
    <w:name w:val="OS table column titles"/>
    <w:basedOn w:val="Normal"/>
    <w:uiPriority w:val="99"/>
    <w:rsid w:val="00DD4B54"/>
    <w:pPr>
      <w:suppressAutoHyphens/>
      <w:spacing w:after="80"/>
      <w:jc w:val="center"/>
    </w:pPr>
    <w:rPr>
      <w:rFonts w:eastAsia="Times New Roman" w:cs="Times New Roman"/>
      <w:color w:val="000000"/>
      <w:sz w:val="20"/>
      <w:szCs w:val="18"/>
    </w:rPr>
  </w:style>
  <w:style w:type="paragraph" w:customStyle="1" w:styleId="OSAppendixSubheading">
    <w:name w:val="OS Appendix Subheading"/>
    <w:basedOn w:val="Normal"/>
    <w:uiPriority w:val="99"/>
    <w:rsid w:val="00DD4B54"/>
    <w:pPr>
      <w:keepNext/>
      <w:spacing w:after="240"/>
    </w:pPr>
    <w:rPr>
      <w:rFonts w:eastAsia="Times New Roman" w:cs="Times New Roman"/>
      <w:b/>
      <w:color w:val="000000"/>
      <w:szCs w:val="22"/>
    </w:rPr>
  </w:style>
  <w:style w:type="character" w:customStyle="1" w:styleId="OSbodyChar2">
    <w:name w:val="OS body Char2"/>
    <w:uiPriority w:val="99"/>
    <w:semiHidden/>
    <w:rsid w:val="00DD4B54"/>
    <w:rPr>
      <w:color w:val="000000"/>
      <w:sz w:val="22"/>
      <w:lang w:val="en-US" w:eastAsia="en-US"/>
    </w:rPr>
  </w:style>
  <w:style w:type="table" w:customStyle="1" w:styleId="Table3Deffects11">
    <w:name w:val="Table 3D effects 11"/>
    <w:uiPriority w:val="99"/>
    <w:rsid w:val="00DD4B54"/>
    <w:pPr>
      <w:spacing w:after="240" w:line="240" w:lineRule="auto"/>
      <w:ind w:firstLine="720"/>
      <w:jc w:val="both"/>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style>
  <w:style w:type="table" w:customStyle="1" w:styleId="Table3Deffects21">
    <w:name w:val="Table 3D effects 21"/>
    <w:uiPriority w:val="99"/>
    <w:rsid w:val="00DD4B54"/>
    <w:pPr>
      <w:spacing w:after="240" w:line="240" w:lineRule="auto"/>
      <w:ind w:firstLine="720"/>
      <w:jc w:val="both"/>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style>
  <w:style w:type="table" w:customStyle="1" w:styleId="Table3Deffects31">
    <w:name w:val="Table 3D effects 31"/>
    <w:uiPriority w:val="99"/>
    <w:rsid w:val="00DD4B54"/>
    <w:pPr>
      <w:spacing w:after="240" w:line="240" w:lineRule="auto"/>
      <w:ind w:firstLine="720"/>
      <w:jc w:val="both"/>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TableClassic11">
    <w:name w:val="Table Classic 11"/>
    <w:uiPriority w:val="99"/>
    <w:rsid w:val="00DD4B54"/>
    <w:pPr>
      <w:spacing w:after="240" w:line="240" w:lineRule="auto"/>
      <w:ind w:firstLine="720"/>
      <w:jc w:val="both"/>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TableClassic21">
    <w:name w:val="Table Classic 21"/>
    <w:uiPriority w:val="99"/>
    <w:rsid w:val="00DD4B54"/>
    <w:pPr>
      <w:spacing w:after="240" w:line="240" w:lineRule="auto"/>
      <w:ind w:firstLine="720"/>
      <w:jc w:val="both"/>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TableClassic31">
    <w:name w:val="Table Classic 31"/>
    <w:uiPriority w:val="99"/>
    <w:rsid w:val="00DD4B54"/>
    <w:pPr>
      <w:spacing w:after="240" w:line="240" w:lineRule="auto"/>
      <w:ind w:firstLine="720"/>
      <w:jc w:val="both"/>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TableClassic41">
    <w:name w:val="Table Classic 41"/>
    <w:uiPriority w:val="99"/>
    <w:rsid w:val="00DD4B54"/>
    <w:pPr>
      <w:spacing w:after="240" w:line="240" w:lineRule="auto"/>
      <w:ind w:firstLine="720"/>
      <w:jc w:val="both"/>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TableColorful11">
    <w:name w:val="Table Colorful 11"/>
    <w:uiPriority w:val="99"/>
    <w:rsid w:val="00DD4B54"/>
    <w:pPr>
      <w:spacing w:after="240" w:line="240" w:lineRule="auto"/>
      <w:ind w:firstLine="720"/>
      <w:jc w:val="both"/>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TableColorful31">
    <w:name w:val="Table Colorful 31"/>
    <w:uiPriority w:val="99"/>
    <w:rsid w:val="00DD4B54"/>
    <w:pPr>
      <w:spacing w:after="240" w:line="240" w:lineRule="auto"/>
      <w:ind w:firstLine="720"/>
      <w:jc w:val="both"/>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table" w:customStyle="1" w:styleId="TableColumns11">
    <w:name w:val="Table Columns 11"/>
    <w:uiPriority w:val="99"/>
    <w:rsid w:val="00DD4B54"/>
    <w:pPr>
      <w:spacing w:after="240" w:line="240" w:lineRule="auto"/>
      <w:ind w:firstLine="720"/>
      <w:jc w:val="both"/>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TableColumns21">
    <w:name w:val="Table Columns 21"/>
    <w:uiPriority w:val="99"/>
    <w:rsid w:val="00DD4B54"/>
    <w:pPr>
      <w:spacing w:after="240" w:line="240" w:lineRule="auto"/>
      <w:ind w:firstLine="720"/>
      <w:jc w:val="both"/>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style>
  <w:style w:type="table" w:customStyle="1" w:styleId="TableColumns31">
    <w:name w:val="Table Columns 31"/>
    <w:uiPriority w:val="99"/>
    <w:rsid w:val="00DD4B54"/>
    <w:pPr>
      <w:spacing w:after="240" w:line="240" w:lineRule="auto"/>
      <w:ind w:firstLine="720"/>
      <w:jc w:val="both"/>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TableColumns41">
    <w:name w:val="Table Columns 41"/>
    <w:uiPriority w:val="99"/>
    <w:rsid w:val="00DD4B54"/>
    <w:pPr>
      <w:spacing w:after="240" w:line="240" w:lineRule="auto"/>
      <w:ind w:firstLine="720"/>
      <w:jc w:val="both"/>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style>
  <w:style w:type="table" w:customStyle="1" w:styleId="TableColumns51">
    <w:name w:val="Table Columns 51"/>
    <w:uiPriority w:val="99"/>
    <w:rsid w:val="00DD4B54"/>
    <w:pPr>
      <w:spacing w:after="240" w:line="240" w:lineRule="auto"/>
      <w:ind w:firstLine="720"/>
      <w:jc w:val="both"/>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TableContemporary1">
    <w:name w:val="Table Contemporary1"/>
    <w:uiPriority w:val="99"/>
    <w:rsid w:val="00DD4B54"/>
    <w:pPr>
      <w:spacing w:after="240" w:line="240" w:lineRule="auto"/>
      <w:ind w:firstLine="720"/>
      <w:jc w:val="both"/>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TableElegant1">
    <w:name w:val="Table Elegant1"/>
    <w:uiPriority w:val="99"/>
    <w:rsid w:val="00DD4B54"/>
    <w:pPr>
      <w:spacing w:after="240" w:line="240" w:lineRule="auto"/>
      <w:ind w:firstLine="720"/>
      <w:jc w:val="both"/>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Grid11">
    <w:name w:val="Table Grid 11"/>
    <w:uiPriority w:val="99"/>
    <w:rsid w:val="00DD4B54"/>
    <w:pPr>
      <w:spacing w:after="240" w:line="240" w:lineRule="auto"/>
      <w:ind w:firstLine="720"/>
      <w:jc w:val="both"/>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Grid21">
    <w:name w:val="Table Grid 21"/>
    <w:uiPriority w:val="99"/>
    <w:rsid w:val="00DD4B54"/>
    <w:pPr>
      <w:spacing w:after="240" w:line="240" w:lineRule="auto"/>
      <w:ind w:firstLine="720"/>
      <w:jc w:val="both"/>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TableGrid31">
    <w:name w:val="Table Grid 31"/>
    <w:uiPriority w:val="99"/>
    <w:rsid w:val="00DD4B54"/>
    <w:pPr>
      <w:spacing w:after="240" w:line="240" w:lineRule="auto"/>
      <w:ind w:firstLine="720"/>
      <w:jc w:val="both"/>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TableGrid41">
    <w:name w:val="Table Grid 41"/>
    <w:uiPriority w:val="99"/>
    <w:rsid w:val="00DD4B54"/>
    <w:pPr>
      <w:spacing w:after="240" w:line="240" w:lineRule="auto"/>
      <w:ind w:firstLine="720"/>
      <w:jc w:val="both"/>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Grid51">
    <w:name w:val="Table Grid 51"/>
    <w:uiPriority w:val="99"/>
    <w:rsid w:val="00DD4B54"/>
    <w:pPr>
      <w:spacing w:after="240" w:line="240" w:lineRule="auto"/>
      <w:ind w:firstLine="720"/>
      <w:jc w:val="both"/>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Grid61">
    <w:name w:val="Table Grid 61"/>
    <w:uiPriority w:val="99"/>
    <w:rsid w:val="00DD4B54"/>
    <w:pPr>
      <w:spacing w:after="240" w:line="240" w:lineRule="auto"/>
      <w:ind w:firstLine="720"/>
      <w:jc w:val="both"/>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TableGrid71">
    <w:name w:val="Table Grid 71"/>
    <w:uiPriority w:val="99"/>
    <w:rsid w:val="00DD4B54"/>
    <w:pPr>
      <w:spacing w:after="240" w:line="240" w:lineRule="auto"/>
      <w:ind w:firstLine="720"/>
      <w:jc w:val="both"/>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Grid81">
    <w:name w:val="Table Grid 81"/>
    <w:uiPriority w:val="99"/>
    <w:rsid w:val="00DD4B54"/>
    <w:pPr>
      <w:spacing w:after="240" w:line="240" w:lineRule="auto"/>
      <w:ind w:firstLine="720"/>
      <w:jc w:val="both"/>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TableList11">
    <w:name w:val="Table List 11"/>
    <w:uiPriority w:val="99"/>
    <w:rsid w:val="00DD4B54"/>
    <w:pPr>
      <w:spacing w:after="240" w:line="240" w:lineRule="auto"/>
      <w:ind w:firstLine="720"/>
      <w:jc w:val="both"/>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TableList21">
    <w:name w:val="Table List 21"/>
    <w:uiPriority w:val="99"/>
    <w:rsid w:val="00DD4B54"/>
    <w:pPr>
      <w:spacing w:after="240" w:line="240" w:lineRule="auto"/>
      <w:ind w:firstLine="720"/>
      <w:jc w:val="both"/>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TableList31">
    <w:name w:val="Table List 31"/>
    <w:uiPriority w:val="99"/>
    <w:rsid w:val="00DD4B54"/>
    <w:pPr>
      <w:spacing w:after="240" w:line="240" w:lineRule="auto"/>
      <w:ind w:firstLine="720"/>
      <w:jc w:val="both"/>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TableList41">
    <w:name w:val="Table List 41"/>
    <w:uiPriority w:val="99"/>
    <w:rsid w:val="00DD4B54"/>
    <w:pPr>
      <w:spacing w:after="240" w:line="240" w:lineRule="auto"/>
      <w:ind w:firstLine="720"/>
      <w:jc w:val="both"/>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TableList51">
    <w:name w:val="Table List 51"/>
    <w:uiPriority w:val="99"/>
    <w:rsid w:val="00DD4B54"/>
    <w:pPr>
      <w:spacing w:after="240" w:line="240" w:lineRule="auto"/>
      <w:ind w:firstLine="720"/>
      <w:jc w:val="both"/>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TableList61">
    <w:name w:val="Table List 61"/>
    <w:uiPriority w:val="99"/>
    <w:rsid w:val="00DD4B54"/>
    <w:pPr>
      <w:spacing w:after="240" w:line="240" w:lineRule="auto"/>
      <w:ind w:firstLine="720"/>
      <w:jc w:val="both"/>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TableList71">
    <w:name w:val="Table List 71"/>
    <w:uiPriority w:val="99"/>
    <w:rsid w:val="00DD4B54"/>
    <w:pPr>
      <w:spacing w:after="240" w:line="240" w:lineRule="auto"/>
      <w:ind w:firstLine="720"/>
      <w:jc w:val="both"/>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TableList81">
    <w:name w:val="Table List 81"/>
    <w:uiPriority w:val="99"/>
    <w:rsid w:val="00DD4B54"/>
    <w:pPr>
      <w:spacing w:after="240" w:line="240" w:lineRule="auto"/>
      <w:ind w:firstLine="720"/>
      <w:jc w:val="both"/>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TableProfessional1">
    <w:name w:val="Table Professional1"/>
    <w:uiPriority w:val="99"/>
    <w:rsid w:val="00DD4B54"/>
    <w:pPr>
      <w:spacing w:after="240" w:line="240" w:lineRule="auto"/>
      <w:ind w:firstLine="720"/>
      <w:jc w:val="both"/>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Simple11">
    <w:name w:val="Table Simple 11"/>
    <w:uiPriority w:val="99"/>
    <w:rsid w:val="00DD4B54"/>
    <w:pPr>
      <w:spacing w:after="240" w:line="240" w:lineRule="auto"/>
      <w:ind w:firstLine="720"/>
      <w:jc w:val="both"/>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imple21">
    <w:name w:val="Table Simple 21"/>
    <w:uiPriority w:val="99"/>
    <w:rsid w:val="00DD4B54"/>
    <w:pPr>
      <w:spacing w:after="240" w:line="240" w:lineRule="auto"/>
      <w:ind w:firstLine="720"/>
      <w:jc w:val="both"/>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TableSimple31">
    <w:name w:val="Table Simple 31"/>
    <w:uiPriority w:val="99"/>
    <w:rsid w:val="00DD4B54"/>
    <w:pPr>
      <w:spacing w:after="240" w:line="240" w:lineRule="auto"/>
      <w:ind w:firstLine="720"/>
      <w:jc w:val="both"/>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TableSubtle11">
    <w:name w:val="Table Subtle 11"/>
    <w:uiPriority w:val="99"/>
    <w:rsid w:val="00DD4B54"/>
    <w:pPr>
      <w:spacing w:after="240" w:line="240" w:lineRule="auto"/>
      <w:ind w:firstLine="720"/>
      <w:jc w:val="both"/>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style>
  <w:style w:type="table" w:customStyle="1" w:styleId="TableSubtle21">
    <w:name w:val="Table Subtle 21"/>
    <w:uiPriority w:val="99"/>
    <w:rsid w:val="00DD4B54"/>
    <w:pPr>
      <w:spacing w:after="240" w:line="240" w:lineRule="auto"/>
      <w:ind w:firstLine="720"/>
      <w:jc w:val="both"/>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TableWeb11">
    <w:name w:val="Table Web 11"/>
    <w:uiPriority w:val="99"/>
    <w:rsid w:val="00DD4B54"/>
    <w:pPr>
      <w:spacing w:after="240" w:line="240" w:lineRule="auto"/>
      <w:ind w:firstLine="720"/>
      <w:jc w:val="both"/>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TableWeb21">
    <w:name w:val="Table Web 21"/>
    <w:uiPriority w:val="99"/>
    <w:rsid w:val="00DD4B54"/>
    <w:pPr>
      <w:spacing w:after="240" w:line="240" w:lineRule="auto"/>
      <w:ind w:firstLine="720"/>
      <w:jc w:val="both"/>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TableWeb31">
    <w:name w:val="Table Web 31"/>
    <w:uiPriority w:val="99"/>
    <w:rsid w:val="00DD4B54"/>
    <w:pPr>
      <w:spacing w:after="240" w:line="240" w:lineRule="auto"/>
      <w:ind w:firstLine="720"/>
      <w:jc w:val="both"/>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paragraph" w:styleId="Index1">
    <w:name w:val="index 1"/>
    <w:basedOn w:val="Normal"/>
    <w:next w:val="Normal"/>
    <w:autoRedefine/>
    <w:uiPriority w:val="99"/>
    <w:semiHidden/>
    <w:rsid w:val="00DD4B54"/>
    <w:pPr>
      <w:ind w:left="240" w:hanging="240"/>
    </w:pPr>
    <w:rPr>
      <w:rFonts w:eastAsia="Times New Roman" w:cs="Times New Roman"/>
      <w:szCs w:val="22"/>
    </w:rPr>
  </w:style>
  <w:style w:type="paragraph" w:styleId="Index2">
    <w:name w:val="index 2"/>
    <w:basedOn w:val="Normal"/>
    <w:next w:val="Normal"/>
    <w:autoRedefine/>
    <w:uiPriority w:val="99"/>
    <w:semiHidden/>
    <w:rsid w:val="00DD4B54"/>
    <w:pPr>
      <w:ind w:left="480" w:hanging="240"/>
    </w:pPr>
    <w:rPr>
      <w:rFonts w:eastAsia="Times New Roman" w:cs="Times New Roman"/>
      <w:szCs w:val="22"/>
    </w:rPr>
  </w:style>
  <w:style w:type="paragraph" w:styleId="Index3">
    <w:name w:val="index 3"/>
    <w:basedOn w:val="Normal"/>
    <w:next w:val="Normal"/>
    <w:autoRedefine/>
    <w:uiPriority w:val="99"/>
    <w:semiHidden/>
    <w:rsid w:val="00DD4B54"/>
    <w:pPr>
      <w:ind w:left="720" w:hanging="240"/>
    </w:pPr>
    <w:rPr>
      <w:rFonts w:eastAsia="Times New Roman" w:cs="Times New Roman"/>
      <w:szCs w:val="22"/>
    </w:rPr>
  </w:style>
  <w:style w:type="paragraph" w:styleId="Index4">
    <w:name w:val="index 4"/>
    <w:basedOn w:val="Normal"/>
    <w:next w:val="Normal"/>
    <w:autoRedefine/>
    <w:uiPriority w:val="99"/>
    <w:semiHidden/>
    <w:rsid w:val="00DD4B54"/>
    <w:pPr>
      <w:ind w:left="960" w:hanging="240"/>
    </w:pPr>
    <w:rPr>
      <w:rFonts w:eastAsia="Times New Roman" w:cs="Times New Roman"/>
      <w:szCs w:val="22"/>
    </w:rPr>
  </w:style>
  <w:style w:type="paragraph" w:styleId="Index5">
    <w:name w:val="index 5"/>
    <w:basedOn w:val="Normal"/>
    <w:next w:val="Normal"/>
    <w:autoRedefine/>
    <w:uiPriority w:val="99"/>
    <w:semiHidden/>
    <w:rsid w:val="00DD4B54"/>
    <w:pPr>
      <w:ind w:left="1200" w:hanging="240"/>
    </w:pPr>
    <w:rPr>
      <w:rFonts w:eastAsia="Times New Roman" w:cs="Times New Roman"/>
      <w:szCs w:val="22"/>
    </w:rPr>
  </w:style>
  <w:style w:type="paragraph" w:styleId="Index6">
    <w:name w:val="index 6"/>
    <w:basedOn w:val="Normal"/>
    <w:next w:val="Normal"/>
    <w:autoRedefine/>
    <w:uiPriority w:val="99"/>
    <w:semiHidden/>
    <w:rsid w:val="00DD4B54"/>
    <w:pPr>
      <w:ind w:left="1440" w:hanging="240"/>
    </w:pPr>
    <w:rPr>
      <w:rFonts w:eastAsia="Times New Roman" w:cs="Times New Roman"/>
      <w:szCs w:val="22"/>
    </w:rPr>
  </w:style>
  <w:style w:type="paragraph" w:styleId="Index7">
    <w:name w:val="index 7"/>
    <w:basedOn w:val="Normal"/>
    <w:next w:val="Normal"/>
    <w:autoRedefine/>
    <w:uiPriority w:val="99"/>
    <w:semiHidden/>
    <w:rsid w:val="00DD4B54"/>
    <w:pPr>
      <w:ind w:left="1680" w:hanging="240"/>
    </w:pPr>
    <w:rPr>
      <w:rFonts w:eastAsia="Times New Roman" w:cs="Times New Roman"/>
      <w:szCs w:val="22"/>
    </w:rPr>
  </w:style>
  <w:style w:type="paragraph" w:styleId="Index8">
    <w:name w:val="index 8"/>
    <w:basedOn w:val="Normal"/>
    <w:next w:val="Normal"/>
    <w:autoRedefine/>
    <w:uiPriority w:val="99"/>
    <w:semiHidden/>
    <w:rsid w:val="00DD4B54"/>
    <w:pPr>
      <w:ind w:left="1920" w:hanging="240"/>
    </w:pPr>
    <w:rPr>
      <w:rFonts w:eastAsia="Times New Roman" w:cs="Times New Roman"/>
      <w:szCs w:val="22"/>
    </w:rPr>
  </w:style>
  <w:style w:type="paragraph" w:styleId="Index9">
    <w:name w:val="index 9"/>
    <w:basedOn w:val="Normal"/>
    <w:next w:val="Normal"/>
    <w:autoRedefine/>
    <w:uiPriority w:val="99"/>
    <w:semiHidden/>
    <w:rsid w:val="00DD4B54"/>
    <w:pPr>
      <w:ind w:left="2160" w:hanging="240"/>
    </w:pPr>
    <w:rPr>
      <w:rFonts w:eastAsia="Times New Roman" w:cs="Times New Roman"/>
      <w:szCs w:val="22"/>
    </w:rPr>
  </w:style>
  <w:style w:type="paragraph" w:styleId="TOC3">
    <w:name w:val="toc 3"/>
    <w:basedOn w:val="Normal"/>
    <w:next w:val="Normal"/>
    <w:autoRedefine/>
    <w:uiPriority w:val="39"/>
    <w:rsid w:val="00DD4B54"/>
    <w:pPr>
      <w:ind w:left="480"/>
    </w:pPr>
    <w:rPr>
      <w:rFonts w:eastAsia="Times New Roman" w:cs="Times New Roman"/>
      <w:szCs w:val="22"/>
    </w:rPr>
  </w:style>
  <w:style w:type="paragraph" w:styleId="TOC4">
    <w:name w:val="toc 4"/>
    <w:basedOn w:val="Normal"/>
    <w:next w:val="Normal"/>
    <w:autoRedefine/>
    <w:uiPriority w:val="39"/>
    <w:rsid w:val="00DD4B54"/>
    <w:pPr>
      <w:ind w:left="720"/>
    </w:pPr>
    <w:rPr>
      <w:rFonts w:eastAsia="Times New Roman" w:cs="Times New Roman"/>
      <w:szCs w:val="22"/>
    </w:rPr>
  </w:style>
  <w:style w:type="paragraph" w:styleId="TOC5">
    <w:name w:val="toc 5"/>
    <w:basedOn w:val="Normal"/>
    <w:next w:val="Normal"/>
    <w:autoRedefine/>
    <w:uiPriority w:val="39"/>
    <w:rsid w:val="00DD4B54"/>
    <w:pPr>
      <w:ind w:left="960"/>
    </w:pPr>
    <w:rPr>
      <w:rFonts w:eastAsia="Times New Roman" w:cs="Times New Roman"/>
      <w:szCs w:val="22"/>
    </w:rPr>
  </w:style>
  <w:style w:type="paragraph" w:styleId="TOC6">
    <w:name w:val="toc 6"/>
    <w:basedOn w:val="Normal"/>
    <w:next w:val="Normal"/>
    <w:autoRedefine/>
    <w:uiPriority w:val="39"/>
    <w:rsid w:val="00DD4B54"/>
    <w:pPr>
      <w:ind w:left="1200"/>
    </w:pPr>
    <w:rPr>
      <w:rFonts w:eastAsia="Times New Roman" w:cs="Times New Roman"/>
      <w:szCs w:val="22"/>
    </w:rPr>
  </w:style>
  <w:style w:type="paragraph" w:styleId="TOC7">
    <w:name w:val="toc 7"/>
    <w:basedOn w:val="Normal"/>
    <w:next w:val="Normal"/>
    <w:autoRedefine/>
    <w:uiPriority w:val="39"/>
    <w:rsid w:val="00DD4B54"/>
    <w:pPr>
      <w:ind w:left="1440"/>
    </w:pPr>
    <w:rPr>
      <w:rFonts w:eastAsia="Times New Roman" w:cs="Times New Roman"/>
      <w:szCs w:val="22"/>
    </w:rPr>
  </w:style>
  <w:style w:type="paragraph" w:styleId="TOC8">
    <w:name w:val="toc 8"/>
    <w:basedOn w:val="Normal"/>
    <w:next w:val="Normal"/>
    <w:autoRedefine/>
    <w:uiPriority w:val="39"/>
    <w:rsid w:val="00DD4B54"/>
    <w:pPr>
      <w:ind w:left="1680"/>
    </w:pPr>
    <w:rPr>
      <w:rFonts w:eastAsia="Times New Roman" w:cs="Times New Roman"/>
      <w:szCs w:val="22"/>
    </w:rPr>
  </w:style>
  <w:style w:type="paragraph" w:styleId="TOC9">
    <w:name w:val="toc 9"/>
    <w:basedOn w:val="Normal"/>
    <w:next w:val="Normal"/>
    <w:autoRedefine/>
    <w:uiPriority w:val="39"/>
    <w:rsid w:val="00DD4B54"/>
    <w:pPr>
      <w:ind w:left="1920"/>
    </w:pPr>
    <w:rPr>
      <w:rFonts w:eastAsia="Times New Roman" w:cs="Times New Roman"/>
      <w:szCs w:val="22"/>
    </w:rPr>
  </w:style>
  <w:style w:type="paragraph" w:styleId="CommentText">
    <w:name w:val="annotation text"/>
    <w:basedOn w:val="Normal"/>
    <w:link w:val="CommentTextChar"/>
    <w:uiPriority w:val="99"/>
    <w:semiHidden/>
    <w:rsid w:val="00DD4B54"/>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DD4B54"/>
    <w:rPr>
      <w:rFonts w:ascii="Times New Roman" w:eastAsia="Times New Roman" w:hAnsi="Times New Roman" w:cs="Times New Roman"/>
      <w:sz w:val="20"/>
      <w:szCs w:val="20"/>
    </w:rPr>
  </w:style>
  <w:style w:type="paragraph" w:styleId="IndexHeading">
    <w:name w:val="index heading"/>
    <w:basedOn w:val="Normal"/>
    <w:next w:val="Index1"/>
    <w:uiPriority w:val="99"/>
    <w:semiHidden/>
    <w:rsid w:val="00DD4B54"/>
    <w:rPr>
      <w:rFonts w:ascii="Arial" w:eastAsia="Times New Roman" w:hAnsi="Arial" w:cs="Arial"/>
      <w:b/>
      <w:bCs/>
      <w:szCs w:val="22"/>
    </w:rPr>
  </w:style>
  <w:style w:type="character" w:styleId="EndnoteReference">
    <w:name w:val="endnote reference"/>
    <w:uiPriority w:val="99"/>
    <w:semiHidden/>
    <w:rsid w:val="00DD4B54"/>
    <w:rPr>
      <w:vertAlign w:val="superscript"/>
    </w:rPr>
  </w:style>
  <w:style w:type="paragraph" w:styleId="EndnoteText">
    <w:name w:val="endnote text"/>
    <w:basedOn w:val="Normal"/>
    <w:link w:val="EndnoteTextChar"/>
    <w:uiPriority w:val="99"/>
    <w:semiHidden/>
    <w:rsid w:val="00DD4B54"/>
    <w:rPr>
      <w:rFonts w:eastAsia="Times New Roman" w:cs="Times New Roman"/>
      <w:sz w:val="20"/>
      <w:szCs w:val="20"/>
    </w:rPr>
  </w:style>
  <w:style w:type="character" w:customStyle="1" w:styleId="EndnoteTextChar">
    <w:name w:val="Endnote Text Char"/>
    <w:basedOn w:val="DefaultParagraphFont"/>
    <w:link w:val="EndnoteText"/>
    <w:uiPriority w:val="99"/>
    <w:semiHidden/>
    <w:rsid w:val="00DD4B54"/>
    <w:rPr>
      <w:rFonts w:ascii="Times New Roman" w:eastAsia="Times New Roman" w:hAnsi="Times New Roman" w:cs="Times New Roman"/>
      <w:sz w:val="20"/>
      <w:szCs w:val="20"/>
    </w:rPr>
  </w:style>
  <w:style w:type="paragraph" w:styleId="TableofAuthorities">
    <w:name w:val="table of authorities"/>
    <w:basedOn w:val="Normal"/>
    <w:next w:val="Normal"/>
    <w:uiPriority w:val="99"/>
    <w:semiHidden/>
    <w:rsid w:val="00DD4B54"/>
    <w:pPr>
      <w:ind w:left="240" w:hanging="240"/>
    </w:pPr>
    <w:rPr>
      <w:rFonts w:eastAsia="Times New Roman" w:cs="Times New Roman"/>
      <w:szCs w:val="22"/>
    </w:rPr>
  </w:style>
  <w:style w:type="paragraph" w:styleId="MacroText">
    <w:name w:val="macro"/>
    <w:link w:val="MacroTextChar"/>
    <w:uiPriority w:val="99"/>
    <w:semiHidden/>
    <w:rsid w:val="00DD4B54"/>
    <w:pPr>
      <w:tabs>
        <w:tab w:val="left" w:pos="480"/>
        <w:tab w:val="left" w:pos="960"/>
        <w:tab w:val="left" w:pos="1440"/>
        <w:tab w:val="left" w:pos="1920"/>
        <w:tab w:val="left" w:pos="2400"/>
        <w:tab w:val="left" w:pos="2880"/>
        <w:tab w:val="left" w:pos="3360"/>
        <w:tab w:val="left" w:pos="3840"/>
        <w:tab w:val="left" w:pos="4320"/>
      </w:tabs>
      <w:spacing w:after="240" w:line="240" w:lineRule="auto"/>
      <w:ind w:firstLine="720"/>
      <w:jc w:val="both"/>
    </w:pPr>
    <w:rPr>
      <w:rFonts w:ascii="Courier New" w:eastAsia="Times New Roman" w:hAnsi="Courier New" w:cs="Courier New"/>
      <w:sz w:val="20"/>
      <w:szCs w:val="20"/>
    </w:rPr>
  </w:style>
  <w:style w:type="character" w:customStyle="1" w:styleId="MacroTextChar">
    <w:name w:val="Macro Text Char"/>
    <w:basedOn w:val="DefaultParagraphFont"/>
    <w:link w:val="MacroText"/>
    <w:uiPriority w:val="99"/>
    <w:semiHidden/>
    <w:rsid w:val="00DD4B54"/>
    <w:rPr>
      <w:rFonts w:ascii="Courier New" w:eastAsia="Times New Roman" w:hAnsi="Courier New" w:cs="Courier New"/>
      <w:sz w:val="20"/>
      <w:szCs w:val="20"/>
    </w:rPr>
  </w:style>
  <w:style w:type="paragraph" w:styleId="TOAHeading">
    <w:name w:val="toa heading"/>
    <w:basedOn w:val="Normal"/>
    <w:next w:val="Normal"/>
    <w:uiPriority w:val="99"/>
    <w:semiHidden/>
    <w:rsid w:val="00DD4B54"/>
    <w:pPr>
      <w:spacing w:before="120"/>
    </w:pPr>
    <w:rPr>
      <w:rFonts w:ascii="Arial" w:eastAsia="Times New Roman" w:hAnsi="Arial" w:cs="Arial"/>
      <w:b/>
      <w:bCs/>
      <w:szCs w:val="22"/>
    </w:rPr>
  </w:style>
  <w:style w:type="paragraph" w:styleId="DocumentMap">
    <w:name w:val="Document Map"/>
    <w:basedOn w:val="Normal"/>
    <w:link w:val="DocumentMapChar"/>
    <w:uiPriority w:val="99"/>
    <w:semiHidden/>
    <w:rsid w:val="00DD4B54"/>
    <w:pPr>
      <w:shd w:val="clear" w:color="auto" w:fill="000080"/>
    </w:pPr>
    <w:rPr>
      <w:rFonts w:eastAsia="Times New Roman" w:cs="Times New Roman"/>
      <w:sz w:val="2"/>
      <w:szCs w:val="20"/>
    </w:rPr>
  </w:style>
  <w:style w:type="character" w:customStyle="1" w:styleId="DocumentMapChar">
    <w:name w:val="Document Map Char"/>
    <w:basedOn w:val="DefaultParagraphFont"/>
    <w:link w:val="DocumentMap"/>
    <w:uiPriority w:val="99"/>
    <w:semiHidden/>
    <w:rsid w:val="00DD4B54"/>
    <w:rPr>
      <w:rFonts w:ascii="Times New Roman" w:eastAsia="Times New Roman" w:hAnsi="Times New Roman" w:cs="Times New Roman"/>
      <w:sz w:val="2"/>
      <w:szCs w:val="20"/>
      <w:shd w:val="clear" w:color="auto" w:fill="000080"/>
    </w:rPr>
  </w:style>
  <w:style w:type="paragraph" w:styleId="CommentSubject">
    <w:name w:val="annotation subject"/>
    <w:basedOn w:val="CommentText"/>
    <w:next w:val="CommentText"/>
    <w:link w:val="CommentSubjectChar"/>
    <w:uiPriority w:val="99"/>
    <w:semiHidden/>
    <w:rsid w:val="00DD4B54"/>
    <w:rPr>
      <w:b/>
      <w:bCs/>
    </w:rPr>
  </w:style>
  <w:style w:type="character" w:customStyle="1" w:styleId="CommentSubjectChar">
    <w:name w:val="Comment Subject Char"/>
    <w:basedOn w:val="CommentTextChar"/>
    <w:link w:val="CommentSubject"/>
    <w:uiPriority w:val="99"/>
    <w:semiHidden/>
    <w:rsid w:val="00DD4B54"/>
    <w:rPr>
      <w:rFonts w:ascii="Times New Roman" w:eastAsia="Times New Roman" w:hAnsi="Times New Roman" w:cs="Times New Roman"/>
      <w:b/>
      <w:bCs/>
      <w:sz w:val="20"/>
      <w:szCs w:val="20"/>
    </w:rPr>
  </w:style>
  <w:style w:type="table" w:styleId="TableSimple1">
    <w:name w:val="Table Simple 1"/>
    <w:basedOn w:val="TableNormal"/>
    <w:uiPriority w:val="99"/>
    <w:rsid w:val="00DD4B54"/>
    <w:pPr>
      <w:spacing w:after="0" w:line="240" w:lineRule="auto"/>
    </w:pPr>
    <w:rPr>
      <w:rFonts w:ascii="Times New Roman" w:eastAsia="Times New Roman" w:hAnsi="Times New Roman" w:cs="Times New Roman"/>
      <w:b/>
      <w:bCs/>
      <w:caps/>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DD4B54"/>
    <w:pPr>
      <w:spacing w:after="0" w:line="240" w:lineRule="auto"/>
    </w:pPr>
    <w:rPr>
      <w:rFonts w:ascii="Times New Roman" w:eastAsia="Times New Roman" w:hAnsi="Times New Roman" w:cs="Times New Roman"/>
      <w:b/>
      <w:bCs/>
      <w:caps/>
      <w:sz w:val="20"/>
      <w:szCs w:val="20"/>
    </w:rP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6" w:space="0" w:color="000000"/>
          <w:tl2br w:val="none" w:sz="0" w:space="0" w:color="auto"/>
          <w:tr2bl w:val="none" w:sz="0" w:space="0" w:color="auto"/>
        </w:tcBorders>
      </w:tcPr>
    </w:tblStylePr>
    <w:tblStylePr w:type="neCell">
      <w:rPr>
        <w:rFonts w:cs="Times New Roman"/>
      </w:rPr>
      <w:tblPr/>
      <w:tcPr>
        <w:tcBorders>
          <w:left w:val="none" w:sz="0" w:space="0" w:color="auto"/>
          <w:tl2br w:val="none" w:sz="0" w:space="0" w:color="auto"/>
          <w:tr2bl w:val="none" w:sz="0" w:space="0" w:color="auto"/>
        </w:tcBorders>
      </w:tcPr>
    </w:tblStylePr>
    <w:tblStylePr w:type="swCell">
      <w:rPr>
        <w:rFonts w:cs="Times New Roman"/>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DD4B54"/>
    <w:pPr>
      <w:spacing w:after="0" w:line="240" w:lineRule="auto"/>
    </w:pPr>
    <w:rPr>
      <w:rFonts w:ascii="Times New Roman" w:eastAsia="Times New Roman" w:hAnsi="Times New Roman" w:cs="Times New Roman"/>
      <w:b/>
      <w:bCs/>
      <w:caps/>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rsid w:val="00DD4B54"/>
    <w:pPr>
      <w:spacing w:after="0" w:line="240" w:lineRule="auto"/>
    </w:pPr>
    <w:rPr>
      <w:rFonts w:ascii="Times New Roman" w:eastAsia="Times New Roman" w:hAnsi="Times New Roman" w:cs="Times New Roman"/>
      <w:b/>
      <w:bCs/>
      <w:caps/>
      <w:sz w:val="20"/>
      <w:szCs w:val="20"/>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2">
    <w:name w:val="Table Classic 2"/>
    <w:basedOn w:val="TableNormal"/>
    <w:uiPriority w:val="99"/>
    <w:rsid w:val="00DD4B54"/>
    <w:pPr>
      <w:spacing w:after="0" w:line="240" w:lineRule="auto"/>
    </w:pPr>
    <w:rPr>
      <w:rFonts w:ascii="Times New Roman" w:eastAsia="Times New Roman" w:hAnsi="Times New Roman" w:cs="Times New Roman"/>
      <w:b/>
      <w:bCs/>
      <w:caps/>
      <w:sz w:val="20"/>
      <w:szCs w:val="20"/>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shd w:val="solid" w:color="C0C0C0" w:fill="FFFFFF"/>
      </w:tcPr>
    </w:tblStylePr>
    <w:tblStylePr w:type="neCel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rPr>
      <w:tblPr/>
      <w:tcPr>
        <w:tcBorders>
          <w:tl2br w:val="none" w:sz="0" w:space="0" w:color="auto"/>
          <w:tr2bl w:val="none" w:sz="0" w:space="0" w:color="auto"/>
        </w:tcBorders>
      </w:tcPr>
    </w:tblStylePr>
  </w:style>
  <w:style w:type="table" w:styleId="TableClassic3">
    <w:name w:val="Table Classic 3"/>
    <w:basedOn w:val="TableNormal"/>
    <w:uiPriority w:val="99"/>
    <w:rsid w:val="00DD4B54"/>
    <w:pPr>
      <w:spacing w:after="0" w:line="240" w:lineRule="auto"/>
    </w:pPr>
    <w:rPr>
      <w:rFonts w:ascii="Times New Roman" w:eastAsia="Times New Roman" w:hAnsi="Times New Roman" w:cs="Times New Roman"/>
      <w:b/>
      <w:bCs/>
      <w:caps/>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TableClassic4">
    <w:name w:val="Table Classic 4"/>
    <w:basedOn w:val="TableNormal"/>
    <w:uiPriority w:val="99"/>
    <w:rsid w:val="00DD4B54"/>
    <w:pPr>
      <w:spacing w:after="0" w:line="240" w:lineRule="auto"/>
    </w:pPr>
    <w:rPr>
      <w:rFonts w:ascii="Times New Roman" w:eastAsia="Times New Roman" w:hAnsi="Times New Roman" w:cs="Times New Roman"/>
      <w:b/>
      <w:bCs/>
      <w:caps/>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orful1">
    <w:name w:val="Table Colorful 1"/>
    <w:basedOn w:val="TableNormal"/>
    <w:uiPriority w:val="99"/>
    <w:rsid w:val="00DD4B54"/>
    <w:pPr>
      <w:spacing w:after="0" w:line="240" w:lineRule="auto"/>
    </w:pPr>
    <w:rPr>
      <w:rFonts w:ascii="Times New Roman" w:eastAsia="Times New Roman" w:hAnsi="Times New Roman" w:cs="Times New Roman"/>
      <w:b/>
      <w:bCs/>
      <w:caps/>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rPr>
      <w:tblPr/>
      <w:tcPr>
        <w:tcBorders>
          <w:tl2br w:val="none" w:sz="0" w:space="0" w:color="auto"/>
          <w:tr2bl w:val="none" w:sz="0" w:space="0" w:color="auto"/>
        </w:tcBorders>
        <w:shd w:val="solid" w:color="000000" w:fill="FFFFFF"/>
      </w:tcPr>
    </w:tblStylePr>
    <w:tblStylePr w:type="firstCol">
      <w:rPr>
        <w:rFonts w:cs="Times New Roman"/>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rPr>
      <w:tblPr/>
      <w:tcPr>
        <w:tcBorders>
          <w:tl2br w:val="none" w:sz="0" w:space="0" w:color="auto"/>
          <w:tr2bl w:val="none" w:sz="0" w:space="0" w:color="auto"/>
        </w:tcBorders>
      </w:tcPr>
    </w:tblStylePr>
  </w:style>
  <w:style w:type="table" w:styleId="TableColorful2">
    <w:name w:val="Table Colorful 2"/>
    <w:basedOn w:val="TableNormal"/>
    <w:uiPriority w:val="99"/>
    <w:rsid w:val="00DD4B54"/>
    <w:pPr>
      <w:spacing w:after="0" w:line="240" w:lineRule="auto"/>
    </w:pPr>
    <w:rPr>
      <w:rFonts w:ascii="Times New Roman" w:eastAsia="Times New Roman" w:hAnsi="Times New Roman" w:cs="Times New Roman"/>
      <w:b/>
      <w:bCs/>
      <w:caps/>
      <w:sz w:val="20"/>
      <w:szCs w:val="20"/>
    </w:rPr>
    <w:tblPr>
      <w:tblBorders>
        <w:bottom w:val="single" w:sz="12" w:space="0" w:color="000000"/>
      </w:tblBorders>
    </w:tblPr>
    <w:tcPr>
      <w:shd w:val="pct20" w:color="FFFF00" w:fill="FFFFFF"/>
    </w:tcPr>
    <w:tblStylePr w:type="firstRow">
      <w:rPr>
        <w:rFonts w:cs="Times New Roman"/>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rPr>
      <w:tblPr/>
      <w:tcPr>
        <w:tcBorders>
          <w:tl2br w:val="none" w:sz="0" w:space="0" w:color="auto"/>
          <w:tr2bl w:val="none" w:sz="0" w:space="0" w:color="auto"/>
        </w:tcBorders>
      </w:tcPr>
    </w:tblStylePr>
  </w:style>
  <w:style w:type="table" w:styleId="TableColorful3">
    <w:name w:val="Table Colorful 3"/>
    <w:basedOn w:val="TableNormal"/>
    <w:uiPriority w:val="99"/>
    <w:rsid w:val="00DD4B54"/>
    <w:pPr>
      <w:spacing w:after="0" w:line="240" w:lineRule="auto"/>
    </w:pPr>
    <w:rPr>
      <w:rFonts w:ascii="Times New Roman" w:eastAsia="Times New Roman" w:hAnsi="Times New Roman" w:cs="Times New Roman"/>
      <w:b/>
      <w:bCs/>
      <w:caps/>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DD4B54"/>
    <w:pPr>
      <w:spacing w:after="0" w:line="240" w:lineRule="auto"/>
    </w:pPr>
    <w:rPr>
      <w:rFonts w:ascii="Times New Roman" w:eastAsia="Times New Roman" w:hAnsi="Times New Roman" w:cs="Times New Roman"/>
      <w:cap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bottom w:val="double" w:sz="6"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25" w:color="000000" w:fill="FFFFFF"/>
      </w:tcPr>
    </w:tblStylePr>
    <w:tblStylePr w:type="band2Vert">
      <w:rPr>
        <w:rFonts w:cs="Times New Roman"/>
      </w:rPr>
      <w:tblPr/>
      <w:tcPr>
        <w:shd w:val="pct25" w:color="FF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2">
    <w:name w:val="Table Columns 2"/>
    <w:basedOn w:val="TableNormal"/>
    <w:uiPriority w:val="99"/>
    <w:rsid w:val="00DD4B54"/>
    <w:pPr>
      <w:spacing w:after="0" w:line="240" w:lineRule="auto"/>
    </w:pPr>
    <w:rPr>
      <w:rFonts w:ascii="Times New Roman" w:eastAsia="Times New Roman" w:hAnsi="Times New Roman" w:cs="Times New Roman"/>
      <w:caps/>
      <w:sz w:val="20"/>
      <w:szCs w:val="20"/>
    </w:rPr>
    <w:tblPr>
      <w:tblStyleColBandSize w:val="1"/>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30" w:color="000000" w:fill="FFFFFF"/>
      </w:tcPr>
    </w:tblStylePr>
    <w:tblStylePr w:type="band2Vert">
      <w:rPr>
        <w:rFonts w:cs="Times New Roman"/>
      </w:rPr>
      <w:tblPr/>
      <w:tcPr>
        <w:shd w:val="pct25" w:color="00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3">
    <w:name w:val="Table Columns 3"/>
    <w:basedOn w:val="TableNormal"/>
    <w:uiPriority w:val="99"/>
    <w:rsid w:val="00DD4B54"/>
    <w:pPr>
      <w:spacing w:after="0" w:line="240" w:lineRule="auto"/>
    </w:pPr>
    <w:rPr>
      <w:rFonts w:ascii="Times New Roman" w:eastAsia="Times New Roman" w:hAnsi="Times New Roman" w:cs="Times New Roman"/>
      <w:cap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table" w:styleId="TableColumns4">
    <w:name w:val="Table Columns 4"/>
    <w:basedOn w:val="TableNormal"/>
    <w:uiPriority w:val="99"/>
    <w:rsid w:val="00DD4B54"/>
    <w:pPr>
      <w:spacing w:after="0" w:line="240" w:lineRule="auto"/>
    </w:pPr>
    <w:rPr>
      <w:rFonts w:ascii="Times New Roman" w:eastAsia="Times New Roman" w:hAnsi="Times New Roman" w:cs="Times New Roman"/>
      <w:b/>
      <w:bCs/>
      <w:caps/>
      <w:sz w:val="20"/>
      <w:szCs w:val="20"/>
    </w:rPr>
    <w:tblPr>
      <w:tblStyleColBandSize w:val="1"/>
    </w:tblPr>
    <w:tblStylePr w:type="firstRow">
      <w:rPr>
        <w:rFonts w:cs="Times New Roman"/>
      </w:rPr>
      <w:tblPr/>
      <w:tcPr>
        <w:tcBorders>
          <w:tl2br w:val="none" w:sz="0" w:space="0" w:color="auto"/>
          <w:tr2bl w:val="none" w:sz="0" w:space="0" w:color="auto"/>
        </w:tcBorders>
        <w:shd w:val="solid" w:color="0000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50" w:color="008080" w:fill="FFFFFF"/>
      </w:tcPr>
    </w:tblStylePr>
    <w:tblStylePr w:type="band2Vert">
      <w:rPr>
        <w:rFonts w:cs="Times New Roman"/>
      </w:rPr>
      <w:tblPr/>
      <w:tcPr>
        <w:shd w:val="pct10" w:color="000000" w:fill="FFFFFF"/>
      </w:tcPr>
    </w:tblStylePr>
  </w:style>
  <w:style w:type="table" w:styleId="TableColumns5">
    <w:name w:val="Table Columns 5"/>
    <w:basedOn w:val="TableNormal"/>
    <w:uiPriority w:val="99"/>
    <w:rsid w:val="00DD4B54"/>
    <w:pPr>
      <w:spacing w:after="0" w:line="240" w:lineRule="auto"/>
    </w:pPr>
    <w:rPr>
      <w:rFonts w:ascii="Times New Roman" w:eastAsia="Times New Roman" w:hAnsi="Times New Roman" w:cs="Times New Roman"/>
      <w:b/>
      <w:bCs/>
      <w:caps/>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808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style>
  <w:style w:type="table" w:styleId="TableGrid1">
    <w:name w:val="Table Grid 1"/>
    <w:basedOn w:val="TableNormal"/>
    <w:uiPriority w:val="99"/>
    <w:rsid w:val="00DD4B54"/>
    <w:pPr>
      <w:spacing w:after="0" w:line="240" w:lineRule="auto"/>
    </w:pPr>
    <w:rPr>
      <w:rFonts w:ascii="Times New Roman" w:eastAsia="Times New Roman" w:hAnsi="Times New Roman" w:cs="Times New Roman"/>
      <w:b/>
      <w:bCs/>
      <w:caps/>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2">
    <w:name w:val="Table Grid 2"/>
    <w:basedOn w:val="TableNormal"/>
    <w:uiPriority w:val="99"/>
    <w:rsid w:val="00DD4B54"/>
    <w:pPr>
      <w:spacing w:after="0" w:line="240" w:lineRule="auto"/>
    </w:pPr>
    <w:rPr>
      <w:rFonts w:ascii="Times New Roman" w:eastAsia="Times New Roman" w:hAnsi="Times New Roman" w:cs="Times New Roman"/>
      <w:b/>
      <w:bCs/>
      <w:caps/>
      <w:sz w:val="20"/>
      <w:szCs w:val="20"/>
    </w:rPr>
    <w:tblPr>
      <w:tblBorders>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3">
    <w:name w:val="Table Grid 3"/>
    <w:basedOn w:val="TableNormal"/>
    <w:uiPriority w:val="99"/>
    <w:rsid w:val="00DD4B54"/>
    <w:pPr>
      <w:spacing w:after="0" w:line="240" w:lineRule="auto"/>
    </w:pPr>
    <w:rPr>
      <w:rFonts w:ascii="Times New Roman" w:eastAsia="Times New Roman" w:hAnsi="Times New Roman" w:cs="Times New Roman"/>
      <w:b/>
      <w:bCs/>
      <w:caps/>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4">
    <w:name w:val="Table Grid 4"/>
    <w:basedOn w:val="TableNormal"/>
    <w:uiPriority w:val="99"/>
    <w:rsid w:val="00DD4B54"/>
    <w:pPr>
      <w:spacing w:after="0" w:line="240" w:lineRule="auto"/>
    </w:pPr>
    <w:rPr>
      <w:rFonts w:ascii="Times New Roman" w:eastAsia="Times New Roman" w:hAnsi="Times New Roman" w:cs="Times New Roman"/>
      <w:b/>
      <w:bCs/>
      <w:caps/>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styleId="TableGrid5">
    <w:name w:val="Table Grid 5"/>
    <w:basedOn w:val="TableNormal"/>
    <w:uiPriority w:val="99"/>
    <w:rsid w:val="00DD4B54"/>
    <w:pPr>
      <w:spacing w:after="0" w:line="240" w:lineRule="auto"/>
    </w:pPr>
    <w:rPr>
      <w:rFonts w:ascii="Times New Roman" w:eastAsia="Times New Roman" w:hAnsi="Times New Roman" w:cs="Times New Roman"/>
      <w:b/>
      <w:bCs/>
      <w:cap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DD4B54"/>
    <w:pPr>
      <w:spacing w:after="0" w:line="240" w:lineRule="auto"/>
    </w:pPr>
    <w:rPr>
      <w:rFonts w:ascii="Times New Roman" w:eastAsia="Times New Roman" w:hAnsi="Times New Roman" w:cs="Times New Roman"/>
      <w:b/>
      <w:bCs/>
      <w:caps/>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DD4B54"/>
    <w:pPr>
      <w:spacing w:after="0" w:line="240" w:lineRule="auto"/>
    </w:pPr>
    <w:rPr>
      <w:rFonts w:ascii="Times New Roman" w:eastAsia="Times New Roman" w:hAnsi="Times New Roman" w:cs="Times New Roman"/>
      <w:cap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DD4B54"/>
    <w:pPr>
      <w:spacing w:after="0" w:line="240" w:lineRule="auto"/>
    </w:pPr>
    <w:rPr>
      <w:rFonts w:ascii="Times New Roman" w:eastAsia="Times New Roman" w:hAnsi="Times New Roman" w:cs="Times New Roman"/>
      <w:b/>
      <w:bCs/>
      <w:caps/>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List1">
    <w:name w:val="Table List 1"/>
    <w:basedOn w:val="TableNormal"/>
    <w:uiPriority w:val="99"/>
    <w:rsid w:val="00DD4B54"/>
    <w:pPr>
      <w:spacing w:after="0" w:line="240" w:lineRule="auto"/>
    </w:pPr>
    <w:rPr>
      <w:rFonts w:ascii="Times New Roman" w:eastAsia="Times New Roman" w:hAnsi="Times New Roman" w:cs="Times New Roman"/>
      <w:b/>
      <w:bCs/>
      <w:caps/>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solid" w:color="C0C0C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2">
    <w:name w:val="Table List 2"/>
    <w:basedOn w:val="TableNormal"/>
    <w:uiPriority w:val="99"/>
    <w:rsid w:val="00DD4B54"/>
    <w:pPr>
      <w:spacing w:after="0" w:line="240" w:lineRule="auto"/>
    </w:pPr>
    <w:rPr>
      <w:rFonts w:ascii="Times New Roman" w:eastAsia="Times New Roman" w:hAnsi="Times New Roman" w:cs="Times New Roman"/>
      <w:b/>
      <w:bCs/>
      <w:caps/>
      <w:sz w:val="20"/>
      <w:szCs w:val="20"/>
    </w:rPr>
    <w:tblPr>
      <w:tblStyleRowBandSize w:val="2"/>
      <w:tblBorders>
        <w:bottom w:val="single" w:sz="12" w:space="0" w:color="808080"/>
      </w:tblBorders>
    </w:tblPr>
    <w:tblStylePr w:type="firstRow">
      <w:rPr>
        <w:rFonts w:cs="Times New Roman"/>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FF0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3">
    <w:name w:val="Table List 3"/>
    <w:basedOn w:val="TableNormal"/>
    <w:uiPriority w:val="99"/>
    <w:rsid w:val="00DD4B54"/>
    <w:pPr>
      <w:spacing w:after="0" w:line="240" w:lineRule="auto"/>
    </w:pPr>
    <w:rPr>
      <w:rFonts w:ascii="Times New Roman" w:eastAsia="Times New Roman" w:hAnsi="Times New Roman" w:cs="Times New Roman"/>
      <w:b/>
      <w:bCs/>
      <w:caps/>
      <w:sz w:val="20"/>
      <w:szCs w:val="20"/>
    </w:rPr>
    <w:tblPr>
      <w:tblBorders>
        <w:top w:val="single" w:sz="12" w:space="0" w:color="000000"/>
        <w:bottom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4">
    <w:name w:val="Table List 4"/>
    <w:basedOn w:val="TableNormal"/>
    <w:uiPriority w:val="99"/>
    <w:rsid w:val="00DD4B54"/>
    <w:pPr>
      <w:spacing w:after="0" w:line="240" w:lineRule="auto"/>
    </w:pPr>
    <w:rPr>
      <w:rFonts w:ascii="Times New Roman" w:eastAsia="Times New Roman" w:hAnsi="Times New Roman" w:cs="Times New Roman"/>
      <w:b/>
      <w:bCs/>
      <w:caps/>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DD4B54"/>
    <w:pPr>
      <w:spacing w:after="0" w:line="240" w:lineRule="auto"/>
    </w:pPr>
    <w:rPr>
      <w:rFonts w:ascii="Times New Roman" w:eastAsia="Times New Roman" w:hAnsi="Times New Roman" w:cs="Times New Roman"/>
      <w:b/>
      <w:bCs/>
      <w:caps/>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style>
  <w:style w:type="table" w:styleId="TableList6">
    <w:name w:val="Table List 6"/>
    <w:basedOn w:val="TableNormal"/>
    <w:uiPriority w:val="99"/>
    <w:rsid w:val="00DD4B54"/>
    <w:pPr>
      <w:spacing w:after="0" w:line="240" w:lineRule="auto"/>
    </w:pPr>
    <w:rPr>
      <w:rFonts w:ascii="Times New Roman" w:eastAsia="Times New Roman" w:hAnsi="Times New Roman" w:cs="Times New Roman"/>
      <w:b/>
      <w:bCs/>
      <w:caps/>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DD4B54"/>
    <w:pPr>
      <w:spacing w:after="0" w:line="240" w:lineRule="auto"/>
    </w:pPr>
    <w:rPr>
      <w:rFonts w:ascii="Times New Roman" w:eastAsia="Times New Roman" w:hAnsi="Times New Roman" w:cs="Times New Roman"/>
      <w:b/>
      <w:bCs/>
      <w:caps/>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rPr>
      <w:tblPr/>
      <w:tcPr>
        <w:tcBorders>
          <w:top w:val="single" w:sz="12" w:space="0" w:color="008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DD4B54"/>
    <w:pPr>
      <w:spacing w:after="0" w:line="240" w:lineRule="auto"/>
    </w:pPr>
    <w:rPr>
      <w:rFonts w:ascii="Times New Roman" w:eastAsia="Times New Roman" w:hAnsi="Times New Roman" w:cs="Times New Roman"/>
      <w:b/>
      <w:bCs/>
      <w:caps/>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3Deffects1">
    <w:name w:val="Table 3D effects 1"/>
    <w:basedOn w:val="TableNormal"/>
    <w:uiPriority w:val="99"/>
    <w:rsid w:val="00DD4B54"/>
    <w:pPr>
      <w:spacing w:after="0" w:line="240" w:lineRule="auto"/>
    </w:pPr>
    <w:rPr>
      <w:rFonts w:ascii="Times New Roman" w:eastAsia="Times New Roman" w:hAnsi="Times New Roman" w:cs="Times New Roman"/>
      <w:b/>
      <w:bCs/>
      <w:caps/>
      <w:sz w:val="20"/>
      <w:szCs w:val="20"/>
    </w:rPr>
    <w:tblPr/>
    <w:tcPr>
      <w:shd w:val="solid" w:color="C0C0C0" w:fill="FFFFFF"/>
    </w:tc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DD4B54"/>
    <w:pPr>
      <w:spacing w:after="0" w:line="240" w:lineRule="auto"/>
    </w:pPr>
    <w:rPr>
      <w:rFonts w:ascii="Times New Roman" w:eastAsia="Times New Roman" w:hAnsi="Times New Roman" w:cs="Times New Roman"/>
      <w:b/>
      <w:bCs/>
      <w:caps/>
      <w:sz w:val="20"/>
      <w:szCs w:val="20"/>
    </w:rPr>
    <w:tblPr>
      <w:tblStyleRowBandSize w:val="1"/>
    </w:tblPr>
    <w:tcPr>
      <w:shd w:val="solid" w:color="C0C0C0" w:fill="FFFFFF"/>
    </w:tc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3Deffects3">
    <w:name w:val="Table 3D effects 3"/>
    <w:basedOn w:val="TableNormal"/>
    <w:uiPriority w:val="99"/>
    <w:rsid w:val="00DD4B54"/>
    <w:pPr>
      <w:spacing w:after="0" w:line="240" w:lineRule="auto"/>
    </w:pPr>
    <w:rPr>
      <w:rFonts w:ascii="Times New Roman" w:eastAsia="Times New Roman" w:hAnsi="Times New Roman" w:cs="Times New Roman"/>
      <w:b/>
      <w:bCs/>
      <w:caps/>
      <w:sz w:val="20"/>
      <w:szCs w:val="20"/>
    </w:rPr>
    <w:tblPr>
      <w:tblStyleRowBandSize w:val="1"/>
      <w:tblStyleColBandSize w:val="1"/>
    </w:tbl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ntemporary">
    <w:name w:val="Table Contemporary"/>
    <w:basedOn w:val="TableNormal"/>
    <w:uiPriority w:val="99"/>
    <w:rsid w:val="00DD4B54"/>
    <w:pPr>
      <w:spacing w:after="0" w:line="240" w:lineRule="auto"/>
    </w:pPr>
    <w:rPr>
      <w:rFonts w:ascii="Times New Roman" w:eastAsia="Times New Roman" w:hAnsi="Times New Roman" w:cs="Times New Roman"/>
      <w:b/>
      <w:bCs/>
      <w:caps/>
      <w:sz w:val="20"/>
      <w:szCs w:val="20"/>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DD4B54"/>
    <w:pPr>
      <w:spacing w:after="0" w:line="240" w:lineRule="auto"/>
    </w:pPr>
    <w:rPr>
      <w:rFonts w:ascii="Times New Roman" w:eastAsia="Times New Roman" w:hAnsi="Times New Roman" w:cs="Times New Roman"/>
      <w:b/>
      <w:bCs/>
      <w:caps/>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TableProfessional">
    <w:name w:val="Table Professional"/>
    <w:basedOn w:val="TableNormal"/>
    <w:uiPriority w:val="99"/>
    <w:rsid w:val="00DD4B54"/>
    <w:pPr>
      <w:spacing w:after="0" w:line="240" w:lineRule="auto"/>
    </w:pPr>
    <w:rPr>
      <w:rFonts w:ascii="Times New Roman" w:eastAsia="Times New Roman" w:hAnsi="Times New Roman" w:cs="Times New Roman"/>
      <w:b/>
      <w:bCs/>
      <w:caps/>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DD4B54"/>
    <w:pPr>
      <w:spacing w:after="0" w:line="240" w:lineRule="auto"/>
    </w:pPr>
    <w:rPr>
      <w:rFonts w:ascii="Times New Roman" w:eastAsia="Times New Roman" w:hAnsi="Times New Roman" w:cs="Times New Roman"/>
      <w:b/>
      <w:bCs/>
      <w:caps/>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Subtle2">
    <w:name w:val="Table Subtle 2"/>
    <w:basedOn w:val="TableNormal"/>
    <w:uiPriority w:val="99"/>
    <w:rsid w:val="00DD4B54"/>
    <w:pPr>
      <w:spacing w:after="0" w:line="240" w:lineRule="auto"/>
    </w:pPr>
    <w:rPr>
      <w:rFonts w:ascii="Times New Roman" w:eastAsia="Times New Roman" w:hAnsi="Times New Roman" w:cs="Times New Roman"/>
      <w:b/>
      <w:bCs/>
      <w:caps/>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Web1">
    <w:name w:val="Table Web 1"/>
    <w:basedOn w:val="TableNormal"/>
    <w:uiPriority w:val="99"/>
    <w:rsid w:val="00DD4B54"/>
    <w:pPr>
      <w:spacing w:after="0" w:line="240" w:lineRule="auto"/>
    </w:pPr>
    <w:rPr>
      <w:rFonts w:ascii="Times New Roman" w:eastAsia="Times New Roman" w:hAnsi="Times New Roman" w:cs="Times New Roman"/>
      <w:b/>
      <w:bCs/>
      <w:caps/>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2">
    <w:name w:val="Table Web 2"/>
    <w:basedOn w:val="TableNormal"/>
    <w:uiPriority w:val="99"/>
    <w:rsid w:val="00DD4B54"/>
    <w:pPr>
      <w:spacing w:after="0" w:line="240" w:lineRule="auto"/>
    </w:pPr>
    <w:rPr>
      <w:rFonts w:ascii="Times New Roman" w:eastAsia="Times New Roman" w:hAnsi="Times New Roman" w:cs="Times New Roman"/>
      <w:b/>
      <w:bCs/>
      <w:caps/>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3">
    <w:name w:val="Table Web 3"/>
    <w:basedOn w:val="TableNormal"/>
    <w:uiPriority w:val="99"/>
    <w:rsid w:val="00DD4B54"/>
    <w:pPr>
      <w:spacing w:after="0" w:line="240" w:lineRule="auto"/>
    </w:pPr>
    <w:rPr>
      <w:rFonts w:ascii="Times New Roman" w:eastAsia="Times New Roman" w:hAnsi="Times New Roman" w:cs="Times New Roman"/>
      <w:b/>
      <w:bCs/>
      <w:caps/>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Theme">
    <w:name w:val="Table Theme"/>
    <w:basedOn w:val="TableNormal"/>
    <w:uiPriority w:val="99"/>
    <w:rsid w:val="00DD4B5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4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OSappendixsubheading0">
    <w:name w:val="OS appendix subheading"/>
    <w:basedOn w:val="Normal"/>
    <w:uiPriority w:val="99"/>
    <w:rsid w:val="00DD4B54"/>
    <w:pPr>
      <w:keepNext/>
      <w:spacing w:after="240"/>
    </w:pPr>
    <w:rPr>
      <w:rFonts w:eastAsia="Times New Roman" w:cs="Times New Roman"/>
      <w:b/>
      <w:bCs/>
      <w:szCs w:val="22"/>
    </w:rPr>
  </w:style>
  <w:style w:type="paragraph" w:styleId="BlockText">
    <w:name w:val="Block Text"/>
    <w:basedOn w:val="Normal"/>
    <w:uiPriority w:val="99"/>
    <w:semiHidden/>
    <w:unhideWhenUsed/>
    <w:rsid w:val="00DD4B54"/>
    <w:pPr>
      <w:spacing w:after="120"/>
      <w:ind w:left="1440" w:right="1440"/>
    </w:pPr>
    <w:rPr>
      <w:rFonts w:eastAsia="Times New Roman" w:cs="Times New Roman"/>
      <w:szCs w:val="20"/>
    </w:rPr>
  </w:style>
  <w:style w:type="paragraph" w:styleId="BodyText20">
    <w:name w:val="Body Text 2"/>
    <w:basedOn w:val="Normal"/>
    <w:link w:val="BodyText2Char0"/>
    <w:uiPriority w:val="99"/>
    <w:semiHidden/>
    <w:unhideWhenUsed/>
    <w:rsid w:val="00DD4B54"/>
    <w:pPr>
      <w:spacing w:after="120" w:line="480" w:lineRule="auto"/>
    </w:pPr>
    <w:rPr>
      <w:rFonts w:eastAsia="Times New Roman" w:cs="Times New Roman"/>
      <w:szCs w:val="20"/>
    </w:rPr>
  </w:style>
  <w:style w:type="character" w:customStyle="1" w:styleId="BodyText2Char0">
    <w:name w:val="Body Text 2 Char"/>
    <w:basedOn w:val="DefaultParagraphFont"/>
    <w:link w:val="BodyText20"/>
    <w:uiPriority w:val="99"/>
    <w:semiHidden/>
    <w:rsid w:val="00DD4B54"/>
    <w:rPr>
      <w:rFonts w:ascii="Times New Roman" w:eastAsia="Times New Roman" w:hAnsi="Times New Roman" w:cs="Times New Roman"/>
      <w:szCs w:val="20"/>
    </w:rPr>
  </w:style>
  <w:style w:type="paragraph" w:styleId="BodyText30">
    <w:name w:val="Body Text 3"/>
    <w:basedOn w:val="Normal"/>
    <w:link w:val="BodyText3Char"/>
    <w:uiPriority w:val="99"/>
    <w:semiHidden/>
    <w:unhideWhenUsed/>
    <w:rsid w:val="00DD4B54"/>
    <w:pPr>
      <w:spacing w:after="120"/>
    </w:pPr>
    <w:rPr>
      <w:rFonts w:eastAsia="Times New Roman" w:cs="Times New Roman"/>
      <w:sz w:val="16"/>
      <w:szCs w:val="16"/>
    </w:rPr>
  </w:style>
  <w:style w:type="character" w:customStyle="1" w:styleId="BodyText3Char">
    <w:name w:val="Body Text 3 Char"/>
    <w:basedOn w:val="DefaultParagraphFont"/>
    <w:link w:val="BodyText30"/>
    <w:uiPriority w:val="99"/>
    <w:semiHidden/>
    <w:rsid w:val="00DD4B54"/>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DD4B54"/>
    <w:pPr>
      <w:spacing w:after="120"/>
      <w:ind w:firstLine="210"/>
    </w:pPr>
    <w:rPr>
      <w:szCs w:val="20"/>
    </w:rPr>
  </w:style>
  <w:style w:type="character" w:customStyle="1" w:styleId="BodyTextFirstIndentChar">
    <w:name w:val="Body Text First Indent Char"/>
    <w:basedOn w:val="BodyTextChar"/>
    <w:link w:val="BodyTextFirstIndent"/>
    <w:uiPriority w:val="99"/>
    <w:semiHidden/>
    <w:rsid w:val="00DD4B54"/>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DD4B54"/>
    <w:pPr>
      <w:spacing w:after="120"/>
      <w:ind w:left="360"/>
    </w:pPr>
    <w:rPr>
      <w:rFonts w:eastAsia="Times New Roman" w:cs="Times New Roman"/>
      <w:szCs w:val="20"/>
    </w:rPr>
  </w:style>
  <w:style w:type="character" w:customStyle="1" w:styleId="BodyTextIndentChar">
    <w:name w:val="Body Text Indent Char"/>
    <w:basedOn w:val="DefaultParagraphFont"/>
    <w:link w:val="BodyTextIndent"/>
    <w:uiPriority w:val="99"/>
    <w:semiHidden/>
    <w:rsid w:val="00DD4B54"/>
    <w:rPr>
      <w:rFonts w:ascii="Times New Roman" w:eastAsia="Times New Roman" w:hAnsi="Times New Roman" w:cs="Times New Roman"/>
      <w:szCs w:val="20"/>
    </w:rPr>
  </w:style>
  <w:style w:type="paragraph" w:styleId="BodyTextFirstIndent2">
    <w:name w:val="Body Text First Indent 2"/>
    <w:basedOn w:val="BodyTextIndent"/>
    <w:link w:val="BodyTextFirstIndent2Char"/>
    <w:uiPriority w:val="99"/>
    <w:semiHidden/>
    <w:unhideWhenUsed/>
    <w:rsid w:val="00DD4B54"/>
    <w:pPr>
      <w:ind w:firstLine="210"/>
    </w:pPr>
  </w:style>
  <w:style w:type="character" w:customStyle="1" w:styleId="BodyTextFirstIndent2Char">
    <w:name w:val="Body Text First Indent 2 Char"/>
    <w:basedOn w:val="BodyTextIndentChar"/>
    <w:link w:val="BodyTextFirstIndent2"/>
    <w:uiPriority w:val="99"/>
    <w:semiHidden/>
    <w:rsid w:val="00DD4B54"/>
    <w:rPr>
      <w:rFonts w:ascii="Times New Roman" w:eastAsia="Times New Roman" w:hAnsi="Times New Roman" w:cs="Times New Roman"/>
      <w:szCs w:val="20"/>
    </w:rPr>
  </w:style>
  <w:style w:type="paragraph" w:styleId="BodyTextIndent2">
    <w:name w:val="Body Text Indent 2"/>
    <w:basedOn w:val="Normal"/>
    <w:link w:val="BodyTextIndent2Char"/>
    <w:uiPriority w:val="99"/>
    <w:semiHidden/>
    <w:unhideWhenUsed/>
    <w:rsid w:val="00DD4B54"/>
    <w:pPr>
      <w:spacing w:after="120" w:line="480" w:lineRule="auto"/>
      <w:ind w:left="360"/>
    </w:pPr>
    <w:rPr>
      <w:rFonts w:eastAsia="Times New Roman" w:cs="Times New Roman"/>
      <w:szCs w:val="20"/>
    </w:rPr>
  </w:style>
  <w:style w:type="character" w:customStyle="1" w:styleId="BodyTextIndent2Char">
    <w:name w:val="Body Text Indent 2 Char"/>
    <w:basedOn w:val="DefaultParagraphFont"/>
    <w:link w:val="BodyTextIndent2"/>
    <w:uiPriority w:val="99"/>
    <w:semiHidden/>
    <w:rsid w:val="00DD4B54"/>
    <w:rPr>
      <w:rFonts w:ascii="Times New Roman" w:eastAsia="Times New Roman" w:hAnsi="Times New Roman" w:cs="Times New Roman"/>
      <w:szCs w:val="20"/>
    </w:rPr>
  </w:style>
  <w:style w:type="paragraph" w:styleId="BodyTextIndent3">
    <w:name w:val="Body Text Indent 3"/>
    <w:basedOn w:val="Normal"/>
    <w:link w:val="BodyTextIndent3Char"/>
    <w:uiPriority w:val="99"/>
    <w:semiHidden/>
    <w:unhideWhenUsed/>
    <w:rsid w:val="00DD4B54"/>
    <w:pPr>
      <w:spacing w:after="120"/>
      <w:ind w:left="360"/>
    </w:pPr>
    <w:rPr>
      <w:rFonts w:eastAsia="Times New Roman" w:cs="Times New Roman"/>
      <w:sz w:val="16"/>
      <w:szCs w:val="16"/>
    </w:rPr>
  </w:style>
  <w:style w:type="character" w:customStyle="1" w:styleId="BodyTextIndent3Char">
    <w:name w:val="Body Text Indent 3 Char"/>
    <w:basedOn w:val="DefaultParagraphFont"/>
    <w:link w:val="BodyTextIndent3"/>
    <w:uiPriority w:val="99"/>
    <w:semiHidden/>
    <w:rsid w:val="00DD4B54"/>
    <w:rPr>
      <w:rFonts w:ascii="Times New Roman" w:eastAsia="Times New Roman" w:hAnsi="Times New Roman" w:cs="Times New Roman"/>
      <w:sz w:val="16"/>
      <w:szCs w:val="16"/>
    </w:rPr>
  </w:style>
  <w:style w:type="paragraph" w:styleId="E-mailSignature">
    <w:name w:val="E-mail Signature"/>
    <w:basedOn w:val="Normal"/>
    <w:link w:val="E-mailSignatureChar"/>
    <w:uiPriority w:val="99"/>
    <w:semiHidden/>
    <w:unhideWhenUsed/>
    <w:rsid w:val="00DD4B54"/>
    <w:rPr>
      <w:rFonts w:eastAsia="Times New Roman" w:cs="Times New Roman"/>
      <w:szCs w:val="20"/>
    </w:rPr>
  </w:style>
  <w:style w:type="character" w:customStyle="1" w:styleId="E-mailSignatureChar">
    <w:name w:val="E-mail Signature Char"/>
    <w:basedOn w:val="DefaultParagraphFont"/>
    <w:link w:val="E-mailSignature"/>
    <w:uiPriority w:val="99"/>
    <w:semiHidden/>
    <w:rsid w:val="00DD4B54"/>
    <w:rPr>
      <w:rFonts w:ascii="Times New Roman" w:eastAsia="Times New Roman" w:hAnsi="Times New Roman" w:cs="Times New Roman"/>
      <w:szCs w:val="20"/>
    </w:rPr>
  </w:style>
  <w:style w:type="paragraph" w:styleId="HTMLAddress">
    <w:name w:val="HTML Address"/>
    <w:basedOn w:val="Normal"/>
    <w:link w:val="HTMLAddressChar"/>
    <w:uiPriority w:val="99"/>
    <w:semiHidden/>
    <w:unhideWhenUsed/>
    <w:rsid w:val="00DD4B54"/>
    <w:rPr>
      <w:rFonts w:eastAsia="Times New Roman" w:cs="Times New Roman"/>
      <w:i/>
      <w:iCs/>
      <w:szCs w:val="20"/>
    </w:rPr>
  </w:style>
  <w:style w:type="character" w:customStyle="1" w:styleId="HTMLAddressChar">
    <w:name w:val="HTML Address Char"/>
    <w:basedOn w:val="DefaultParagraphFont"/>
    <w:link w:val="HTMLAddress"/>
    <w:uiPriority w:val="99"/>
    <w:semiHidden/>
    <w:rsid w:val="00DD4B54"/>
    <w:rPr>
      <w:rFonts w:ascii="Times New Roman" w:eastAsia="Times New Roman" w:hAnsi="Times New Roman" w:cs="Times New Roman"/>
      <w:i/>
      <w:iCs/>
      <w:szCs w:val="20"/>
    </w:rPr>
  </w:style>
  <w:style w:type="paragraph" w:styleId="HTMLPreformatted">
    <w:name w:val="HTML Preformatted"/>
    <w:basedOn w:val="Normal"/>
    <w:link w:val="HTMLPreformattedChar"/>
    <w:uiPriority w:val="99"/>
    <w:semiHidden/>
    <w:unhideWhenUsed/>
    <w:rsid w:val="00DD4B54"/>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D4B54"/>
    <w:rPr>
      <w:rFonts w:ascii="Courier New" w:eastAsia="Times New Roman" w:hAnsi="Courier New" w:cs="Courier New"/>
      <w:sz w:val="20"/>
      <w:szCs w:val="20"/>
    </w:rPr>
  </w:style>
  <w:style w:type="paragraph" w:styleId="List">
    <w:name w:val="List"/>
    <w:basedOn w:val="Normal"/>
    <w:uiPriority w:val="99"/>
    <w:semiHidden/>
    <w:unhideWhenUsed/>
    <w:rsid w:val="00DD4B54"/>
    <w:pPr>
      <w:ind w:left="360" w:hanging="360"/>
      <w:contextualSpacing/>
    </w:pPr>
    <w:rPr>
      <w:rFonts w:eastAsia="Times New Roman" w:cs="Times New Roman"/>
      <w:szCs w:val="20"/>
    </w:rPr>
  </w:style>
  <w:style w:type="paragraph" w:styleId="List2">
    <w:name w:val="List 2"/>
    <w:basedOn w:val="Normal"/>
    <w:uiPriority w:val="99"/>
    <w:semiHidden/>
    <w:unhideWhenUsed/>
    <w:rsid w:val="00DD4B54"/>
    <w:pPr>
      <w:ind w:left="720" w:hanging="360"/>
      <w:contextualSpacing/>
    </w:pPr>
    <w:rPr>
      <w:rFonts w:eastAsia="Times New Roman" w:cs="Times New Roman"/>
      <w:szCs w:val="20"/>
    </w:rPr>
  </w:style>
  <w:style w:type="paragraph" w:styleId="List3">
    <w:name w:val="List 3"/>
    <w:basedOn w:val="Normal"/>
    <w:uiPriority w:val="99"/>
    <w:semiHidden/>
    <w:unhideWhenUsed/>
    <w:rsid w:val="00DD4B54"/>
    <w:pPr>
      <w:ind w:left="1080" w:hanging="360"/>
      <w:contextualSpacing/>
    </w:pPr>
    <w:rPr>
      <w:rFonts w:eastAsia="Times New Roman" w:cs="Times New Roman"/>
      <w:szCs w:val="20"/>
    </w:rPr>
  </w:style>
  <w:style w:type="paragraph" w:styleId="List4">
    <w:name w:val="List 4"/>
    <w:basedOn w:val="Normal"/>
    <w:uiPriority w:val="99"/>
    <w:semiHidden/>
    <w:unhideWhenUsed/>
    <w:rsid w:val="00DD4B54"/>
    <w:pPr>
      <w:ind w:left="1440" w:hanging="360"/>
      <w:contextualSpacing/>
    </w:pPr>
    <w:rPr>
      <w:rFonts w:eastAsia="Times New Roman" w:cs="Times New Roman"/>
      <w:szCs w:val="20"/>
    </w:rPr>
  </w:style>
  <w:style w:type="paragraph" w:styleId="List5">
    <w:name w:val="List 5"/>
    <w:basedOn w:val="Normal"/>
    <w:uiPriority w:val="99"/>
    <w:semiHidden/>
    <w:unhideWhenUsed/>
    <w:rsid w:val="00DD4B54"/>
    <w:pPr>
      <w:ind w:left="1800" w:hanging="360"/>
      <w:contextualSpacing/>
    </w:pPr>
    <w:rPr>
      <w:rFonts w:eastAsia="Times New Roman" w:cs="Times New Roman"/>
      <w:szCs w:val="20"/>
    </w:rPr>
  </w:style>
  <w:style w:type="paragraph" w:styleId="ListBullet">
    <w:name w:val="List Bullet"/>
    <w:basedOn w:val="Normal"/>
    <w:uiPriority w:val="99"/>
    <w:semiHidden/>
    <w:unhideWhenUsed/>
    <w:rsid w:val="00DD4B54"/>
    <w:pPr>
      <w:tabs>
        <w:tab w:val="num" w:pos="360"/>
      </w:tabs>
      <w:ind w:left="360" w:hanging="360"/>
      <w:contextualSpacing/>
    </w:pPr>
    <w:rPr>
      <w:rFonts w:eastAsia="Times New Roman" w:cs="Times New Roman"/>
      <w:szCs w:val="20"/>
    </w:rPr>
  </w:style>
  <w:style w:type="paragraph" w:styleId="ListBullet2">
    <w:name w:val="List Bullet 2"/>
    <w:basedOn w:val="Normal"/>
    <w:uiPriority w:val="99"/>
    <w:semiHidden/>
    <w:unhideWhenUsed/>
    <w:rsid w:val="00DD4B54"/>
    <w:pPr>
      <w:tabs>
        <w:tab w:val="num" w:pos="720"/>
      </w:tabs>
      <w:ind w:left="720" w:hanging="360"/>
      <w:contextualSpacing/>
    </w:pPr>
    <w:rPr>
      <w:rFonts w:eastAsia="Times New Roman" w:cs="Times New Roman"/>
      <w:szCs w:val="20"/>
    </w:rPr>
  </w:style>
  <w:style w:type="paragraph" w:styleId="ListBullet3">
    <w:name w:val="List Bullet 3"/>
    <w:basedOn w:val="Normal"/>
    <w:uiPriority w:val="99"/>
    <w:semiHidden/>
    <w:unhideWhenUsed/>
    <w:rsid w:val="00DD4B54"/>
    <w:pPr>
      <w:tabs>
        <w:tab w:val="num" w:pos="1080"/>
      </w:tabs>
      <w:ind w:left="1080" w:hanging="360"/>
      <w:contextualSpacing/>
    </w:pPr>
    <w:rPr>
      <w:rFonts w:eastAsia="Times New Roman" w:cs="Times New Roman"/>
      <w:szCs w:val="20"/>
    </w:rPr>
  </w:style>
  <w:style w:type="paragraph" w:styleId="ListBullet4">
    <w:name w:val="List Bullet 4"/>
    <w:basedOn w:val="Normal"/>
    <w:uiPriority w:val="99"/>
    <w:semiHidden/>
    <w:unhideWhenUsed/>
    <w:rsid w:val="00DD4B54"/>
    <w:pPr>
      <w:tabs>
        <w:tab w:val="num" w:pos="1440"/>
      </w:tabs>
      <w:ind w:left="1440" w:hanging="360"/>
      <w:contextualSpacing/>
    </w:pPr>
    <w:rPr>
      <w:rFonts w:eastAsia="Times New Roman" w:cs="Times New Roman"/>
      <w:szCs w:val="20"/>
    </w:rPr>
  </w:style>
  <w:style w:type="paragraph" w:styleId="ListBullet5">
    <w:name w:val="List Bullet 5"/>
    <w:basedOn w:val="Normal"/>
    <w:uiPriority w:val="99"/>
    <w:semiHidden/>
    <w:unhideWhenUsed/>
    <w:rsid w:val="00DD4B54"/>
    <w:pPr>
      <w:tabs>
        <w:tab w:val="num" w:pos="1800"/>
      </w:tabs>
      <w:ind w:left="1800" w:hanging="360"/>
      <w:contextualSpacing/>
    </w:pPr>
    <w:rPr>
      <w:rFonts w:eastAsia="Times New Roman" w:cs="Times New Roman"/>
      <w:szCs w:val="20"/>
    </w:rPr>
  </w:style>
  <w:style w:type="paragraph" w:styleId="ListContinue">
    <w:name w:val="List Continue"/>
    <w:basedOn w:val="Normal"/>
    <w:uiPriority w:val="99"/>
    <w:semiHidden/>
    <w:unhideWhenUsed/>
    <w:rsid w:val="00DD4B54"/>
    <w:pPr>
      <w:spacing w:after="120"/>
      <w:ind w:left="360"/>
      <w:contextualSpacing/>
    </w:pPr>
    <w:rPr>
      <w:rFonts w:eastAsia="Times New Roman" w:cs="Times New Roman"/>
      <w:szCs w:val="20"/>
    </w:rPr>
  </w:style>
  <w:style w:type="paragraph" w:styleId="ListContinue2">
    <w:name w:val="List Continue 2"/>
    <w:basedOn w:val="Normal"/>
    <w:uiPriority w:val="99"/>
    <w:semiHidden/>
    <w:unhideWhenUsed/>
    <w:rsid w:val="00DD4B54"/>
    <w:pPr>
      <w:spacing w:after="120"/>
      <w:ind w:left="720"/>
      <w:contextualSpacing/>
    </w:pPr>
    <w:rPr>
      <w:rFonts w:eastAsia="Times New Roman" w:cs="Times New Roman"/>
      <w:szCs w:val="20"/>
    </w:rPr>
  </w:style>
  <w:style w:type="paragraph" w:styleId="ListContinue3">
    <w:name w:val="List Continue 3"/>
    <w:basedOn w:val="Normal"/>
    <w:uiPriority w:val="99"/>
    <w:semiHidden/>
    <w:unhideWhenUsed/>
    <w:rsid w:val="00DD4B54"/>
    <w:pPr>
      <w:spacing w:after="120"/>
      <w:ind w:left="1080"/>
      <w:contextualSpacing/>
    </w:pPr>
    <w:rPr>
      <w:rFonts w:eastAsia="Times New Roman" w:cs="Times New Roman"/>
      <w:szCs w:val="20"/>
    </w:rPr>
  </w:style>
  <w:style w:type="paragraph" w:styleId="ListContinue4">
    <w:name w:val="List Continue 4"/>
    <w:basedOn w:val="Normal"/>
    <w:uiPriority w:val="99"/>
    <w:semiHidden/>
    <w:unhideWhenUsed/>
    <w:rsid w:val="00DD4B54"/>
    <w:pPr>
      <w:spacing w:after="120"/>
      <w:ind w:left="1440"/>
      <w:contextualSpacing/>
    </w:pPr>
    <w:rPr>
      <w:rFonts w:eastAsia="Times New Roman" w:cs="Times New Roman"/>
      <w:szCs w:val="20"/>
    </w:rPr>
  </w:style>
  <w:style w:type="paragraph" w:styleId="ListContinue5">
    <w:name w:val="List Continue 5"/>
    <w:basedOn w:val="Normal"/>
    <w:uiPriority w:val="99"/>
    <w:semiHidden/>
    <w:unhideWhenUsed/>
    <w:rsid w:val="00DD4B54"/>
    <w:pPr>
      <w:spacing w:after="120"/>
      <w:ind w:left="1800"/>
      <w:contextualSpacing/>
    </w:pPr>
    <w:rPr>
      <w:rFonts w:eastAsia="Times New Roman" w:cs="Times New Roman"/>
      <w:szCs w:val="20"/>
    </w:rPr>
  </w:style>
  <w:style w:type="paragraph" w:styleId="ListNumber">
    <w:name w:val="List Number"/>
    <w:basedOn w:val="Normal"/>
    <w:uiPriority w:val="99"/>
    <w:unhideWhenUsed/>
    <w:rsid w:val="00DD4B54"/>
    <w:pPr>
      <w:tabs>
        <w:tab w:val="num" w:pos="360"/>
      </w:tabs>
      <w:ind w:left="360" w:hanging="360"/>
      <w:contextualSpacing/>
    </w:pPr>
    <w:rPr>
      <w:rFonts w:eastAsia="Times New Roman" w:cs="Times New Roman"/>
      <w:szCs w:val="20"/>
    </w:rPr>
  </w:style>
  <w:style w:type="paragraph" w:styleId="ListNumber2">
    <w:name w:val="List Number 2"/>
    <w:basedOn w:val="Normal"/>
    <w:uiPriority w:val="99"/>
    <w:semiHidden/>
    <w:unhideWhenUsed/>
    <w:rsid w:val="00DD4B54"/>
    <w:pPr>
      <w:tabs>
        <w:tab w:val="num" w:pos="720"/>
      </w:tabs>
      <w:ind w:left="720" w:hanging="360"/>
      <w:contextualSpacing/>
    </w:pPr>
    <w:rPr>
      <w:rFonts w:eastAsia="Times New Roman" w:cs="Times New Roman"/>
      <w:szCs w:val="20"/>
    </w:rPr>
  </w:style>
  <w:style w:type="paragraph" w:styleId="ListNumber3">
    <w:name w:val="List Number 3"/>
    <w:basedOn w:val="Normal"/>
    <w:uiPriority w:val="99"/>
    <w:semiHidden/>
    <w:unhideWhenUsed/>
    <w:rsid w:val="00DD4B54"/>
    <w:pPr>
      <w:tabs>
        <w:tab w:val="num" w:pos="1080"/>
      </w:tabs>
      <w:ind w:left="1080" w:hanging="360"/>
      <w:contextualSpacing/>
    </w:pPr>
    <w:rPr>
      <w:rFonts w:eastAsia="Times New Roman" w:cs="Times New Roman"/>
      <w:szCs w:val="20"/>
    </w:rPr>
  </w:style>
  <w:style w:type="paragraph" w:styleId="ListNumber4">
    <w:name w:val="List Number 4"/>
    <w:basedOn w:val="Normal"/>
    <w:uiPriority w:val="99"/>
    <w:semiHidden/>
    <w:unhideWhenUsed/>
    <w:rsid w:val="00DD4B54"/>
    <w:pPr>
      <w:tabs>
        <w:tab w:val="num" w:pos="1440"/>
      </w:tabs>
      <w:ind w:left="1440" w:hanging="360"/>
      <w:contextualSpacing/>
    </w:pPr>
    <w:rPr>
      <w:rFonts w:eastAsia="Times New Roman" w:cs="Times New Roman"/>
      <w:szCs w:val="20"/>
    </w:rPr>
  </w:style>
  <w:style w:type="paragraph" w:styleId="ListNumber5">
    <w:name w:val="List Number 5"/>
    <w:basedOn w:val="Normal"/>
    <w:uiPriority w:val="99"/>
    <w:semiHidden/>
    <w:unhideWhenUsed/>
    <w:rsid w:val="00DD4B54"/>
    <w:pPr>
      <w:tabs>
        <w:tab w:val="num" w:pos="1800"/>
      </w:tabs>
      <w:ind w:left="1800" w:hanging="360"/>
      <w:contextualSpacing/>
    </w:pPr>
    <w:rPr>
      <w:rFonts w:eastAsia="Times New Roman" w:cs="Times New Roman"/>
      <w:szCs w:val="20"/>
    </w:rPr>
  </w:style>
  <w:style w:type="paragraph" w:styleId="MessageHeader">
    <w:name w:val="Message Header"/>
    <w:basedOn w:val="Normal"/>
    <w:link w:val="MessageHeaderChar"/>
    <w:uiPriority w:val="99"/>
    <w:semiHidden/>
    <w:unhideWhenUsed/>
    <w:rsid w:val="00DD4B5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D4B54"/>
    <w:rPr>
      <w:rFonts w:asciiTheme="majorHAnsi" w:eastAsiaTheme="majorEastAsia" w:hAnsiTheme="majorHAnsi" w:cstheme="majorBidi"/>
      <w:sz w:val="24"/>
      <w:szCs w:val="24"/>
      <w:shd w:val="pct20" w:color="auto" w:fill="auto"/>
    </w:rPr>
  </w:style>
  <w:style w:type="paragraph" w:styleId="NormalWeb">
    <w:name w:val="Normal (Web)"/>
    <w:basedOn w:val="Normal"/>
    <w:uiPriority w:val="99"/>
    <w:unhideWhenUsed/>
    <w:rsid w:val="00DD4B54"/>
    <w:rPr>
      <w:rFonts w:eastAsia="Times New Roman" w:cs="Times New Roman"/>
      <w:sz w:val="24"/>
      <w:szCs w:val="24"/>
    </w:rPr>
  </w:style>
  <w:style w:type="paragraph" w:styleId="NormalIndent">
    <w:name w:val="Normal Indent"/>
    <w:basedOn w:val="Normal"/>
    <w:uiPriority w:val="99"/>
    <w:semiHidden/>
    <w:unhideWhenUsed/>
    <w:rsid w:val="00DD4B54"/>
    <w:pPr>
      <w:ind w:left="720"/>
    </w:pPr>
    <w:rPr>
      <w:rFonts w:eastAsia="Times New Roman" w:cs="Times New Roman"/>
      <w:szCs w:val="20"/>
    </w:rPr>
  </w:style>
  <w:style w:type="paragraph" w:styleId="NoteHeading">
    <w:name w:val="Note Heading"/>
    <w:basedOn w:val="Normal"/>
    <w:next w:val="Normal"/>
    <w:link w:val="NoteHeadingChar"/>
    <w:uiPriority w:val="99"/>
    <w:semiHidden/>
    <w:unhideWhenUsed/>
    <w:rsid w:val="00DD4B54"/>
    <w:rPr>
      <w:rFonts w:eastAsia="Times New Roman" w:cs="Times New Roman"/>
      <w:szCs w:val="20"/>
    </w:rPr>
  </w:style>
  <w:style w:type="character" w:customStyle="1" w:styleId="NoteHeadingChar">
    <w:name w:val="Note Heading Char"/>
    <w:basedOn w:val="DefaultParagraphFont"/>
    <w:link w:val="NoteHeading"/>
    <w:uiPriority w:val="99"/>
    <w:semiHidden/>
    <w:rsid w:val="00DD4B5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DD4B54"/>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DD4B54"/>
    <w:rPr>
      <w:rFonts w:ascii="Courier New" w:eastAsia="Times New Roman" w:hAnsi="Courier New" w:cs="Courier New"/>
      <w:sz w:val="20"/>
      <w:szCs w:val="20"/>
    </w:rPr>
  </w:style>
  <w:style w:type="paragraph" w:styleId="Salutation">
    <w:name w:val="Salutation"/>
    <w:basedOn w:val="Normal"/>
    <w:next w:val="Normal"/>
    <w:link w:val="SalutationChar"/>
    <w:uiPriority w:val="99"/>
    <w:semiHidden/>
    <w:unhideWhenUsed/>
    <w:rsid w:val="00DD4B54"/>
    <w:rPr>
      <w:rFonts w:eastAsia="Times New Roman" w:cs="Times New Roman"/>
      <w:szCs w:val="20"/>
    </w:rPr>
  </w:style>
  <w:style w:type="character" w:customStyle="1" w:styleId="SalutationChar">
    <w:name w:val="Salutation Char"/>
    <w:basedOn w:val="DefaultParagraphFont"/>
    <w:link w:val="Salutation"/>
    <w:uiPriority w:val="99"/>
    <w:semiHidden/>
    <w:rsid w:val="00DD4B54"/>
    <w:rPr>
      <w:rFonts w:ascii="Times New Roman" w:eastAsia="Times New Roman" w:hAnsi="Times New Roman" w:cs="Times New Roman"/>
      <w:szCs w:val="20"/>
    </w:rPr>
  </w:style>
  <w:style w:type="paragraph" w:styleId="Signature">
    <w:name w:val="Signature"/>
    <w:basedOn w:val="Normal"/>
    <w:link w:val="SignatureChar"/>
    <w:uiPriority w:val="99"/>
    <w:semiHidden/>
    <w:unhideWhenUsed/>
    <w:rsid w:val="00DD4B54"/>
    <w:pPr>
      <w:ind w:left="4320"/>
    </w:pPr>
    <w:rPr>
      <w:rFonts w:eastAsia="Times New Roman" w:cs="Times New Roman"/>
      <w:szCs w:val="20"/>
    </w:rPr>
  </w:style>
  <w:style w:type="character" w:customStyle="1" w:styleId="SignatureChar">
    <w:name w:val="Signature Char"/>
    <w:basedOn w:val="DefaultParagraphFont"/>
    <w:link w:val="Signature"/>
    <w:uiPriority w:val="99"/>
    <w:semiHidden/>
    <w:rsid w:val="00DD4B54"/>
    <w:rPr>
      <w:rFonts w:ascii="Times New Roman" w:eastAsia="Times New Roman" w:hAnsi="Times New Roman" w:cs="Times New Roman"/>
      <w:szCs w:val="20"/>
    </w:rPr>
  </w:style>
  <w:style w:type="character" w:customStyle="1" w:styleId="Heading1Char1">
    <w:name w:val="Heading 1 Char1"/>
    <w:aliases w:val="OS Heading 1 Char1,OS Char Char"/>
    <w:uiPriority w:val="99"/>
    <w:semiHidden/>
    <w:rsid w:val="00DD4B54"/>
    <w:rPr>
      <w:rFonts w:cs="Times New Roman"/>
      <w:b/>
      <w:caps/>
      <w:sz w:val="22"/>
      <w:lang w:val="en-US" w:eastAsia="en-US" w:bidi="ar-SA"/>
    </w:rPr>
  </w:style>
  <w:style w:type="character" w:customStyle="1" w:styleId="SignatureChar1">
    <w:name w:val="Signature Char1"/>
    <w:uiPriority w:val="99"/>
    <w:semiHidden/>
    <w:locked/>
    <w:rsid w:val="00DD4B54"/>
    <w:rPr>
      <w:rFonts w:cs="Times New Roman"/>
      <w:lang w:val="en-US" w:eastAsia="en-US" w:bidi="ar-SA"/>
    </w:rPr>
  </w:style>
  <w:style w:type="character" w:customStyle="1" w:styleId="Salutation1">
    <w:name w:val="Salutation1"/>
    <w:uiPriority w:val="99"/>
    <w:semiHidden/>
    <w:rsid w:val="00DD4B54"/>
    <w:rPr>
      <w:rFonts w:cs="Times New Roman"/>
    </w:rPr>
  </w:style>
  <w:style w:type="character" w:customStyle="1" w:styleId="DefaultPara">
    <w:name w:val="Default Para"/>
    <w:uiPriority w:val="99"/>
    <w:semiHidden/>
    <w:rsid w:val="00DD4B54"/>
    <w:rPr>
      <w:rFonts w:cs="Times New Roman"/>
    </w:rPr>
  </w:style>
  <w:style w:type="character" w:customStyle="1" w:styleId="Sample">
    <w:name w:val="Sample"/>
    <w:uiPriority w:val="99"/>
    <w:semiHidden/>
    <w:rsid w:val="00DD4B54"/>
    <w:rPr>
      <w:rFonts w:ascii="Courier New" w:hAnsi="Courier New" w:cs="Times New Roman"/>
    </w:rPr>
  </w:style>
  <w:style w:type="character" w:customStyle="1" w:styleId="HTMLMarkup">
    <w:name w:val="HTML Markup"/>
    <w:uiPriority w:val="99"/>
    <w:semiHidden/>
    <w:rsid w:val="00DD4B54"/>
    <w:rPr>
      <w:rFonts w:cs="Times New Roman"/>
      <w:vanish/>
      <w:color w:val="FF0000"/>
    </w:rPr>
  </w:style>
  <w:style w:type="character" w:customStyle="1" w:styleId="Comment">
    <w:name w:val="Comment"/>
    <w:uiPriority w:val="99"/>
    <w:semiHidden/>
    <w:rsid w:val="00DD4B54"/>
    <w:rPr>
      <w:rFonts w:cs="Times New Roman"/>
      <w:vanish/>
    </w:rPr>
  </w:style>
  <w:style w:type="character" w:styleId="HTMLAcronym">
    <w:name w:val="HTML Acronym"/>
    <w:uiPriority w:val="99"/>
    <w:semiHidden/>
    <w:rsid w:val="00DD4B54"/>
    <w:rPr>
      <w:rFonts w:cs="Times New Roman"/>
    </w:rPr>
  </w:style>
  <w:style w:type="character" w:styleId="HTMLCite">
    <w:name w:val="HTML Cite"/>
    <w:uiPriority w:val="99"/>
    <w:semiHidden/>
    <w:rsid w:val="00DD4B54"/>
    <w:rPr>
      <w:rFonts w:cs="Times New Roman"/>
      <w:i/>
      <w:iCs/>
    </w:rPr>
  </w:style>
  <w:style w:type="character" w:styleId="HTMLCode">
    <w:name w:val="HTML Code"/>
    <w:uiPriority w:val="99"/>
    <w:semiHidden/>
    <w:rsid w:val="00DD4B54"/>
    <w:rPr>
      <w:rFonts w:ascii="Courier New" w:hAnsi="Courier New" w:cs="Courier New"/>
      <w:sz w:val="20"/>
      <w:szCs w:val="20"/>
    </w:rPr>
  </w:style>
  <w:style w:type="character" w:styleId="HTMLDefinition">
    <w:name w:val="HTML Definition"/>
    <w:uiPriority w:val="99"/>
    <w:semiHidden/>
    <w:rsid w:val="00DD4B54"/>
    <w:rPr>
      <w:rFonts w:cs="Times New Roman"/>
      <w:i/>
      <w:iCs/>
    </w:rPr>
  </w:style>
  <w:style w:type="character" w:styleId="HTMLKeyboard">
    <w:name w:val="HTML Keyboard"/>
    <w:uiPriority w:val="99"/>
    <w:semiHidden/>
    <w:rsid w:val="00DD4B54"/>
    <w:rPr>
      <w:rFonts w:ascii="Courier New" w:hAnsi="Courier New" w:cs="Courier New"/>
      <w:sz w:val="20"/>
      <w:szCs w:val="20"/>
    </w:rPr>
  </w:style>
  <w:style w:type="character" w:styleId="HTMLSample">
    <w:name w:val="HTML Sample"/>
    <w:uiPriority w:val="99"/>
    <w:semiHidden/>
    <w:rsid w:val="00DD4B54"/>
    <w:rPr>
      <w:rFonts w:ascii="Courier New" w:hAnsi="Courier New" w:cs="Courier New"/>
    </w:rPr>
  </w:style>
  <w:style w:type="character" w:styleId="HTMLTypewriter">
    <w:name w:val="HTML Typewriter"/>
    <w:uiPriority w:val="99"/>
    <w:semiHidden/>
    <w:rsid w:val="00DD4B54"/>
    <w:rPr>
      <w:rFonts w:ascii="Courier New" w:hAnsi="Courier New" w:cs="Courier New"/>
      <w:sz w:val="20"/>
      <w:szCs w:val="20"/>
    </w:rPr>
  </w:style>
  <w:style w:type="character" w:styleId="HTMLVariable">
    <w:name w:val="HTML Variable"/>
    <w:uiPriority w:val="99"/>
    <w:semiHidden/>
    <w:rsid w:val="00DD4B54"/>
    <w:rPr>
      <w:rFonts w:cs="Times New Roman"/>
      <w:i/>
      <w:iCs/>
    </w:rPr>
  </w:style>
  <w:style w:type="character" w:styleId="LineNumber">
    <w:name w:val="line number"/>
    <w:uiPriority w:val="99"/>
    <w:semiHidden/>
    <w:rsid w:val="00DD4B54"/>
    <w:rPr>
      <w:rFonts w:cs="Times New Roman"/>
    </w:rPr>
  </w:style>
  <w:style w:type="paragraph" w:customStyle="1" w:styleId="redherring">
    <w:name w:val="red herring"/>
    <w:basedOn w:val="Normal"/>
    <w:uiPriority w:val="99"/>
    <w:semiHidden/>
    <w:rsid w:val="00DD4B54"/>
    <w:rPr>
      <w:rFonts w:eastAsia="Times New Roman" w:cs="Times New Roman"/>
      <w:color w:val="000000"/>
      <w:sz w:val="14"/>
      <w:szCs w:val="22"/>
    </w:rPr>
  </w:style>
  <w:style w:type="paragraph" w:customStyle="1" w:styleId="OSbullets5indent">
    <w:name w:val="OS bullets .5 indent"/>
    <w:basedOn w:val="Normal"/>
    <w:link w:val="OSbullets5indentChar"/>
    <w:uiPriority w:val="99"/>
    <w:rsid w:val="00DD4B54"/>
    <w:pPr>
      <w:tabs>
        <w:tab w:val="num" w:pos="1440"/>
      </w:tabs>
      <w:spacing w:after="240"/>
      <w:ind w:left="1440" w:hanging="720"/>
    </w:pPr>
    <w:rPr>
      <w:rFonts w:eastAsia="Times New Roman" w:cs="Times New Roman"/>
      <w:color w:val="000000"/>
      <w:szCs w:val="22"/>
    </w:rPr>
  </w:style>
  <w:style w:type="paragraph" w:customStyle="1" w:styleId="StyleHeading2OSHeading2After9pt">
    <w:name w:val="Style Heading 2OS Heading 2 + After:  9 pt"/>
    <w:basedOn w:val="Heading2"/>
    <w:autoRedefine/>
    <w:uiPriority w:val="99"/>
    <w:semiHidden/>
    <w:rsid w:val="00DD4B54"/>
    <w:pPr>
      <w:numPr>
        <w:ilvl w:val="0"/>
        <w:numId w:val="0"/>
      </w:numPr>
      <w:jc w:val="both"/>
    </w:pPr>
    <w:rPr>
      <w:rFonts w:eastAsia="Times New Roman" w:cs="Times New Roman"/>
      <w:iCs/>
      <w:color w:val="000000"/>
      <w:szCs w:val="20"/>
    </w:rPr>
  </w:style>
  <w:style w:type="character" w:customStyle="1" w:styleId="ParaNum">
    <w:name w:val="ParaNum"/>
    <w:uiPriority w:val="99"/>
    <w:semiHidden/>
    <w:rsid w:val="00DD4B54"/>
  </w:style>
  <w:style w:type="character" w:customStyle="1" w:styleId="OSbullets5indentChar">
    <w:name w:val="OS bullets .5 indent Char"/>
    <w:link w:val="OSbullets5indent"/>
    <w:uiPriority w:val="99"/>
    <w:locked/>
    <w:rsid w:val="00DD4B54"/>
    <w:rPr>
      <w:rFonts w:ascii="Times New Roman" w:eastAsia="Times New Roman" w:hAnsi="Times New Roman" w:cs="Times New Roman"/>
      <w:color w:val="000000"/>
    </w:rPr>
  </w:style>
  <w:style w:type="paragraph" w:customStyle="1" w:styleId="OSappendixheading0">
    <w:name w:val="OS appendix heading"/>
    <w:basedOn w:val="Normal"/>
    <w:uiPriority w:val="99"/>
    <w:rsid w:val="00DD4B54"/>
    <w:pPr>
      <w:spacing w:after="240"/>
      <w:jc w:val="center"/>
    </w:pPr>
    <w:rPr>
      <w:rFonts w:eastAsia="SimSun" w:cs="Times New Roman"/>
      <w:b/>
      <w:szCs w:val="22"/>
      <w:lang w:eastAsia="zh-CN"/>
    </w:rPr>
  </w:style>
  <w:style w:type="numbering" w:styleId="111111">
    <w:name w:val="Outline List 2"/>
    <w:basedOn w:val="NoList"/>
    <w:uiPriority w:val="99"/>
    <w:semiHidden/>
    <w:unhideWhenUsed/>
    <w:rsid w:val="00DD4B54"/>
    <w:pPr>
      <w:numPr>
        <w:numId w:val="13"/>
      </w:numPr>
    </w:pPr>
  </w:style>
  <w:style w:type="numbering" w:styleId="1ai">
    <w:name w:val="Outline List 1"/>
    <w:basedOn w:val="NoList"/>
    <w:uiPriority w:val="99"/>
    <w:semiHidden/>
    <w:unhideWhenUsed/>
    <w:rsid w:val="00DD4B54"/>
    <w:pPr>
      <w:numPr>
        <w:numId w:val="14"/>
      </w:numPr>
    </w:pPr>
  </w:style>
  <w:style w:type="paragraph" w:customStyle="1" w:styleId="OSbulletindent">
    <w:name w:val="OS bullet indent"/>
    <w:basedOn w:val="Normal"/>
    <w:qFormat/>
    <w:rsid w:val="00DD4B54"/>
    <w:pPr>
      <w:spacing w:after="210"/>
      <w:ind w:left="1440" w:hanging="720"/>
    </w:pPr>
    <w:rPr>
      <w:rFonts w:eastAsia="SimSun" w:cs="Times New Roman"/>
      <w:szCs w:val="20"/>
      <w:lang w:eastAsia="zh-CN"/>
    </w:rPr>
  </w:style>
  <w:style w:type="character" w:customStyle="1" w:styleId="BodyText5Char">
    <w:name w:val="* Body Text .5 Char"/>
    <w:link w:val="BodyText5"/>
    <w:locked/>
    <w:rsid w:val="00DD4B54"/>
  </w:style>
  <w:style w:type="paragraph" w:customStyle="1" w:styleId="BodyText5">
    <w:name w:val="* Body Text .5"/>
    <w:basedOn w:val="Normal"/>
    <w:link w:val="BodyText5Char"/>
    <w:rsid w:val="00DD4B54"/>
    <w:pPr>
      <w:spacing w:after="240"/>
      <w:ind w:left="-360" w:right="-360" w:firstLine="720"/>
    </w:pPr>
    <w:rPr>
      <w:rFonts w:asciiTheme="minorHAnsi" w:hAnsiTheme="minorHAnsi"/>
      <w:szCs w:val="22"/>
    </w:rPr>
  </w:style>
  <w:style w:type="paragraph" w:customStyle="1" w:styleId="BodyText05">
    <w:name w:val="Body Text 0.5"/>
    <w:basedOn w:val="Normal"/>
    <w:rsid w:val="00DD4B54"/>
    <w:pPr>
      <w:spacing w:before="240"/>
      <w:ind w:firstLine="720"/>
    </w:pPr>
    <w:rPr>
      <w:rFonts w:eastAsia="Times New Roman" w:cs="Times New Roman"/>
      <w:szCs w:val="24"/>
    </w:rPr>
  </w:style>
  <w:style w:type="paragraph" w:customStyle="1" w:styleId="OSbody0">
    <w:name w:val="* OS body"/>
    <w:basedOn w:val="Normal"/>
    <w:link w:val="OSbodyCharChar"/>
    <w:rsid w:val="00DD4B54"/>
    <w:pPr>
      <w:spacing w:after="240"/>
      <w:ind w:firstLine="720"/>
    </w:pPr>
    <w:rPr>
      <w:rFonts w:eastAsia="Times New Roman" w:cs="Times New Roman"/>
      <w:szCs w:val="22"/>
    </w:rPr>
  </w:style>
  <w:style w:type="character" w:customStyle="1" w:styleId="OSbodyCharChar">
    <w:name w:val="* OS body Char Char"/>
    <w:link w:val="OSbody0"/>
    <w:rsid w:val="00DD4B54"/>
    <w:rPr>
      <w:rFonts w:ascii="Times New Roman" w:eastAsia="Times New Roman" w:hAnsi="Times New Roman" w:cs="Times New Roman"/>
    </w:rPr>
  </w:style>
  <w:style w:type="paragraph" w:customStyle="1" w:styleId="ArticleL3">
    <w:name w:val="Article_L3"/>
    <w:basedOn w:val="Normal"/>
    <w:next w:val="Normal"/>
    <w:uiPriority w:val="99"/>
    <w:semiHidden/>
    <w:rsid w:val="00DD4B54"/>
    <w:pPr>
      <w:numPr>
        <w:ilvl w:val="2"/>
        <w:numId w:val="16"/>
      </w:numPr>
      <w:outlineLvl w:val="2"/>
    </w:pPr>
    <w:rPr>
      <w:rFonts w:eastAsia="Times New Roman" w:cs="Times New Roman"/>
      <w:szCs w:val="20"/>
    </w:rPr>
  </w:style>
  <w:style w:type="table" w:customStyle="1" w:styleId="TableGrid30">
    <w:name w:val="Table Grid3"/>
    <w:basedOn w:val="TableNormal"/>
    <w:next w:val="TableGrid"/>
    <w:uiPriority w:val="59"/>
    <w:rsid w:val="00D11B62"/>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uiPriority w:val="59"/>
    <w:rsid w:val="00BF5AE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
    <w:basedOn w:val="TableNormal"/>
    <w:next w:val="TableGrid"/>
    <w:uiPriority w:val="59"/>
    <w:rsid w:val="00715E8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59"/>
    <w:rsid w:val="00A8641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uiPriority w:val="99"/>
    <w:rsid w:val="008B041E"/>
    <w:rPr>
      <w:color w:val="0000FF"/>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13" Type="http://schemas.openxmlformats.org/officeDocument/2006/relationships/footer" Target="footer3.xml" />
  <Relationship Id="rId18" Type="http://schemas.openxmlformats.org/officeDocument/2006/relationships/header" Target="header5.xml" />
  <Relationship Id="rId26" Type="http://schemas.openxmlformats.org/officeDocument/2006/relationships/footer" Target="footer14.xml" />
  <Relationship Id="rId39" Type="http://schemas.openxmlformats.org/officeDocument/2006/relationships/footer" Target="footer27.xml" />
  <Relationship Id="rId3" Type="http://schemas.openxmlformats.org/officeDocument/2006/relationships/styles" Target="styles.xml" />
  <Relationship Id="rId21" Type="http://schemas.openxmlformats.org/officeDocument/2006/relationships/footer" Target="footer9.xml" />
  <Relationship Id="rId34" Type="http://schemas.openxmlformats.org/officeDocument/2006/relationships/footer" Target="footer22.xml" />
  <Relationship Id="rId42" Type="http://schemas.openxmlformats.org/officeDocument/2006/relationships/footer" Target="footer30.xml" />
  <Relationship Id="rId47" Type="http://schemas.openxmlformats.org/officeDocument/2006/relationships/footer" Target="footer34.xml" />
  <Relationship Id="rId50" Type="http://schemas.openxmlformats.org/officeDocument/2006/relationships/footer" Target="footer37.xml" />
  <Relationship Id="rId7" Type="http://schemas.openxmlformats.org/officeDocument/2006/relationships/endnotes" Target="endnotes.xml" />
  <Relationship Id="rId12" Type="http://schemas.openxmlformats.org/officeDocument/2006/relationships/header" Target="header3.xml" />
  <Relationship Id="rId17" Type="http://schemas.openxmlformats.org/officeDocument/2006/relationships/footer" Target="footer6.xml" />
  <Relationship Id="rId25" Type="http://schemas.openxmlformats.org/officeDocument/2006/relationships/footer" Target="footer13.xml" />
  <Relationship Id="rId33" Type="http://schemas.openxmlformats.org/officeDocument/2006/relationships/footer" Target="footer21.xml" />
  <Relationship Id="rId38" Type="http://schemas.openxmlformats.org/officeDocument/2006/relationships/footer" Target="footer26.xml" />
  <Relationship Id="rId46" Type="http://schemas.openxmlformats.org/officeDocument/2006/relationships/footer" Target="footer33.xml" />
  <Relationship Id="rId2" Type="http://schemas.openxmlformats.org/officeDocument/2006/relationships/numbering" Target="numbering.xml" />
  <Relationship Id="rId16" Type="http://schemas.openxmlformats.org/officeDocument/2006/relationships/footer" Target="footer5.xml" />
  <Relationship Id="rId20" Type="http://schemas.openxmlformats.org/officeDocument/2006/relationships/footer" Target="footer8.xml" />
  <Relationship Id="rId29" Type="http://schemas.openxmlformats.org/officeDocument/2006/relationships/footer" Target="footer17.xml" />
  <Relationship Id="rId41" Type="http://schemas.openxmlformats.org/officeDocument/2006/relationships/footer" Target="footer29.xml" />
  <Relationship Id="rId54" Type="http://schemas.openxmlformats.org/officeDocument/2006/relationships/theme" Target="theme/theme1.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2.xml" />
  <Relationship Id="rId24" Type="http://schemas.openxmlformats.org/officeDocument/2006/relationships/footer" Target="footer12.xml" />
  <Relationship Id="rId32" Type="http://schemas.openxmlformats.org/officeDocument/2006/relationships/footer" Target="footer20.xml" />
  <Relationship Id="rId37" Type="http://schemas.openxmlformats.org/officeDocument/2006/relationships/footer" Target="footer25.xml" />
  <Relationship Id="rId40" Type="http://schemas.openxmlformats.org/officeDocument/2006/relationships/footer" Target="footer28.xml" />
  <Relationship Id="rId45" Type="http://schemas.openxmlformats.org/officeDocument/2006/relationships/footer" Target="footer32.xml" />
  <Relationship Id="rId53" Type="http://schemas.openxmlformats.org/officeDocument/2006/relationships/fontTable" Target="fontTable.xml" />
  <Relationship Id="rId5" Type="http://schemas.openxmlformats.org/officeDocument/2006/relationships/webSettings" Target="webSettings.xml" />
  <Relationship Id="rId15" Type="http://schemas.openxmlformats.org/officeDocument/2006/relationships/header" Target="header4.xml" />
  <Relationship Id="rId23" Type="http://schemas.openxmlformats.org/officeDocument/2006/relationships/footer" Target="footer11.xml" />
  <Relationship Id="rId28" Type="http://schemas.openxmlformats.org/officeDocument/2006/relationships/footer" Target="footer16.xml" />
  <Relationship Id="rId36" Type="http://schemas.openxmlformats.org/officeDocument/2006/relationships/footer" Target="footer24.xml" />
  <Relationship Id="rId49" Type="http://schemas.openxmlformats.org/officeDocument/2006/relationships/footer" Target="footer36.xml" />
  <Relationship Id="rId10" Type="http://schemas.openxmlformats.org/officeDocument/2006/relationships/footer" Target="footer1.xml" />
  <Relationship Id="rId19" Type="http://schemas.openxmlformats.org/officeDocument/2006/relationships/footer" Target="footer7.xml" />
  <Relationship Id="rId31" Type="http://schemas.openxmlformats.org/officeDocument/2006/relationships/footer" Target="footer19.xml" />
  <Relationship Id="rId44" Type="http://schemas.openxmlformats.org/officeDocument/2006/relationships/image" Target="media/image1.jpeg" />
  <Relationship Id="rId52" Type="http://schemas.openxmlformats.org/officeDocument/2006/relationships/footer" Target="footer39.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oter" Target="footer4.xml" />
  <Relationship Id="rId22" Type="http://schemas.openxmlformats.org/officeDocument/2006/relationships/footer" Target="footer10.xml" />
  <Relationship Id="rId27" Type="http://schemas.openxmlformats.org/officeDocument/2006/relationships/footer" Target="footer15.xml" />
  <Relationship Id="rId30" Type="http://schemas.openxmlformats.org/officeDocument/2006/relationships/footer" Target="footer18.xml" />
  <Relationship Id="rId35" Type="http://schemas.openxmlformats.org/officeDocument/2006/relationships/footer" Target="footer23.xml" />
  <Relationship Id="rId43" Type="http://schemas.openxmlformats.org/officeDocument/2006/relationships/footer" Target="footer31.xml" />
  <Relationship Id="rId48" Type="http://schemas.openxmlformats.org/officeDocument/2006/relationships/footer" Target="footer35.xml" />
  <Relationship Id="rId8" Type="http://schemas.openxmlformats.org/officeDocument/2006/relationships/header" Target="header1.xml" />
  <Relationship Id="rId51" Type="http://schemas.openxmlformats.org/officeDocument/2006/relationships/footer" Target="footer38.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3977E-3B17-4193-A2FE-BB08C737E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2</Pages>
  <Words>63322</Words>
  <Characters>344900</Characters>
  <Application>Microsoft Office Word</Application>
  <DocSecurity>0</DocSecurity>
  <Lines>8412</Lines>
  <Paragraphs>4291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406246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DocIDContent">
    <vt:lpwstr>1|.|2|</vt:lpwstr>
  </property>
  <property fmtid="{D5CDD505-2E9C-101B-9397-08002B2CF9AE}" pid="3" name="DocID">
    <vt:lpwstr>52546360.1</vt:lpwstr>
  </property>
</Properties>
</file>