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4769" w14:textId="79CE3C82" w:rsidR="00807380" w:rsidRPr="006378D0" w:rsidRDefault="00807380" w:rsidP="00807380">
      <w:pPr>
        <w:pStyle w:val="Heading1"/>
        <w:jc w:val="center"/>
        <w:rPr>
          <w:b/>
          <w:bCs/>
        </w:rPr>
      </w:pPr>
      <w:r>
        <w:rPr>
          <w:b/>
          <w:bCs/>
        </w:rPr>
        <w:t>Board Action: All</w:t>
      </w:r>
      <w:r w:rsidR="00F97F8D">
        <w:rPr>
          <w:b/>
          <w:bCs/>
        </w:rPr>
        <w:t>ocation of State Funds for Second</w:t>
      </w:r>
      <w:r>
        <w:rPr>
          <w:b/>
          <w:bCs/>
        </w:rPr>
        <w:t xml:space="preserve"> Tranche CLIMBER </w:t>
      </w:r>
    </w:p>
    <w:p w14:paraId="2C6E4B42" w14:textId="3D599ED3" w:rsidR="00807380" w:rsidRDefault="00807380" w:rsidP="00807380">
      <w:pPr>
        <w:rPr>
          <w:b/>
          <w:bCs/>
          <w:color w:val="002060"/>
          <w:sz w:val="28"/>
          <w:szCs w:val="28"/>
        </w:rPr>
      </w:pPr>
    </w:p>
    <w:p w14:paraId="322ECC36" w14:textId="77777777" w:rsidR="008263E3" w:rsidRDefault="008263E3" w:rsidP="00807380">
      <w:pPr>
        <w:rPr>
          <w:b/>
          <w:bCs/>
          <w:color w:val="002060"/>
          <w:sz w:val="28"/>
          <w:szCs w:val="28"/>
        </w:rPr>
      </w:pPr>
    </w:p>
    <w:p w14:paraId="1E49DABA" w14:textId="77777777" w:rsidR="00807380" w:rsidRDefault="00807380" w:rsidP="00807380">
      <w:r>
        <w:rPr>
          <w:rStyle w:val="Heading2Char"/>
        </w:rPr>
        <w:t>Background</w:t>
      </w:r>
      <w:r w:rsidRPr="00F33BE4">
        <w:t>:</w:t>
      </w:r>
    </w:p>
    <w:p w14:paraId="1258CA72" w14:textId="3DE41D8A" w:rsidR="00807380" w:rsidRDefault="00807380" w:rsidP="00807380">
      <w:r>
        <w:t>The CLIMBER Fund</w:t>
      </w:r>
      <w:r w:rsidR="00BC13DF">
        <w:t>r</w:t>
      </w:r>
      <w:r>
        <w:t xml:space="preserve">aising Committee has successfully raised the private capital necessary for the statutorily required match between State and private contributions (1:4). The State’s statutory maximum for first-loss capital in any single tranche is $10 million. </w:t>
      </w:r>
    </w:p>
    <w:p w14:paraId="63DC3B8D" w14:textId="0EDA2BD7" w:rsidR="00807380" w:rsidRDefault="00807380" w:rsidP="00807380"/>
    <w:p w14:paraId="46CD2B77" w14:textId="5693ACB5" w:rsidR="00807380" w:rsidRDefault="004F70A1" w:rsidP="00807380">
      <w:r>
        <w:rPr>
          <w:rStyle w:val="Heading2Char"/>
        </w:rPr>
        <w:t xml:space="preserve">Tranche </w:t>
      </w:r>
      <w:proofErr w:type="gramStart"/>
      <w:r>
        <w:rPr>
          <w:rStyle w:val="Heading2Char"/>
        </w:rPr>
        <w:t>Two</w:t>
      </w:r>
      <w:proofErr w:type="gramEnd"/>
      <w:r w:rsidR="00807380" w:rsidRPr="00807380">
        <w:rPr>
          <w:rStyle w:val="Heading2Char"/>
        </w:rPr>
        <w:t xml:space="preserve"> Summary</w:t>
      </w:r>
    </w:p>
    <w:p w14:paraId="51E784CB" w14:textId="705A4F92" w:rsidR="00807380" w:rsidRDefault="00807380" w:rsidP="00807380">
      <w:r>
        <w:t>Below is a summary of the small busin</w:t>
      </w:r>
      <w:r w:rsidR="004F70A1">
        <w:t xml:space="preserve">ess loan capital for tranche </w:t>
      </w:r>
      <w:proofErr w:type="gramStart"/>
      <w:r w:rsidR="004F70A1">
        <w:t>Two</w:t>
      </w:r>
      <w:proofErr w:type="gramEnd"/>
      <w:r>
        <w:t xml:space="preserve"> of the CLIMBER program. </w:t>
      </w:r>
    </w:p>
    <w:p w14:paraId="4F83EA29" w14:textId="0ABCBF5F" w:rsidR="00807380" w:rsidRDefault="00807380" w:rsidP="00807380"/>
    <w:p w14:paraId="1EE10567" w14:textId="30356051" w:rsidR="00807380" w:rsidRDefault="00807380" w:rsidP="00807380">
      <w:pPr>
        <w:ind w:left="720"/>
        <w:rPr>
          <w:b/>
          <w:bCs/>
        </w:rPr>
      </w:pPr>
      <w:r>
        <w:t>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40A8" wp14:editId="4511ED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2700" t="12700" r="1778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D934EF1" w14:textId="22CD617D" w:rsidR="00807380" w:rsidRPr="006D049B" w:rsidRDefault="00F97F8D" w:rsidP="006D049B">
                            <w:pPr>
                              <w:ind w:left="720"/>
                            </w:pPr>
                            <w:r>
                              <w:rPr>
                                <w:b/>
                                <w:bCs/>
                              </w:rPr>
                              <w:t>CLIMBER Tranche Two</w:t>
                            </w:r>
                            <w:r w:rsidR="00807380" w:rsidRPr="00807380">
                              <w:rPr>
                                <w:b/>
                                <w:bCs/>
                              </w:rPr>
                              <w:t>: Total Small Business Lending Capital=</w:t>
                            </w:r>
                            <w:r>
                              <w:rPr>
                                <w:b/>
                                <w:bCs/>
                              </w:rPr>
                              <w:t>$15,000,000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E40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" filled="f" strokecolor="#4472c4 [3204]" strokeweight="1.5pt">
                <v:textbox style="mso-fit-shape-to-text:t">
                  <w:txbxContent>
                    <w:p w14:paraId="6D934EF1" w14:textId="22CD617D" w:rsidR="00807380" w:rsidRPr="006D049B" w:rsidRDefault="00F97F8D" w:rsidP="006D049B">
                      <w:pPr>
                        <w:ind w:left="720"/>
                      </w:pPr>
                      <w:r>
                        <w:rPr>
                          <w:b/>
                          <w:bCs/>
                        </w:rPr>
                        <w:t>CLIMBER Tranche Two</w:t>
                      </w:r>
                      <w:r w:rsidR="00807380" w:rsidRPr="00807380">
                        <w:rPr>
                          <w:b/>
                          <w:bCs/>
                        </w:rPr>
                        <w:t>: Total Small Business Lending Capital=</w:t>
                      </w:r>
                      <w:r>
                        <w:rPr>
                          <w:b/>
                          <w:bCs/>
                        </w:rPr>
                        <w:t>$15,000,000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4CC15" w14:textId="77777777" w:rsidR="00807380" w:rsidRDefault="00807380" w:rsidP="00807380">
      <w:pPr>
        <w:ind w:left="720"/>
      </w:pPr>
    </w:p>
    <w:p w14:paraId="1172FEC6" w14:textId="372B9ADE" w:rsidR="00807380" w:rsidRPr="00807380" w:rsidRDefault="00807380" w:rsidP="00807380">
      <w:pPr>
        <w:pStyle w:val="ListParagraph"/>
        <w:numPr>
          <w:ilvl w:val="0"/>
          <w:numId w:val="4"/>
        </w:numPr>
      </w:pPr>
      <w:r w:rsidRPr="00807380">
        <w:rPr>
          <w:i/>
          <w:iCs/>
          <w:u w:val="single"/>
        </w:rPr>
        <w:t>Loan Participation Tool and Direct Lending Capital for CDFIs Tool</w:t>
      </w:r>
      <w:r w:rsidRPr="00807380">
        <w:t xml:space="preserve">: These two CLIMBER tools use capital provided by a combination of the State and outside CLIMBER fund contributors. For loan participations, the fund purchases 80% of CLIMBER loans. For Direct Lending Capital, the fund provides lending capital to </w:t>
      </w:r>
      <w:proofErr w:type="gramStart"/>
      <w:r w:rsidRPr="00807380">
        <w:t>CDFI’s</w:t>
      </w:r>
      <w:proofErr w:type="gramEnd"/>
      <w:r w:rsidRPr="00807380">
        <w:t xml:space="preserve"> to originate CLIMBER loans. The State always has 20% in a first loss position.</w:t>
      </w:r>
    </w:p>
    <w:p w14:paraId="03A4B405" w14:textId="77777777" w:rsidR="00807380" w:rsidRPr="00807380" w:rsidRDefault="00807380" w:rsidP="00807380">
      <w:r w:rsidRPr="00807380">
        <w:t> </w:t>
      </w:r>
    </w:p>
    <w:tbl>
      <w:tblPr>
        <w:tblStyle w:val="PlainTable4"/>
        <w:tblW w:w="8388" w:type="dxa"/>
        <w:tblInd w:w="1332" w:type="dxa"/>
        <w:tblLook w:val="04A0" w:firstRow="1" w:lastRow="0" w:firstColumn="1" w:lastColumn="0" w:noHBand="0" w:noVBand="1"/>
      </w:tblPr>
      <w:tblGrid>
        <w:gridCol w:w="2718"/>
        <w:gridCol w:w="2947"/>
        <w:gridCol w:w="2723"/>
      </w:tblGrid>
      <w:tr w:rsidR="00807380" w:rsidRPr="00807380" w14:paraId="05D03D90" w14:textId="77777777" w:rsidTr="00BC4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hideMark/>
          </w:tcPr>
          <w:p w14:paraId="609ADF3C" w14:textId="77777777" w:rsidR="00807380" w:rsidRPr="00807380" w:rsidRDefault="00807380" w:rsidP="00807380">
            <w:pPr>
              <w:jc w:val="right"/>
            </w:pPr>
            <w:r w:rsidRPr="00807380">
              <w:rPr>
                <w:i/>
                <w:iCs/>
              </w:rPr>
              <w:t>Contributor</w:t>
            </w:r>
          </w:p>
        </w:tc>
        <w:tc>
          <w:tcPr>
            <w:tcW w:w="2947" w:type="dxa"/>
            <w:hideMark/>
          </w:tcPr>
          <w:p w14:paraId="3072DC36" w14:textId="77777777" w:rsidR="00807380" w:rsidRPr="00807380" w:rsidRDefault="00807380" w:rsidP="00807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7380">
              <w:rPr>
                <w:i/>
                <w:iCs/>
              </w:rPr>
              <w:t>Amount</w:t>
            </w:r>
          </w:p>
        </w:tc>
        <w:tc>
          <w:tcPr>
            <w:tcW w:w="2723" w:type="dxa"/>
            <w:hideMark/>
          </w:tcPr>
          <w:p w14:paraId="4176CE2C" w14:textId="77777777" w:rsidR="00807380" w:rsidRPr="00807380" w:rsidRDefault="00807380" w:rsidP="00807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7380">
              <w:rPr>
                <w:i/>
                <w:iCs/>
              </w:rPr>
              <w:t> </w:t>
            </w:r>
          </w:p>
        </w:tc>
      </w:tr>
      <w:tr w:rsidR="00807380" w:rsidRPr="00807380" w14:paraId="4C119568" w14:textId="77777777" w:rsidTr="00BC4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hideMark/>
          </w:tcPr>
          <w:p w14:paraId="20D66D0B" w14:textId="6D2B1C00" w:rsidR="00807380" w:rsidRPr="00807380" w:rsidRDefault="00BC488C" w:rsidP="00807380">
            <w:pPr>
              <w:jc w:val="righ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Wells Fargo</w:t>
            </w:r>
          </w:p>
        </w:tc>
        <w:tc>
          <w:tcPr>
            <w:tcW w:w="2947" w:type="dxa"/>
            <w:hideMark/>
          </w:tcPr>
          <w:p w14:paraId="5D220D85" w14:textId="4E076C68" w:rsidR="00807380" w:rsidRPr="00807380" w:rsidRDefault="00807380" w:rsidP="00F9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80">
              <w:t>$</w:t>
            </w:r>
            <w:r w:rsidR="00BC488C">
              <w:t>5</w:t>
            </w:r>
            <w:r w:rsidR="00F97F8D">
              <w:t>,000</w:t>
            </w:r>
            <w:r w:rsidRPr="00807380">
              <w:t>,000</w:t>
            </w:r>
          </w:p>
        </w:tc>
        <w:tc>
          <w:tcPr>
            <w:tcW w:w="2723" w:type="dxa"/>
            <w:hideMark/>
          </w:tcPr>
          <w:p w14:paraId="7E6D8EF0" w14:textId="7F81DC80" w:rsidR="00807380" w:rsidRPr="00807380" w:rsidRDefault="00807380" w:rsidP="00807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7F8D" w:rsidRPr="00807380" w14:paraId="1D1E3646" w14:textId="77777777" w:rsidTr="00BC4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hideMark/>
          </w:tcPr>
          <w:p w14:paraId="7B68F04E" w14:textId="7B08042B" w:rsidR="00F97F8D" w:rsidRPr="00807380" w:rsidRDefault="00F97F8D" w:rsidP="00807380">
            <w:pPr>
              <w:jc w:val="right"/>
              <w:rPr>
                <w:b w:val="0"/>
                <w:bCs w:val="0"/>
                <w:i/>
                <w:iCs/>
              </w:rPr>
            </w:pPr>
            <w:r w:rsidRPr="00807380">
              <w:rPr>
                <w:b w:val="0"/>
                <w:bCs w:val="0"/>
                <w:i/>
                <w:iCs/>
              </w:rPr>
              <w:t>Northern Trust</w:t>
            </w:r>
          </w:p>
        </w:tc>
        <w:tc>
          <w:tcPr>
            <w:tcW w:w="2947" w:type="dxa"/>
            <w:hideMark/>
          </w:tcPr>
          <w:p w14:paraId="03D7ED5B" w14:textId="4E059A2C" w:rsidR="00F97F8D" w:rsidRPr="00807380" w:rsidRDefault="00F97F8D" w:rsidP="00807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</w:t>
            </w:r>
            <w:r w:rsidRPr="00807380">
              <w:t>,000,000</w:t>
            </w:r>
          </w:p>
        </w:tc>
        <w:tc>
          <w:tcPr>
            <w:tcW w:w="2723" w:type="dxa"/>
            <w:hideMark/>
          </w:tcPr>
          <w:p w14:paraId="0DB969D8" w14:textId="77777777" w:rsidR="00F97F8D" w:rsidRPr="00807380" w:rsidRDefault="00F97F8D" w:rsidP="00807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80">
              <w:t> </w:t>
            </w:r>
          </w:p>
        </w:tc>
      </w:tr>
      <w:tr w:rsidR="00F97F8D" w:rsidRPr="00807380" w14:paraId="59B2F5F2" w14:textId="77777777" w:rsidTr="00BC4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hideMark/>
          </w:tcPr>
          <w:p w14:paraId="2B14D4C0" w14:textId="6F3897C4" w:rsidR="00F97F8D" w:rsidRPr="00807380" w:rsidRDefault="00BC488C" w:rsidP="00807380">
            <w:pPr>
              <w:jc w:val="righ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State of Colorado</w:t>
            </w:r>
          </w:p>
        </w:tc>
        <w:tc>
          <w:tcPr>
            <w:tcW w:w="2947" w:type="dxa"/>
            <w:hideMark/>
          </w:tcPr>
          <w:p w14:paraId="5932A1DD" w14:textId="699E8E18" w:rsidR="00F97F8D" w:rsidRPr="00807380" w:rsidRDefault="00BC488C" w:rsidP="00807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$3,0</w:t>
            </w:r>
            <w:r w:rsidR="00F97F8D" w:rsidRPr="00807380">
              <w:t>00,000</w:t>
            </w:r>
          </w:p>
        </w:tc>
        <w:tc>
          <w:tcPr>
            <w:tcW w:w="2723" w:type="dxa"/>
            <w:hideMark/>
          </w:tcPr>
          <w:p w14:paraId="06788C81" w14:textId="03E11394" w:rsidR="00F97F8D" w:rsidRPr="00807380" w:rsidRDefault="00F97F8D" w:rsidP="00807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80">
              <w:t> </w:t>
            </w:r>
            <w:r w:rsidR="00BC488C">
              <w:t>20% of First Loss, Total</w:t>
            </w:r>
          </w:p>
        </w:tc>
      </w:tr>
      <w:tr w:rsidR="00F97F8D" w:rsidRPr="00807380" w14:paraId="49456E70" w14:textId="77777777" w:rsidTr="00BC4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hideMark/>
          </w:tcPr>
          <w:p w14:paraId="419230E3" w14:textId="7ECF81A0" w:rsidR="00F97F8D" w:rsidRPr="00807380" w:rsidRDefault="00BC488C" w:rsidP="00807380">
            <w:pPr>
              <w:jc w:val="righ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FNBO</w:t>
            </w:r>
          </w:p>
        </w:tc>
        <w:tc>
          <w:tcPr>
            <w:tcW w:w="2947" w:type="dxa"/>
            <w:hideMark/>
          </w:tcPr>
          <w:p w14:paraId="206A447E" w14:textId="14FEDE40" w:rsidR="00F97F8D" w:rsidRPr="00807380" w:rsidRDefault="00BC488C" w:rsidP="00807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$2,5</w:t>
            </w:r>
            <w:r w:rsidR="00F97F8D" w:rsidRPr="00807380">
              <w:t>00,000</w:t>
            </w:r>
          </w:p>
        </w:tc>
        <w:tc>
          <w:tcPr>
            <w:tcW w:w="2723" w:type="dxa"/>
            <w:hideMark/>
          </w:tcPr>
          <w:p w14:paraId="27D248F4" w14:textId="77777777" w:rsidR="00F97F8D" w:rsidRPr="00807380" w:rsidRDefault="00F97F8D" w:rsidP="00807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80">
              <w:t> </w:t>
            </w:r>
          </w:p>
        </w:tc>
      </w:tr>
      <w:tr w:rsidR="00F97F8D" w:rsidRPr="00807380" w14:paraId="10BBB9A2" w14:textId="77777777" w:rsidTr="00BC4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hideMark/>
          </w:tcPr>
          <w:p w14:paraId="07AAA891" w14:textId="13DE65D5" w:rsidR="00F97F8D" w:rsidRPr="00807380" w:rsidRDefault="00BC488C" w:rsidP="00807380">
            <w:pPr>
              <w:jc w:val="righ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SSBCI</w:t>
            </w:r>
          </w:p>
        </w:tc>
        <w:tc>
          <w:tcPr>
            <w:tcW w:w="2947" w:type="dxa"/>
            <w:hideMark/>
          </w:tcPr>
          <w:p w14:paraId="3911690A" w14:textId="3FD85193" w:rsidR="00F97F8D" w:rsidRPr="00807380" w:rsidRDefault="00BC488C" w:rsidP="00807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="00F97F8D" w:rsidRPr="00807380">
              <w:t>,500,000</w:t>
            </w:r>
          </w:p>
        </w:tc>
        <w:tc>
          <w:tcPr>
            <w:tcW w:w="2723" w:type="dxa"/>
            <w:hideMark/>
          </w:tcPr>
          <w:p w14:paraId="6BF77E78" w14:textId="77777777" w:rsidR="00F97F8D" w:rsidRPr="00807380" w:rsidRDefault="00F97F8D" w:rsidP="00807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80">
              <w:t> </w:t>
            </w:r>
          </w:p>
        </w:tc>
      </w:tr>
      <w:tr w:rsidR="00F97F8D" w:rsidRPr="00807380" w14:paraId="4833876E" w14:textId="77777777" w:rsidTr="00BC4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hideMark/>
          </w:tcPr>
          <w:p w14:paraId="0CCD2F08" w14:textId="5ADD7782" w:rsidR="00F97F8D" w:rsidRPr="00807380" w:rsidRDefault="00F97F8D" w:rsidP="00807380">
            <w:pPr>
              <w:jc w:val="right"/>
              <w:rPr>
                <w:b w:val="0"/>
                <w:bCs w:val="0"/>
                <w:i/>
                <w:iCs/>
              </w:rPr>
            </w:pPr>
            <w:r w:rsidRPr="00807380">
              <w:rPr>
                <w:i/>
                <w:iCs/>
              </w:rPr>
              <w:t>Total </w:t>
            </w:r>
          </w:p>
        </w:tc>
        <w:tc>
          <w:tcPr>
            <w:tcW w:w="2947" w:type="dxa"/>
            <w:hideMark/>
          </w:tcPr>
          <w:p w14:paraId="3691FBB5" w14:textId="379B2067" w:rsidR="00F97F8D" w:rsidRPr="00807380" w:rsidRDefault="00F97F8D" w:rsidP="00F9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80">
              <w:rPr>
                <w:b/>
                <w:bCs/>
              </w:rPr>
              <w:t>$</w:t>
            </w:r>
            <w:r>
              <w:rPr>
                <w:b/>
                <w:bCs/>
              </w:rPr>
              <w:t>15,000,000</w:t>
            </w:r>
          </w:p>
        </w:tc>
        <w:tc>
          <w:tcPr>
            <w:tcW w:w="2723" w:type="dxa"/>
            <w:hideMark/>
          </w:tcPr>
          <w:p w14:paraId="19721244" w14:textId="77777777" w:rsidR="00F97F8D" w:rsidRPr="00807380" w:rsidRDefault="00F97F8D" w:rsidP="00807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380">
              <w:t> </w:t>
            </w:r>
          </w:p>
        </w:tc>
      </w:tr>
      <w:tr w:rsidR="00F97F8D" w:rsidRPr="00807380" w14:paraId="2A270759" w14:textId="77777777" w:rsidTr="00BC4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7BDF60CC" w14:textId="2A53C697" w:rsidR="00F97F8D" w:rsidRPr="00807380" w:rsidRDefault="00F97F8D" w:rsidP="00807380">
            <w:pPr>
              <w:jc w:val="right"/>
            </w:pPr>
          </w:p>
        </w:tc>
        <w:tc>
          <w:tcPr>
            <w:tcW w:w="2947" w:type="dxa"/>
          </w:tcPr>
          <w:p w14:paraId="43916A25" w14:textId="68F21670" w:rsidR="00F97F8D" w:rsidRPr="00807380" w:rsidRDefault="00F97F8D" w:rsidP="00807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3" w:type="dxa"/>
            <w:hideMark/>
          </w:tcPr>
          <w:p w14:paraId="3CA1E6FB" w14:textId="77777777" w:rsidR="00F97F8D" w:rsidRPr="00807380" w:rsidRDefault="00F97F8D" w:rsidP="00807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380">
              <w:t> </w:t>
            </w:r>
          </w:p>
        </w:tc>
      </w:tr>
    </w:tbl>
    <w:p w14:paraId="4B051BF1" w14:textId="25E6574B" w:rsidR="00807380" w:rsidRDefault="00807380" w:rsidP="00807380"/>
    <w:bookmarkStart w:id="0" w:name="_GoBack"/>
    <w:bookmarkEnd w:id="0"/>
    <w:p w14:paraId="09C92E7E" w14:textId="17B1B52A" w:rsidR="00BC13DF" w:rsidRDefault="00BC13DF" w:rsidP="008073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CD554" wp14:editId="2A25E54E">
                <wp:simplePos x="0" y="0"/>
                <wp:positionH relativeFrom="column">
                  <wp:posOffset>27940</wp:posOffset>
                </wp:positionH>
                <wp:positionV relativeFrom="paragraph">
                  <wp:posOffset>385445</wp:posOffset>
                </wp:positionV>
                <wp:extent cx="5934075" cy="153352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533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36518EE" w14:textId="77777777" w:rsidR="00BC13DF" w:rsidRDefault="00BC13DF" w:rsidP="00BC13DF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 w:rsidRPr="00BC13DF">
                              <w:rPr>
                                <w:rStyle w:val="Heading2Char"/>
                                <w:b/>
                                <w:bCs/>
                              </w:rPr>
                              <w:t>Board Action</w:t>
                            </w:r>
                          </w:p>
                          <w:p w14:paraId="087A509C" w14:textId="77777777" w:rsidR="00BC13DF" w:rsidRPr="00BC13DF" w:rsidRDefault="00BC13DF" w:rsidP="00BC13DF"/>
                          <w:p w14:paraId="577324BF" w14:textId="3EA4696E" w:rsidR="00BC13DF" w:rsidRDefault="00BC13DF" w:rsidP="00807380">
                            <w:r w:rsidRPr="00BC13D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The Board hereby allocates </w:t>
                            </w:r>
                            <w:r w:rsidR="00F97F8D">
                              <w:rPr>
                                <w:b/>
                                <w:bCs/>
                                <w:i/>
                                <w:iCs/>
                              </w:rPr>
                              <w:t>$3,000</w:t>
                            </w:r>
                            <w:r w:rsidRPr="00BC13DF">
                              <w:rPr>
                                <w:b/>
                                <w:bCs/>
                                <w:i/>
                                <w:iCs/>
                              </w:rPr>
                              <w:t>,000</w:t>
                            </w:r>
                            <w:r>
                              <w:t xml:space="preserve"> to CHFA, as Loan Program Manager, to </w:t>
                            </w:r>
                            <w:proofErr w:type="gramStart"/>
                            <w:r>
                              <w:t>be used</w:t>
                            </w:r>
                            <w:proofErr w:type="gramEnd"/>
                            <w:r>
                              <w:t xml:space="preserve"> as first loss capital for the Participation and Direct Lending Capital CLIMBER tools, to be used in accordance with policies previously adopted by the Board.</w:t>
                            </w:r>
                          </w:p>
                          <w:p w14:paraId="1B35B37B" w14:textId="5F652AE7" w:rsidR="00BC13DF" w:rsidRDefault="00BC13DF"/>
                          <w:p w14:paraId="26094130" w14:textId="77777777" w:rsidR="00BC13DF" w:rsidRPr="004C6CAF" w:rsidRDefault="00BC13DF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CD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2pt;margin-top:30.35pt;width:467.2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" filled="f" strokecolor="#4472c4 [3204]" strokeweight="1.5pt">
                <v:textbox>
                  <w:txbxContent>
                    <w:p w14:paraId="736518EE" w14:textId="77777777" w:rsidR="00BC13DF" w:rsidRDefault="00BC13DF" w:rsidP="00BC13DF">
                      <w:pPr>
                        <w:pStyle w:val="Heading1"/>
                        <w:rPr>
                          <w:b/>
                          <w:bCs/>
                        </w:rPr>
                      </w:pPr>
                      <w:r w:rsidRPr="00BC13DF">
                        <w:rPr>
                          <w:rStyle w:val="Heading2Char"/>
                          <w:b/>
                          <w:bCs/>
                        </w:rPr>
                        <w:t>Board Action</w:t>
                      </w:r>
                    </w:p>
                    <w:p w14:paraId="087A509C" w14:textId="77777777" w:rsidR="00BC13DF" w:rsidRPr="00BC13DF" w:rsidRDefault="00BC13DF" w:rsidP="00BC13DF"/>
                    <w:p w14:paraId="577324BF" w14:textId="3EA4696E" w:rsidR="00BC13DF" w:rsidRDefault="00BC13DF" w:rsidP="00807380">
                      <w:r w:rsidRPr="00BC13DF">
                        <w:rPr>
                          <w:b/>
                          <w:bCs/>
                          <w:i/>
                          <w:iCs/>
                        </w:rPr>
                        <w:t xml:space="preserve">The Board hereby allocates </w:t>
                      </w:r>
                      <w:r w:rsidR="00F97F8D">
                        <w:rPr>
                          <w:b/>
                          <w:bCs/>
                          <w:i/>
                          <w:iCs/>
                        </w:rPr>
                        <w:t>$3,000</w:t>
                      </w:r>
                      <w:r w:rsidRPr="00BC13DF">
                        <w:rPr>
                          <w:b/>
                          <w:bCs/>
                          <w:i/>
                          <w:iCs/>
                        </w:rPr>
                        <w:t>,000</w:t>
                      </w:r>
                      <w:r>
                        <w:t xml:space="preserve"> to CHFA, as Loan Program Manager, to </w:t>
                      </w:r>
                      <w:proofErr w:type="gramStart"/>
                      <w:r>
                        <w:t>be used</w:t>
                      </w:r>
                      <w:proofErr w:type="gramEnd"/>
                      <w:r>
                        <w:t xml:space="preserve"> as first loss capital for the Participation and Direct Lending Capital CLIMBER tools, to be used in accordance with policies previously adopted by the Board.</w:t>
                      </w:r>
                    </w:p>
                    <w:p w14:paraId="1B35B37B" w14:textId="5F652AE7" w:rsidR="00BC13DF" w:rsidRDefault="00BC13DF"/>
                    <w:p w14:paraId="26094130" w14:textId="77777777" w:rsidR="00BC13DF" w:rsidRPr="004C6CAF" w:rsidRDefault="00BC13DF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9567C" w14:textId="2AFCFFDF" w:rsidR="008263E3" w:rsidRDefault="008263E3" w:rsidP="00807380">
      <w:pPr>
        <w:rPr>
          <w:rStyle w:val="Heading2Char"/>
        </w:rPr>
      </w:pPr>
    </w:p>
    <w:p w14:paraId="4729D89B" w14:textId="6614B51E" w:rsidR="00C6594F" w:rsidRDefault="00111F9C" w:rsidP="00F97F8D">
      <w:pPr>
        <w:tabs>
          <w:tab w:val="left" w:pos="2711"/>
        </w:tabs>
      </w:pPr>
    </w:p>
    <w:sectPr w:rsidR="00C6594F" w:rsidSect="004E06A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079AF" w14:textId="77777777" w:rsidR="00111F9C" w:rsidRDefault="00111F9C" w:rsidP="00807380">
      <w:r>
        <w:separator/>
      </w:r>
    </w:p>
  </w:endnote>
  <w:endnote w:type="continuationSeparator" w:id="0">
    <w:p w14:paraId="1104C7B1" w14:textId="77777777" w:rsidR="00111F9C" w:rsidRDefault="00111F9C" w:rsidP="0080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42795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62BAAE" w14:textId="77777777" w:rsidR="006378D0" w:rsidRDefault="00EC6BA6" w:rsidP="00963D8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A06E45" w14:textId="77777777" w:rsidR="006378D0" w:rsidRDefault="00111F9C" w:rsidP="006378D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67600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BB3F92" w14:textId="023F3E8C" w:rsidR="006378D0" w:rsidRDefault="00EC6BA6" w:rsidP="00963D8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7CB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82B182" w14:textId="77777777" w:rsidR="006378D0" w:rsidRDefault="00111F9C" w:rsidP="006378D0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9575" w14:textId="77777777" w:rsidR="00111F9C" w:rsidRDefault="00111F9C" w:rsidP="00807380">
      <w:r>
        <w:separator/>
      </w:r>
    </w:p>
  </w:footnote>
  <w:footnote w:type="continuationSeparator" w:id="0">
    <w:p w14:paraId="51F23A52" w14:textId="77777777" w:rsidR="00111F9C" w:rsidRDefault="00111F9C" w:rsidP="0080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9888" w14:textId="2F99C2B0" w:rsidR="00807380" w:rsidRDefault="00EC6BA6">
    <w:pPr>
      <w:pStyle w:val="Header"/>
    </w:pPr>
    <w:r>
      <w:t>PENDING Board approval of staff proposal</w:t>
    </w:r>
    <w:r w:rsidR="00807380">
      <w:t xml:space="preserve"> </w:t>
    </w:r>
    <w:r w:rsidR="00F97F8D">
      <w:t>6.29.2023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4D5"/>
    <w:multiLevelType w:val="hybridMultilevel"/>
    <w:tmpl w:val="0B2E548A"/>
    <w:lvl w:ilvl="0" w:tplc="B9E05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D2F0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EE1124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F0E4EB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8A5C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2413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772AA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40C3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DEB3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0320A"/>
    <w:multiLevelType w:val="hybridMultilevel"/>
    <w:tmpl w:val="F0F0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3B44"/>
    <w:multiLevelType w:val="hybridMultilevel"/>
    <w:tmpl w:val="26FCD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917519"/>
    <w:multiLevelType w:val="hybridMultilevel"/>
    <w:tmpl w:val="3B7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80"/>
    <w:rsid w:val="00111F9C"/>
    <w:rsid w:val="00126C90"/>
    <w:rsid w:val="00137AD5"/>
    <w:rsid w:val="001B6C99"/>
    <w:rsid w:val="002E2938"/>
    <w:rsid w:val="00305329"/>
    <w:rsid w:val="004E06A7"/>
    <w:rsid w:val="004F70A1"/>
    <w:rsid w:val="00525A58"/>
    <w:rsid w:val="005F35E2"/>
    <w:rsid w:val="00655007"/>
    <w:rsid w:val="00807380"/>
    <w:rsid w:val="008263E3"/>
    <w:rsid w:val="00A10FB8"/>
    <w:rsid w:val="00A24738"/>
    <w:rsid w:val="00A77CB1"/>
    <w:rsid w:val="00BC13DF"/>
    <w:rsid w:val="00BC488C"/>
    <w:rsid w:val="00BE3D99"/>
    <w:rsid w:val="00CA7494"/>
    <w:rsid w:val="00D14AC0"/>
    <w:rsid w:val="00DB22F4"/>
    <w:rsid w:val="00E76B20"/>
    <w:rsid w:val="00EC6BA6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4282"/>
  <w15:chartTrackingRefBased/>
  <w15:docId w15:val="{EC8D1550-B99C-A14A-AE51-7146A54E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80"/>
  </w:style>
  <w:style w:type="paragraph" w:styleId="Heading1">
    <w:name w:val="heading 1"/>
    <w:basedOn w:val="Normal"/>
    <w:next w:val="Normal"/>
    <w:link w:val="Heading1Char"/>
    <w:uiPriority w:val="9"/>
    <w:qFormat/>
    <w:rsid w:val="00807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7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380"/>
  </w:style>
  <w:style w:type="paragraph" w:styleId="Footer">
    <w:name w:val="footer"/>
    <w:basedOn w:val="Normal"/>
    <w:link w:val="FooterChar"/>
    <w:uiPriority w:val="99"/>
    <w:unhideWhenUsed/>
    <w:rsid w:val="00807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380"/>
  </w:style>
  <w:style w:type="character" w:styleId="PageNumber">
    <w:name w:val="page number"/>
    <w:basedOn w:val="DefaultParagraphFont"/>
    <w:uiPriority w:val="99"/>
    <w:semiHidden/>
    <w:unhideWhenUsed/>
    <w:rsid w:val="00807380"/>
  </w:style>
  <w:style w:type="paragraph" w:styleId="ListParagraph">
    <w:name w:val="List Paragraph"/>
    <w:basedOn w:val="Normal"/>
    <w:uiPriority w:val="34"/>
    <w:qFormat/>
    <w:rsid w:val="00807380"/>
    <w:pPr>
      <w:ind w:left="720"/>
      <w:contextualSpacing/>
    </w:pPr>
  </w:style>
  <w:style w:type="table" w:styleId="PlainTable4">
    <w:name w:val="Plain Table 4"/>
    <w:basedOn w:val="TableNormal"/>
    <w:uiPriority w:val="44"/>
    <w:rsid w:val="008073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073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073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CDE5-1DF6-48E9-9A31-46B98083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Taylor, Sam</cp:lastModifiedBy>
  <cp:revision>9</cp:revision>
  <dcterms:created xsi:type="dcterms:W3CDTF">2023-06-23T15:36:00Z</dcterms:created>
  <dcterms:modified xsi:type="dcterms:W3CDTF">2023-06-27T20:03:00Z</dcterms:modified>
</cp:coreProperties>
</file>